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rHeight w:val="828"/>
        </w:trPr>
        <w:tc>
          <w:tcPr>
            <w:tcBorders/>
            <w:tcW w:w="3120" w:type="dxa"/>
          </w:tcPr>
          <w:p w14:paraId="0A7D1916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Tiêu chí 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W w:w="3120" w:type="dxa"/>
          </w:tcPr>
          <w:p w14:paraId="7DA9ECFC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Đường dẫn tuyệt đối 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W w:w="3120" w:type="dxa"/>
          </w:tcPr>
          <w:p w14:paraId="02AD4AA5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Đường dẫn tương đối</w:t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1415"/>
        </w:trPr>
        <w:tc>
          <w:tcPr>
            <w:tcBorders/>
            <w:tcW w:w="3120" w:type="dxa"/>
          </w:tcPr>
          <w:p w14:paraId="7022FC81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t xml:space="preserve">Định nghĩa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W w:w="3120" w:type="dxa"/>
          </w:tcPr>
          <w:p w14:paraId="77C9020A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Chỉ định vị trí của một file hoặc thư mục dựa trên </w:t>
            </w:r>
            <w:r>
              <w:rPr>
                <w:rFonts w:ascii="Arial" w:hAnsi="Arial" w:eastAsia="Arial" w:cs="Arial"/>
                <w:b/>
                <w:color w:val="000000"/>
                <w:sz w:val="21"/>
                <w:u w:val="none"/>
              </w:rPr>
              <w:t xml:space="preserve">gốc hệ thống</w:t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 (hoặc toàn bộ URL trang web).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W w:w="3120" w:type="dxa"/>
          </w:tcPr>
          <w:p w14:paraId="25D9E444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Chỉ định vị trí của một file hoặc thư mục dựa trên </w:t>
            </w:r>
            <w:r>
              <w:rPr>
                <w:rFonts w:ascii="Arial" w:hAnsi="Arial" w:eastAsia="Arial" w:cs="Arial"/>
                <w:b/>
                <w:color w:val="000000"/>
                <w:sz w:val="21"/>
                <w:u w:val="none"/>
              </w:rPr>
              <w:t xml:space="preserve">vị trí hiện tại</w:t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 của file đang làm việc.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1541"/>
        </w:trPr>
        <w:tc>
          <w:tcPr>
            <w:tcBorders/>
            <w:tcW w:w="3120" w:type="dxa"/>
          </w:tcPr>
          <w:p w14:paraId="67F5B46B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t xml:space="preserve">Điểm bắt đầu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W w:w="3120" w:type="dxa"/>
          </w:tcPr>
          <w:p w14:paraId="184C2DB4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Luôn bắt đầu từ ổ đĩa gốc (như </w:t>
            </w:r>
            <w:r>
              <w:rPr>
                <w:rFonts w:ascii="Arial" w:hAnsi="Arial" w:eastAsia="Arial" w:cs="Arial"/>
                <w:color w:val="000000"/>
                <w:sz w:val="21"/>
                <w:u w:val="none"/>
              </w:rPr>
              <w:t xml:space="preserve">C:/</w:t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, </w:t>
            </w:r>
            <w:r>
              <w:rPr>
                <w:rFonts w:ascii="Arial" w:hAnsi="Arial" w:eastAsia="Arial" w:cs="Arial"/>
                <w:color w:val="000000"/>
                <w:sz w:val="21"/>
                <w:u w:val="none"/>
              </w:rPr>
              <w:t xml:space="preserve">D:/</w:t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) hoặc tên miền (như </w:t>
            </w:r>
            <w:r>
              <w:rPr>
                <w:rFonts w:ascii="Arial" w:hAnsi="Arial" w:eastAsia="Arial" w:cs="Arial"/>
                <w:color w:val="000000"/>
                <w:sz w:val="21"/>
                <w:u w:val="none"/>
              </w:rPr>
              <w:t xml:space="preserve">https://</w:t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).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W w:w="3120" w:type="dxa"/>
          </w:tcPr>
          <w:p w14:paraId="5306CD59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Bắt đầu từ thư mục hiện hành và dịch chuyển bằng các ký hiệu (như </w:t>
            </w:r>
            <w:r>
              <w:rPr>
                <w:rFonts w:ascii="Arial" w:hAnsi="Arial" w:eastAsia="Arial" w:cs="Arial"/>
                <w:color w:val="000000"/>
                <w:sz w:val="21"/>
                <w:u w:val="none"/>
              </w:rPr>
              <w:t xml:space="preserve">./</w:t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 hoặc </w:t>
            </w:r>
            <w:r>
              <w:rPr>
                <w:rFonts w:ascii="Arial" w:hAnsi="Arial" w:eastAsia="Arial" w:cs="Arial"/>
                <w:color w:val="000000"/>
                <w:sz w:val="21"/>
                <w:u w:val="none"/>
              </w:rPr>
              <w:t xml:space="preserve">../</w:t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).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1513"/>
        </w:trPr>
        <w:tc>
          <w:tcPr>
            <w:tcBorders/>
            <w:tcW w:w="3120" w:type="dxa"/>
          </w:tcPr>
          <w:p w14:paraId="43623C10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t xml:space="preserve">Tính di động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W w:w="3120" w:type="dxa"/>
          </w:tcPr>
          <w:p w14:paraId="19A9BE13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  <w:b/>
                <w:color w:val="000000"/>
                <w:sz w:val="21"/>
                <w:u w:val="none"/>
              </w:rPr>
              <w:t xml:space="preserve">Kém</w:t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. Nếu bạn di chuyển dự án sang máy tính khác hoặc đổi tên miền, đường dẫn sẽ bị lỗi (gãy link).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W w:w="3120" w:type="dxa"/>
          </w:tcPr>
          <w:p w14:paraId="1F31F68B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  <w:b/>
                <w:color w:val="000000"/>
                <w:sz w:val="21"/>
                <w:u w:val="none"/>
              </w:rPr>
              <w:t xml:space="preserve">Cao</w:t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. Bạn có thể di chuyển toàn bộ thư mục dự án đi bất cứ đâu mà không sợ làm hỏng liên kết giữa các file bên trong.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1407"/>
        </w:trPr>
        <w:tc>
          <w:tcPr>
            <w:tcBorders/>
            <w:tcW w:w="3120" w:type="dxa"/>
          </w:tcPr>
          <w:p w14:paraId="3AC85F78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t xml:space="preserve">Độ dài và độ phức tạp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W w:w="3120" w:type="dxa"/>
          </w:tcPr>
          <w:p w14:paraId="45DD3DC0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Thường </w:t>
            </w:r>
            <w:r>
              <w:rPr>
                <w:rFonts w:ascii="Arial" w:hAnsi="Arial" w:eastAsia="Arial" w:cs="Arial"/>
                <w:b/>
                <w:color w:val="000000"/>
                <w:sz w:val="21"/>
                <w:u w:val="none"/>
              </w:rPr>
              <w:t xml:space="preserve">dài và cố định</w:t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.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W w:w="3120" w:type="dxa"/>
          </w:tcPr>
          <w:p w14:paraId="75AE6815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Thường </w:t>
            </w:r>
            <w:r>
              <w:rPr>
                <w:rFonts w:ascii="Arial" w:hAnsi="Arial" w:eastAsia="Arial" w:cs="Arial"/>
                <w:b/>
                <w:color w:val="000000"/>
                <w:sz w:val="21"/>
                <w:u w:val="none"/>
              </w:rPr>
              <w:t xml:space="preserve">ngắn và linh hoạt</w:t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 theo cấu trúc thư mục con.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</w:tbl>
    <w:p w14:paraId="3FCE5187">
      <w:pPr>
        <w:pBdr/>
        <w:spacing/>
        <w:ind/>
        <w:rPr/>
      </w:pPr>
      <w:r/>
      <w:r/>
      <w:r/>
    </w:p>
    <w:p w14:paraId="5EB343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Tính toán chính xác thời gian tải file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2GB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với gói mạng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80 Mbps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(đơn vị giây):</w:t>
      </w:r>
      <w:r>
        <w:rPr>
          <w:rFonts w:ascii="Times New Roman" w:hAnsi="Times New Roman" w:eastAsia="Times New Roman" w:cs="Times New Roman"/>
          <w:sz w:val="24"/>
        </w:rPr>
      </w:r>
    </w:p>
    <w:p w14:paraId="692837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Đổi 2GB sang MB:2x</w:t>
        <w:tab/>
        <w:t xml:space="preserve">1024=2048MB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FEB13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Đổi sang Mb:2048x8=16384Mb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18351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Thời gian tải=16384/80=204,8s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7DFB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Đề xuất các bước thiết lập "View Options" để nhận diện file mã độc:</w:t>
      </w:r>
      <w:r>
        <w:rPr>
          <w:rFonts w:ascii="Times New Roman" w:hAnsi="Times New Roman" w:eastAsia="Times New Roman" w:cs="Times New Roman"/>
          <w:sz w:val="24"/>
        </w:rPr>
      </w:r>
    </w:p>
    <w:p w14:paraId="66EBC9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  <w:t xml:space="preserve">Bước 1:mở folder(nhấn tổ hợp window+E)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5D04F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  <w:t xml:space="preserve">Bước 2:chọn tab view </w:t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92F9F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  <w:t xml:space="preserve">Bước 3:chọn show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D721D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  <w:t xml:space="preserve">Bước 4:</w:t>
      </w:r>
      <w:r>
        <w:rPr>
          <w:highlight w:val="none"/>
        </w:rPr>
        <w:t xml:space="preserve">chọn file name extensions và hidden items</w:t>
      </w:r>
      <w:r>
        <w:rPr>
          <w:highlight w:val="none"/>
        </w:rPr>
      </w:r>
    </w:p>
    <w:p w14:paraId="66A3FE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2026-10-06T02:29:08Z</dcterms:modified>
</cp:coreProperties>
</file>