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0701" w14:textId="1A69B02D" w:rsidR="007368CD" w:rsidRDefault="00BE190E" w:rsidP="00D110E4">
      <w:pPr>
        <w:spacing w:before="240" w:after="240" w:line="360" w:lineRule="auto"/>
        <w:jc w:val="both"/>
        <w:rPr>
          <w:rFonts w:ascii="Verdana" w:eastAsia="Times New Roman" w:hAnsi="Verdana" w:cs="Times New Roman"/>
          <w:b/>
          <w:sz w:val="20"/>
          <w:szCs w:val="20"/>
          <w:highlight w:val="white"/>
          <w:lang w:val="en-AU"/>
        </w:rPr>
      </w:pPr>
      <w:r>
        <w:rPr>
          <w:noProof/>
        </w:rPr>
        <w:drawing>
          <wp:inline distT="0" distB="0" distL="0" distR="0" wp14:anchorId="4811A3C2" wp14:editId="5656EAB6">
            <wp:extent cx="5870575" cy="4679501"/>
            <wp:effectExtent l="0" t="0" r="0" b="6985"/>
            <wp:docPr id="14" name="Picture 14" descr="NCC Group | Security Consulting | Cyber Security Vendor | CyberCur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CC Group | Security Consulting | Cyber Security Vendor | CyberCur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8957" cy="4694154"/>
                    </a:xfrm>
                    <a:prstGeom prst="rect">
                      <a:avLst/>
                    </a:prstGeom>
                    <a:noFill/>
                    <a:ln>
                      <a:noFill/>
                    </a:ln>
                  </pic:spPr>
                </pic:pic>
              </a:graphicData>
            </a:graphic>
          </wp:inline>
        </w:drawing>
      </w:r>
    </w:p>
    <w:p w14:paraId="67631638"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58B8D559"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5F5F1EEE"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311B647C"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006EF0BB"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52FE85EF"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0245785D"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03A5F92C" w14:textId="77777777" w:rsidR="007368CD" w:rsidRDefault="007368CD" w:rsidP="00D110E4">
      <w:pPr>
        <w:spacing w:before="240" w:after="240" w:line="360" w:lineRule="auto"/>
        <w:jc w:val="both"/>
        <w:rPr>
          <w:rFonts w:ascii="Verdana" w:eastAsia="Times New Roman" w:hAnsi="Verdana" w:cs="Times New Roman"/>
          <w:b/>
          <w:sz w:val="20"/>
          <w:szCs w:val="20"/>
          <w:highlight w:val="white"/>
          <w:lang w:val="en-AU"/>
        </w:rPr>
      </w:pPr>
    </w:p>
    <w:p w14:paraId="79D2EB2B" w14:textId="77777777" w:rsidR="006841B4" w:rsidRDefault="006841B4" w:rsidP="00D110E4">
      <w:pPr>
        <w:spacing w:before="240" w:after="240" w:line="360" w:lineRule="auto"/>
        <w:jc w:val="both"/>
        <w:rPr>
          <w:rFonts w:ascii="Verdana" w:eastAsia="Times New Roman" w:hAnsi="Verdana" w:cs="Times New Roman"/>
          <w:b/>
          <w:sz w:val="20"/>
          <w:szCs w:val="20"/>
          <w:highlight w:val="white"/>
          <w:lang w:val="en-AU"/>
        </w:rPr>
      </w:pPr>
    </w:p>
    <w:p w14:paraId="031C4B85" w14:textId="77777777" w:rsidR="00C924DB" w:rsidRDefault="00C924DB" w:rsidP="00D110E4">
      <w:pPr>
        <w:spacing w:before="240" w:after="240" w:line="360" w:lineRule="auto"/>
        <w:jc w:val="both"/>
        <w:rPr>
          <w:rFonts w:ascii="Verdana" w:eastAsia="Times New Roman" w:hAnsi="Verdana" w:cs="Times New Roman"/>
          <w:b/>
          <w:sz w:val="20"/>
          <w:szCs w:val="20"/>
          <w:highlight w:val="white"/>
          <w:lang w:val="en-AU"/>
        </w:rPr>
      </w:pPr>
    </w:p>
    <w:p w14:paraId="08FD9F16" w14:textId="77977E27" w:rsidR="00D110E4" w:rsidRDefault="009A4838" w:rsidP="00D110E4">
      <w:pPr>
        <w:spacing w:before="240" w:after="240" w:line="360" w:lineRule="auto"/>
        <w:jc w:val="both"/>
        <w:rPr>
          <w:rFonts w:ascii="Verdana" w:eastAsia="Times New Roman" w:hAnsi="Verdana" w:cs="Times New Roman"/>
          <w:b/>
          <w:sz w:val="20"/>
          <w:szCs w:val="20"/>
          <w:lang w:val="en-AU"/>
        </w:rPr>
      </w:pPr>
      <w:r w:rsidRPr="009D70ED">
        <w:rPr>
          <w:rFonts w:ascii="Verdana" w:eastAsia="Times New Roman" w:hAnsi="Verdana" w:cs="Times New Roman"/>
          <w:b/>
          <w:sz w:val="20"/>
          <w:szCs w:val="20"/>
          <w:highlight w:val="white"/>
          <w:lang w:val="en-AU"/>
        </w:rPr>
        <w:lastRenderedPageBreak/>
        <w:t xml:space="preserve">Executive summary </w:t>
      </w:r>
    </w:p>
    <w:p w14:paraId="039EAFD0" w14:textId="206976C1" w:rsidR="00D21367" w:rsidRDefault="00B71AB6" w:rsidP="00630AF4">
      <w:pPr>
        <w:spacing w:before="240" w:after="240" w:line="360" w:lineRule="auto"/>
        <w:jc w:val="both"/>
        <w:rPr>
          <w:rFonts w:ascii="Verdana" w:hAnsi="Verdana"/>
          <w:sz w:val="20"/>
          <w:szCs w:val="20"/>
        </w:rPr>
      </w:pPr>
      <w:r w:rsidRPr="009A4838">
        <w:rPr>
          <w:rFonts w:ascii="Verdana" w:hAnsi="Verdana"/>
          <w:sz w:val="20"/>
          <w:szCs w:val="20"/>
        </w:rPr>
        <w:t>The NCC group, a legitimate UK company with a current market capitalization, is the subject of this article. Its goal is to increase shareholders' book value. This report aids in the development of the company's profile, including information on its primary owners and overall borrowing capacity in connection to business liquidity. The remaining tasks, which range from job 2 to task 5, assist in assessing dividend patterns and shareholder value, which aid in determining the cost of capital for the business. Although revenue growth has fluctuated recently for the companies, practical concerns have been helpful in building the company's assets.</w:t>
      </w:r>
    </w:p>
    <w:p w14:paraId="0E0B5189" w14:textId="77777777" w:rsidR="00824103" w:rsidRDefault="00824103" w:rsidP="00D110E4">
      <w:pPr>
        <w:spacing w:before="240" w:after="240" w:line="360" w:lineRule="auto"/>
        <w:jc w:val="both"/>
        <w:rPr>
          <w:rFonts w:ascii="Verdana" w:hAnsi="Verdana"/>
          <w:sz w:val="20"/>
          <w:szCs w:val="20"/>
        </w:rPr>
      </w:pPr>
    </w:p>
    <w:p w14:paraId="371E591A" w14:textId="77777777" w:rsidR="00824103" w:rsidRDefault="00824103" w:rsidP="00D110E4">
      <w:pPr>
        <w:spacing w:before="240" w:after="240" w:line="360" w:lineRule="auto"/>
        <w:jc w:val="both"/>
        <w:rPr>
          <w:rFonts w:ascii="Verdana" w:hAnsi="Verdana"/>
          <w:sz w:val="20"/>
          <w:szCs w:val="20"/>
        </w:rPr>
      </w:pPr>
    </w:p>
    <w:p w14:paraId="7F1C0833" w14:textId="77777777" w:rsidR="00824103" w:rsidRDefault="00824103" w:rsidP="00D110E4">
      <w:pPr>
        <w:spacing w:before="240" w:after="240" w:line="360" w:lineRule="auto"/>
        <w:jc w:val="both"/>
        <w:rPr>
          <w:rFonts w:ascii="Verdana" w:hAnsi="Verdana"/>
          <w:sz w:val="20"/>
          <w:szCs w:val="20"/>
        </w:rPr>
      </w:pPr>
    </w:p>
    <w:p w14:paraId="7A4C43D8" w14:textId="77777777" w:rsidR="00824103" w:rsidRDefault="00824103" w:rsidP="00D110E4">
      <w:pPr>
        <w:spacing w:before="240" w:after="240" w:line="360" w:lineRule="auto"/>
        <w:jc w:val="both"/>
        <w:rPr>
          <w:rFonts w:ascii="Verdana" w:hAnsi="Verdana"/>
          <w:sz w:val="20"/>
          <w:szCs w:val="20"/>
        </w:rPr>
      </w:pPr>
    </w:p>
    <w:p w14:paraId="07BC4FEC" w14:textId="77777777" w:rsidR="00824103" w:rsidRDefault="00824103" w:rsidP="00D110E4">
      <w:pPr>
        <w:spacing w:before="240" w:after="240" w:line="360" w:lineRule="auto"/>
        <w:jc w:val="both"/>
        <w:rPr>
          <w:rFonts w:ascii="Verdana" w:hAnsi="Verdana"/>
          <w:sz w:val="20"/>
          <w:szCs w:val="20"/>
        </w:rPr>
      </w:pPr>
    </w:p>
    <w:p w14:paraId="2ABF2073" w14:textId="77777777" w:rsidR="00824103" w:rsidRDefault="00824103" w:rsidP="00D110E4">
      <w:pPr>
        <w:spacing w:before="240" w:after="240" w:line="360" w:lineRule="auto"/>
        <w:jc w:val="both"/>
        <w:rPr>
          <w:rFonts w:ascii="Verdana" w:hAnsi="Verdana"/>
          <w:sz w:val="20"/>
          <w:szCs w:val="20"/>
        </w:rPr>
      </w:pPr>
    </w:p>
    <w:p w14:paraId="77111DDE" w14:textId="77777777" w:rsidR="00824103" w:rsidRDefault="00824103" w:rsidP="00D110E4">
      <w:pPr>
        <w:spacing w:before="240" w:after="240" w:line="360" w:lineRule="auto"/>
        <w:jc w:val="both"/>
        <w:rPr>
          <w:rFonts w:ascii="Verdana" w:hAnsi="Verdana"/>
          <w:sz w:val="20"/>
          <w:szCs w:val="20"/>
        </w:rPr>
      </w:pPr>
    </w:p>
    <w:p w14:paraId="1BDB96AD" w14:textId="77777777" w:rsidR="00824103" w:rsidRDefault="00824103" w:rsidP="00D110E4">
      <w:pPr>
        <w:spacing w:before="240" w:after="240" w:line="360" w:lineRule="auto"/>
        <w:jc w:val="both"/>
        <w:rPr>
          <w:rFonts w:ascii="Verdana" w:hAnsi="Verdana"/>
          <w:sz w:val="20"/>
          <w:szCs w:val="20"/>
        </w:rPr>
      </w:pPr>
    </w:p>
    <w:p w14:paraId="1B4A44DA" w14:textId="77777777" w:rsidR="00824103" w:rsidRDefault="00824103" w:rsidP="00D110E4">
      <w:pPr>
        <w:spacing w:before="240" w:after="240" w:line="360" w:lineRule="auto"/>
        <w:jc w:val="both"/>
        <w:rPr>
          <w:rFonts w:ascii="Verdana" w:hAnsi="Verdana"/>
          <w:sz w:val="20"/>
          <w:szCs w:val="20"/>
        </w:rPr>
      </w:pPr>
    </w:p>
    <w:p w14:paraId="3712DFE3" w14:textId="7848F27A" w:rsidR="00824103" w:rsidRDefault="00824103" w:rsidP="00D110E4">
      <w:pPr>
        <w:spacing w:before="240" w:after="240" w:line="360" w:lineRule="auto"/>
        <w:jc w:val="both"/>
        <w:rPr>
          <w:rFonts w:ascii="Verdana" w:hAnsi="Verdana"/>
          <w:sz w:val="20"/>
          <w:szCs w:val="20"/>
        </w:rPr>
      </w:pPr>
    </w:p>
    <w:p w14:paraId="218B1946" w14:textId="70555C15" w:rsidR="006841B4" w:rsidRDefault="006841B4" w:rsidP="00D110E4">
      <w:pPr>
        <w:spacing w:before="240" w:after="240" w:line="360" w:lineRule="auto"/>
        <w:jc w:val="both"/>
        <w:rPr>
          <w:rFonts w:ascii="Verdana" w:hAnsi="Verdana"/>
          <w:sz w:val="20"/>
          <w:szCs w:val="20"/>
        </w:rPr>
      </w:pPr>
    </w:p>
    <w:p w14:paraId="15BA80AD" w14:textId="2EE727D1" w:rsidR="006841B4" w:rsidRDefault="006841B4" w:rsidP="00D110E4">
      <w:pPr>
        <w:spacing w:before="240" w:after="240" w:line="360" w:lineRule="auto"/>
        <w:jc w:val="both"/>
        <w:rPr>
          <w:rFonts w:ascii="Verdana" w:hAnsi="Verdana"/>
          <w:sz w:val="20"/>
          <w:szCs w:val="20"/>
        </w:rPr>
      </w:pPr>
    </w:p>
    <w:p w14:paraId="74EF54E4" w14:textId="1C98921C" w:rsidR="006841B4" w:rsidRDefault="006841B4" w:rsidP="00D110E4">
      <w:pPr>
        <w:spacing w:before="240" w:after="240" w:line="360" w:lineRule="auto"/>
        <w:jc w:val="both"/>
        <w:rPr>
          <w:rFonts w:ascii="Verdana" w:hAnsi="Verdana"/>
          <w:sz w:val="20"/>
          <w:szCs w:val="20"/>
        </w:rPr>
      </w:pPr>
    </w:p>
    <w:p w14:paraId="242A0993" w14:textId="7BBE183A" w:rsidR="006841B4" w:rsidRDefault="006841B4" w:rsidP="00D110E4">
      <w:pPr>
        <w:spacing w:before="240" w:after="240" w:line="360" w:lineRule="auto"/>
        <w:jc w:val="both"/>
        <w:rPr>
          <w:rFonts w:ascii="Verdana" w:hAnsi="Verdana"/>
          <w:sz w:val="20"/>
          <w:szCs w:val="20"/>
        </w:rPr>
      </w:pPr>
    </w:p>
    <w:p w14:paraId="46B46261" w14:textId="112F0014" w:rsidR="006841B4" w:rsidRDefault="006841B4" w:rsidP="00D110E4">
      <w:pPr>
        <w:spacing w:before="240" w:after="240" w:line="360" w:lineRule="auto"/>
        <w:jc w:val="both"/>
        <w:rPr>
          <w:rFonts w:ascii="Verdana" w:hAnsi="Verdana"/>
          <w:sz w:val="20"/>
          <w:szCs w:val="20"/>
        </w:rPr>
      </w:pPr>
    </w:p>
    <w:p w14:paraId="5322B4C3" w14:textId="77777777" w:rsidR="006841B4" w:rsidRDefault="006841B4" w:rsidP="00D110E4">
      <w:pPr>
        <w:spacing w:before="240" w:after="240" w:line="360" w:lineRule="auto"/>
        <w:jc w:val="both"/>
        <w:rPr>
          <w:rFonts w:ascii="Verdana" w:hAnsi="Verdana"/>
          <w:sz w:val="20"/>
          <w:szCs w:val="20"/>
        </w:rPr>
      </w:pPr>
    </w:p>
    <w:sdt>
      <w:sdtPr>
        <w:rPr>
          <w:rFonts w:ascii="Arial" w:eastAsia="Arial" w:hAnsi="Arial" w:cs="Arial"/>
          <w:color w:val="auto"/>
          <w:kern w:val="2"/>
          <w:sz w:val="22"/>
          <w:szCs w:val="22"/>
          <w:lang w:val="en-AU" w:eastAsia="zh-CN"/>
          <w14:ligatures w14:val="standardContextual"/>
        </w:rPr>
        <w:id w:val="-488241807"/>
        <w:docPartObj>
          <w:docPartGallery w:val="Table of Contents"/>
          <w:docPartUnique/>
        </w:docPartObj>
      </w:sdtPr>
      <w:sdtEndPr>
        <w:rPr>
          <w:rFonts w:ascii="Verdana" w:eastAsiaTheme="minorEastAsia" w:hAnsi="Verdana" w:cs="Times New Roman"/>
          <w:b/>
          <w:bCs/>
          <w:sz w:val="20"/>
          <w:szCs w:val="20"/>
        </w:rPr>
      </w:sdtEndPr>
      <w:sdtContent>
        <w:p w14:paraId="16CBF7D1" w14:textId="77777777" w:rsidR="00824103" w:rsidRPr="009D70ED" w:rsidRDefault="00824103" w:rsidP="00824103">
          <w:pPr>
            <w:pStyle w:val="TOCHeading"/>
            <w:rPr>
              <w:lang w:val="en-AU"/>
            </w:rPr>
          </w:pPr>
          <w:r w:rsidRPr="009D70ED">
            <w:rPr>
              <w:lang w:val="en-AU"/>
            </w:rPr>
            <w:t>Table of Contents</w:t>
          </w:r>
        </w:p>
        <w:p w14:paraId="29EEB803" w14:textId="1C54843D"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r w:rsidRPr="009D70ED">
            <w:rPr>
              <w:rFonts w:ascii="Verdana" w:hAnsi="Verdana" w:cs="Times New Roman"/>
              <w:b/>
              <w:bCs/>
              <w:sz w:val="20"/>
              <w:szCs w:val="20"/>
              <w:lang w:val="en-AU"/>
            </w:rPr>
            <w:fldChar w:fldCharType="begin"/>
          </w:r>
          <w:r w:rsidRPr="009D70ED">
            <w:rPr>
              <w:rFonts w:ascii="Verdana" w:hAnsi="Verdana" w:cs="Times New Roman"/>
              <w:b/>
              <w:bCs/>
              <w:sz w:val="20"/>
              <w:szCs w:val="20"/>
              <w:lang w:val="en-AU"/>
            </w:rPr>
            <w:instrText xml:space="preserve"> TOC \o "1-3" \h \z \u </w:instrText>
          </w:r>
          <w:r w:rsidRPr="009D70ED">
            <w:rPr>
              <w:rFonts w:ascii="Verdana" w:hAnsi="Verdana" w:cs="Times New Roman"/>
              <w:b/>
              <w:bCs/>
              <w:sz w:val="20"/>
              <w:szCs w:val="20"/>
              <w:lang w:val="en-AU"/>
            </w:rPr>
            <w:fldChar w:fldCharType="separate"/>
          </w:r>
          <w:hyperlink w:anchor="_Toc102976522" w:history="1">
            <w:r w:rsidRPr="009D70ED">
              <w:rPr>
                <w:rStyle w:val="Hyperlink"/>
                <w:rFonts w:ascii="Verdana" w:hAnsi="Verdana" w:cs="Times New Roman"/>
                <w:sz w:val="20"/>
                <w:szCs w:val="20"/>
                <w:lang w:val="en-AU"/>
              </w:rPr>
              <w:t>Introduction</w:t>
            </w:r>
            <w:r w:rsidRPr="009D70ED">
              <w:rPr>
                <w:rFonts w:ascii="Verdana" w:hAnsi="Verdana"/>
                <w:webHidden/>
                <w:sz w:val="20"/>
                <w:szCs w:val="20"/>
                <w:lang w:val="en-AU"/>
              </w:rPr>
              <w:tab/>
            </w:r>
          </w:hyperlink>
          <w:r w:rsidR="0013760B">
            <w:rPr>
              <w:rFonts w:ascii="Verdana" w:hAnsi="Verdana"/>
              <w:sz w:val="20"/>
              <w:szCs w:val="20"/>
              <w:lang w:val="en-AU"/>
            </w:rPr>
            <w:t>5</w:t>
          </w:r>
        </w:p>
        <w:p w14:paraId="46160F93" w14:textId="299D8ADD"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23" w:history="1">
            <w:r w:rsidRPr="009D70ED">
              <w:rPr>
                <w:rStyle w:val="Hyperlink"/>
                <w:rFonts w:ascii="Verdana" w:hAnsi="Verdana" w:cs="Times New Roman"/>
                <w:sz w:val="20"/>
                <w:szCs w:val="20"/>
                <w:lang w:val="en-AU"/>
              </w:rPr>
              <w:t>Task 1: Company profile</w:t>
            </w:r>
            <w:r w:rsidRPr="009D70ED">
              <w:rPr>
                <w:rFonts w:ascii="Verdana" w:hAnsi="Verdana"/>
                <w:webHidden/>
                <w:sz w:val="20"/>
                <w:szCs w:val="20"/>
                <w:lang w:val="en-AU"/>
              </w:rPr>
              <w:tab/>
            </w:r>
            <w:r w:rsidR="006841B4">
              <w:rPr>
                <w:rFonts w:ascii="Verdana" w:hAnsi="Verdana"/>
                <w:webHidden/>
                <w:sz w:val="20"/>
                <w:szCs w:val="20"/>
                <w:lang w:val="en-AU"/>
              </w:rPr>
              <w:t>5</w:t>
            </w:r>
          </w:hyperlink>
        </w:p>
        <w:p w14:paraId="576054FD" w14:textId="0E2BBFE0"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24" w:history="1">
            <w:r w:rsidRPr="009D70ED">
              <w:rPr>
                <w:rStyle w:val="Hyperlink"/>
                <w:rFonts w:ascii="Verdana" w:hAnsi="Verdana" w:cs="Times New Roman"/>
                <w:sz w:val="20"/>
                <w:szCs w:val="20"/>
                <w:lang w:val="en-AU"/>
              </w:rPr>
              <w:t xml:space="preserve">Task 2: </w:t>
            </w:r>
            <w:r>
              <w:rPr>
                <w:rStyle w:val="Hyperlink"/>
                <w:rFonts w:ascii="Verdana" w:hAnsi="Verdana" w:cs="Times New Roman"/>
                <w:sz w:val="20"/>
                <w:szCs w:val="20"/>
                <w:lang w:val="en-AU"/>
              </w:rPr>
              <w:t>Dividend</w:t>
            </w:r>
            <w:r w:rsidRPr="009D70ED">
              <w:rPr>
                <w:rStyle w:val="Hyperlink"/>
                <w:rFonts w:ascii="Verdana" w:hAnsi="Verdana" w:cs="Times New Roman"/>
                <w:sz w:val="20"/>
                <w:szCs w:val="20"/>
                <w:lang w:val="en-AU"/>
              </w:rPr>
              <w:t xml:space="preserve"> </w:t>
            </w:r>
            <w:r>
              <w:rPr>
                <w:rStyle w:val="Hyperlink"/>
                <w:rFonts w:ascii="Verdana" w:hAnsi="Verdana" w:cs="Times New Roman"/>
                <w:sz w:val="20"/>
                <w:szCs w:val="20"/>
                <w:lang w:val="en-AU"/>
              </w:rPr>
              <w:t>Pol</w:t>
            </w:r>
            <w:r w:rsidR="00460409">
              <w:rPr>
                <w:rStyle w:val="Hyperlink"/>
                <w:rFonts w:ascii="Verdana" w:hAnsi="Verdana" w:cs="Times New Roman"/>
                <w:sz w:val="20"/>
                <w:szCs w:val="20"/>
                <w:lang w:val="en-AU"/>
              </w:rPr>
              <w:t>icy</w:t>
            </w:r>
            <w:r w:rsidRPr="009D70ED">
              <w:rPr>
                <w:rFonts w:ascii="Verdana" w:hAnsi="Verdana"/>
                <w:webHidden/>
                <w:sz w:val="20"/>
                <w:szCs w:val="20"/>
                <w:lang w:val="en-AU"/>
              </w:rPr>
              <w:tab/>
            </w:r>
            <w:r w:rsidR="006841B4">
              <w:rPr>
                <w:rFonts w:ascii="Verdana" w:hAnsi="Verdana"/>
                <w:webHidden/>
                <w:sz w:val="20"/>
                <w:szCs w:val="20"/>
                <w:lang w:val="en-AU"/>
              </w:rPr>
              <w:t>6</w:t>
            </w:r>
          </w:hyperlink>
          <w:r w:rsidR="006841B4">
            <w:rPr>
              <w:rFonts w:ascii="Verdana" w:hAnsi="Verdana"/>
              <w:sz w:val="20"/>
              <w:szCs w:val="20"/>
              <w:lang w:val="en-AU"/>
            </w:rPr>
            <w:t xml:space="preserve"> &amp;7</w:t>
          </w:r>
        </w:p>
        <w:p w14:paraId="25A95EE7" w14:textId="464253BC"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25" w:history="1">
            <w:r w:rsidRPr="009D70ED">
              <w:rPr>
                <w:rStyle w:val="Hyperlink"/>
                <w:rFonts w:ascii="Verdana" w:hAnsi="Verdana" w:cs="Times New Roman"/>
                <w:sz w:val="20"/>
                <w:szCs w:val="20"/>
                <w:lang w:val="en-AU"/>
              </w:rPr>
              <w:t>Task 3</w:t>
            </w:r>
            <w:r w:rsidR="00460409">
              <w:rPr>
                <w:rStyle w:val="Hyperlink"/>
                <w:rFonts w:ascii="Verdana" w:hAnsi="Verdana" w:cs="Times New Roman"/>
                <w:sz w:val="20"/>
                <w:szCs w:val="20"/>
                <w:lang w:val="en-AU"/>
              </w:rPr>
              <w:t xml:space="preserve"> Working of </w:t>
            </w:r>
            <w:r w:rsidR="006203E8">
              <w:rPr>
                <w:rStyle w:val="Hyperlink"/>
                <w:rFonts w:ascii="Verdana" w:hAnsi="Verdana" w:cs="Times New Roman"/>
                <w:sz w:val="20"/>
                <w:szCs w:val="20"/>
                <w:lang w:val="en-AU"/>
              </w:rPr>
              <w:t xml:space="preserve">Cost </w:t>
            </w:r>
            <w:r w:rsidR="00460409">
              <w:rPr>
                <w:rStyle w:val="Hyperlink"/>
                <w:rFonts w:ascii="Verdana" w:hAnsi="Verdana" w:cs="Times New Roman"/>
                <w:sz w:val="20"/>
                <w:szCs w:val="20"/>
                <w:lang w:val="en-AU"/>
              </w:rPr>
              <w:t>capital</w:t>
            </w:r>
            <w:r w:rsidR="00FC3A0C">
              <w:rPr>
                <w:rStyle w:val="Hyperlink"/>
                <w:rFonts w:ascii="Verdana" w:hAnsi="Verdana" w:cs="Times New Roman"/>
                <w:sz w:val="20"/>
                <w:szCs w:val="20"/>
                <w:lang w:val="en-AU"/>
              </w:rPr>
              <w:t xml:space="preserve"> </w:t>
            </w:r>
            <w:r w:rsidR="006203E8">
              <w:rPr>
                <w:rStyle w:val="Hyperlink"/>
                <w:rFonts w:ascii="Verdana" w:hAnsi="Verdana" w:cs="Times New Roman"/>
                <w:sz w:val="20"/>
                <w:szCs w:val="20"/>
                <w:lang w:val="en-AU"/>
              </w:rPr>
              <w:t>(WACC)</w:t>
            </w:r>
            <w:r w:rsidRPr="009D70ED">
              <w:rPr>
                <w:rFonts w:ascii="Verdana" w:hAnsi="Verdana"/>
                <w:webHidden/>
                <w:sz w:val="20"/>
                <w:szCs w:val="20"/>
                <w:lang w:val="en-AU"/>
              </w:rPr>
              <w:tab/>
            </w:r>
            <w:r w:rsidR="006841B4">
              <w:rPr>
                <w:rFonts w:ascii="Verdana" w:hAnsi="Verdana"/>
                <w:webHidden/>
                <w:sz w:val="20"/>
                <w:szCs w:val="20"/>
                <w:lang w:val="en-AU"/>
              </w:rPr>
              <w:t>8</w:t>
            </w:r>
          </w:hyperlink>
          <w:r w:rsidR="006841B4">
            <w:rPr>
              <w:rFonts w:ascii="Verdana" w:hAnsi="Verdana"/>
              <w:sz w:val="20"/>
              <w:szCs w:val="20"/>
              <w:lang w:val="en-AU"/>
            </w:rPr>
            <w:t xml:space="preserve"> &amp; 9 &amp;10</w:t>
          </w:r>
        </w:p>
        <w:p w14:paraId="6DAA9A75" w14:textId="02B60C62"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26" w:history="1">
            <w:r w:rsidRPr="009D70ED">
              <w:rPr>
                <w:rStyle w:val="Hyperlink"/>
                <w:rFonts w:ascii="Verdana" w:hAnsi="Verdana" w:cs="Times New Roman"/>
                <w:sz w:val="20"/>
                <w:szCs w:val="20"/>
                <w:lang w:val="en-AU"/>
              </w:rPr>
              <w:t>Task 4: SVA model</w:t>
            </w:r>
            <w:r w:rsidRPr="009D70ED">
              <w:rPr>
                <w:rFonts w:ascii="Verdana" w:hAnsi="Verdana"/>
                <w:webHidden/>
                <w:sz w:val="20"/>
                <w:szCs w:val="20"/>
                <w:lang w:val="en-AU"/>
              </w:rPr>
              <w:tab/>
            </w:r>
          </w:hyperlink>
        </w:p>
        <w:p w14:paraId="44F472D7" w14:textId="2EC26627" w:rsidR="00824103" w:rsidRPr="009D70ED" w:rsidRDefault="00824103" w:rsidP="00824103">
          <w:pPr>
            <w:pStyle w:val="TOC2"/>
            <w:tabs>
              <w:tab w:val="right" w:leader="dot" w:pos="9350"/>
            </w:tabs>
            <w:spacing w:line="360" w:lineRule="auto"/>
            <w:rPr>
              <w:rFonts w:ascii="Verdana" w:eastAsiaTheme="minorEastAsia" w:hAnsi="Verdana" w:cstheme="minorBidi"/>
              <w:sz w:val="20"/>
              <w:szCs w:val="20"/>
              <w:lang w:val="en-AU" w:eastAsia="en-IN"/>
            </w:rPr>
          </w:pPr>
          <w:hyperlink w:anchor="_Toc102976527" w:history="1">
            <w:r w:rsidRPr="009D70ED">
              <w:rPr>
                <w:rStyle w:val="Hyperlink"/>
                <w:rFonts w:ascii="Verdana" w:hAnsi="Verdana" w:cs="Times New Roman"/>
                <w:sz w:val="20"/>
                <w:szCs w:val="20"/>
                <w:lang w:val="en-AU"/>
              </w:rPr>
              <w:t xml:space="preserve"> Part A</w:t>
            </w:r>
            <w:r w:rsidR="006203E8">
              <w:rPr>
                <w:rStyle w:val="Hyperlink"/>
                <w:rFonts w:ascii="Verdana" w:hAnsi="Verdana" w:cs="Times New Roman"/>
                <w:sz w:val="20"/>
                <w:szCs w:val="20"/>
                <w:lang w:val="en-AU"/>
              </w:rPr>
              <w:t xml:space="preserve"> </w:t>
            </w:r>
            <w:r w:rsidR="00662EE6">
              <w:rPr>
                <w:rStyle w:val="Hyperlink"/>
                <w:rFonts w:ascii="Verdana" w:hAnsi="Verdana" w:cs="Times New Roman"/>
                <w:sz w:val="20"/>
                <w:szCs w:val="20"/>
                <w:lang w:val="en-AU"/>
              </w:rPr>
              <w:t xml:space="preserve">SVA Drivers </w:t>
            </w:r>
            <w:r w:rsidRPr="009D70ED">
              <w:rPr>
                <w:rFonts w:ascii="Verdana" w:hAnsi="Verdana"/>
                <w:webHidden/>
                <w:sz w:val="20"/>
                <w:szCs w:val="20"/>
                <w:lang w:val="en-AU"/>
              </w:rPr>
              <w:tab/>
            </w:r>
            <w:r w:rsidR="006841B4">
              <w:rPr>
                <w:rFonts w:ascii="Verdana" w:hAnsi="Verdana"/>
                <w:webHidden/>
                <w:sz w:val="20"/>
                <w:szCs w:val="20"/>
                <w:lang w:val="en-AU"/>
              </w:rPr>
              <w:t>10</w:t>
            </w:r>
          </w:hyperlink>
          <w:r w:rsidR="0007442F">
            <w:rPr>
              <w:rFonts w:ascii="Verdana" w:hAnsi="Verdana"/>
              <w:sz w:val="20"/>
              <w:szCs w:val="20"/>
              <w:lang w:val="en-AU"/>
            </w:rPr>
            <w:t xml:space="preserve"> &amp; 11 &amp; 12</w:t>
          </w:r>
        </w:p>
        <w:p w14:paraId="70E67127" w14:textId="692453CA" w:rsidR="00824103" w:rsidRPr="009D70ED" w:rsidRDefault="00824103" w:rsidP="00824103">
          <w:pPr>
            <w:pStyle w:val="TOC2"/>
            <w:tabs>
              <w:tab w:val="right" w:leader="dot" w:pos="9350"/>
            </w:tabs>
            <w:spacing w:line="360" w:lineRule="auto"/>
            <w:rPr>
              <w:rFonts w:ascii="Verdana" w:eastAsiaTheme="minorEastAsia" w:hAnsi="Verdana" w:cstheme="minorBidi"/>
              <w:sz w:val="20"/>
              <w:szCs w:val="20"/>
              <w:lang w:val="en-AU" w:eastAsia="en-IN"/>
            </w:rPr>
          </w:pPr>
          <w:hyperlink w:anchor="_Toc102976528" w:history="1">
            <w:r w:rsidRPr="009D70ED">
              <w:rPr>
                <w:rStyle w:val="Hyperlink"/>
                <w:rFonts w:ascii="Verdana" w:hAnsi="Verdana" w:cs="Times New Roman"/>
                <w:sz w:val="20"/>
                <w:szCs w:val="20"/>
                <w:lang w:val="en-AU"/>
              </w:rPr>
              <w:t>Part B</w:t>
            </w:r>
            <w:r w:rsidR="00662EE6">
              <w:rPr>
                <w:rStyle w:val="Hyperlink"/>
                <w:rFonts w:ascii="Verdana" w:hAnsi="Verdana" w:cs="Times New Roman"/>
                <w:sz w:val="20"/>
                <w:szCs w:val="20"/>
                <w:lang w:val="en-AU"/>
              </w:rPr>
              <w:t xml:space="preserve"> </w:t>
            </w:r>
            <w:r w:rsidR="009E54E2">
              <w:rPr>
                <w:rStyle w:val="Hyperlink"/>
                <w:rFonts w:ascii="Verdana" w:hAnsi="Verdana" w:cs="Times New Roman"/>
                <w:sz w:val="20"/>
                <w:szCs w:val="20"/>
                <w:lang w:val="en-AU"/>
              </w:rPr>
              <w:t xml:space="preserve">Revised Drivers </w:t>
            </w:r>
            <w:r w:rsidRPr="009D70ED">
              <w:rPr>
                <w:rFonts w:ascii="Verdana" w:hAnsi="Verdana"/>
                <w:webHidden/>
                <w:sz w:val="20"/>
                <w:szCs w:val="20"/>
                <w:lang w:val="en-AU"/>
              </w:rPr>
              <w:tab/>
            </w:r>
            <w:r w:rsidR="00662EE6">
              <w:rPr>
                <w:rFonts w:ascii="Verdana" w:hAnsi="Verdana"/>
                <w:webHidden/>
                <w:sz w:val="20"/>
                <w:szCs w:val="20"/>
                <w:lang w:val="en-AU"/>
              </w:rPr>
              <w:t xml:space="preserve"> </w:t>
            </w:r>
            <w:r w:rsidR="0007442F">
              <w:rPr>
                <w:rFonts w:ascii="Verdana" w:hAnsi="Verdana"/>
                <w:webHidden/>
                <w:sz w:val="20"/>
                <w:szCs w:val="20"/>
                <w:lang w:val="en-AU"/>
              </w:rPr>
              <w:t>12 &amp;13</w:t>
            </w:r>
          </w:hyperlink>
        </w:p>
        <w:p w14:paraId="538FD735" w14:textId="01723DDB"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29" w:history="1">
            <w:r w:rsidRPr="009D70ED">
              <w:rPr>
                <w:rStyle w:val="Hyperlink"/>
                <w:rFonts w:ascii="Verdana" w:hAnsi="Verdana" w:cs="Times New Roman"/>
                <w:sz w:val="20"/>
                <w:szCs w:val="20"/>
                <w:lang w:val="en-AU"/>
              </w:rPr>
              <w:t>Task 5</w:t>
            </w:r>
            <w:r w:rsidR="009E54E2">
              <w:rPr>
                <w:rStyle w:val="Hyperlink"/>
                <w:rFonts w:ascii="Verdana" w:hAnsi="Verdana" w:cs="Times New Roman"/>
                <w:sz w:val="20"/>
                <w:szCs w:val="20"/>
                <w:lang w:val="en-AU"/>
              </w:rPr>
              <w:t xml:space="preserve"> merger </w:t>
            </w:r>
            <w:r w:rsidR="00425149">
              <w:rPr>
                <w:rStyle w:val="Hyperlink"/>
                <w:rFonts w:ascii="Verdana" w:hAnsi="Verdana" w:cs="Times New Roman"/>
                <w:sz w:val="20"/>
                <w:szCs w:val="20"/>
                <w:lang w:val="en-AU"/>
              </w:rPr>
              <w:t>&amp; Acquisitions</w:t>
            </w:r>
            <w:r w:rsidRPr="009D70ED">
              <w:rPr>
                <w:rFonts w:ascii="Verdana" w:hAnsi="Verdana"/>
                <w:webHidden/>
                <w:sz w:val="20"/>
                <w:szCs w:val="20"/>
                <w:lang w:val="en-AU"/>
              </w:rPr>
              <w:tab/>
            </w:r>
            <w:r w:rsidR="0007442F">
              <w:rPr>
                <w:rFonts w:ascii="Verdana" w:hAnsi="Verdana"/>
                <w:webHidden/>
                <w:sz w:val="20"/>
                <w:szCs w:val="20"/>
                <w:lang w:val="en-AU"/>
              </w:rPr>
              <w:t>13 &amp; 14</w:t>
            </w:r>
          </w:hyperlink>
        </w:p>
        <w:p w14:paraId="503FF7C6" w14:textId="3B242905"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30" w:history="1">
            <w:r w:rsidRPr="009D70ED">
              <w:rPr>
                <w:rStyle w:val="Hyperlink"/>
                <w:rFonts w:ascii="Verdana" w:hAnsi="Verdana" w:cs="Times New Roman"/>
                <w:sz w:val="20"/>
                <w:szCs w:val="20"/>
                <w:lang w:val="en-AU"/>
              </w:rPr>
              <w:t>Conclusion</w:t>
            </w:r>
            <w:r w:rsidRPr="009D70ED">
              <w:rPr>
                <w:rFonts w:ascii="Verdana" w:hAnsi="Verdana"/>
                <w:webHidden/>
                <w:sz w:val="20"/>
                <w:szCs w:val="20"/>
                <w:lang w:val="en-AU"/>
              </w:rPr>
              <w:tab/>
            </w:r>
            <w:r w:rsidRPr="009D70ED">
              <w:rPr>
                <w:rFonts w:ascii="Verdana" w:hAnsi="Verdana"/>
                <w:webHidden/>
                <w:sz w:val="20"/>
                <w:szCs w:val="20"/>
                <w:lang w:val="en-AU"/>
              </w:rPr>
              <w:fldChar w:fldCharType="begin"/>
            </w:r>
            <w:r w:rsidRPr="009D70ED">
              <w:rPr>
                <w:rFonts w:ascii="Verdana" w:hAnsi="Verdana"/>
                <w:webHidden/>
                <w:sz w:val="20"/>
                <w:szCs w:val="20"/>
                <w:lang w:val="en-AU"/>
              </w:rPr>
              <w:instrText xml:space="preserve"> PAGEREF _Toc102976530 \h </w:instrText>
            </w:r>
            <w:r w:rsidRPr="009D70ED">
              <w:rPr>
                <w:rFonts w:ascii="Verdana" w:hAnsi="Verdana"/>
                <w:webHidden/>
                <w:sz w:val="20"/>
                <w:szCs w:val="20"/>
                <w:lang w:val="en-AU"/>
              </w:rPr>
            </w:r>
            <w:r w:rsidRPr="009D70ED">
              <w:rPr>
                <w:rFonts w:ascii="Verdana" w:hAnsi="Verdana"/>
                <w:webHidden/>
                <w:sz w:val="20"/>
                <w:szCs w:val="20"/>
                <w:lang w:val="en-AU"/>
              </w:rPr>
              <w:fldChar w:fldCharType="separate"/>
            </w:r>
            <w:r w:rsidRPr="009D70ED">
              <w:rPr>
                <w:rFonts w:ascii="Verdana" w:hAnsi="Verdana"/>
                <w:webHidden/>
                <w:sz w:val="20"/>
                <w:szCs w:val="20"/>
                <w:lang w:val="en-AU"/>
              </w:rPr>
              <w:t>1</w:t>
            </w:r>
            <w:r w:rsidR="0007442F">
              <w:rPr>
                <w:rFonts w:ascii="Verdana" w:hAnsi="Verdana"/>
                <w:webHidden/>
                <w:sz w:val="20"/>
                <w:szCs w:val="20"/>
                <w:lang w:val="en-AU"/>
              </w:rPr>
              <w:t>4</w:t>
            </w:r>
            <w:r w:rsidRPr="009D70ED">
              <w:rPr>
                <w:rFonts w:ascii="Verdana" w:hAnsi="Verdana"/>
                <w:webHidden/>
                <w:sz w:val="20"/>
                <w:szCs w:val="20"/>
                <w:lang w:val="en-AU"/>
              </w:rPr>
              <w:fldChar w:fldCharType="end"/>
            </w:r>
          </w:hyperlink>
        </w:p>
        <w:p w14:paraId="411159DF" w14:textId="70EBF6F0" w:rsidR="00824103" w:rsidRPr="009D70ED" w:rsidRDefault="00824103" w:rsidP="00824103">
          <w:pPr>
            <w:pStyle w:val="TOC1"/>
            <w:tabs>
              <w:tab w:val="right" w:leader="dot" w:pos="9350"/>
            </w:tabs>
            <w:spacing w:line="360" w:lineRule="auto"/>
            <w:rPr>
              <w:rFonts w:ascii="Verdana" w:eastAsiaTheme="minorEastAsia" w:hAnsi="Verdana" w:cstheme="minorBidi"/>
              <w:sz w:val="20"/>
              <w:szCs w:val="20"/>
              <w:lang w:val="en-AU" w:eastAsia="en-IN"/>
            </w:rPr>
          </w:pPr>
          <w:hyperlink w:anchor="_Toc102976531" w:history="1">
            <w:r w:rsidRPr="009D70ED">
              <w:rPr>
                <w:rStyle w:val="Hyperlink"/>
                <w:rFonts w:ascii="Verdana" w:hAnsi="Verdana" w:cs="Times New Roman"/>
                <w:sz w:val="20"/>
                <w:szCs w:val="20"/>
                <w:lang w:val="en-AU"/>
              </w:rPr>
              <w:t>References</w:t>
            </w:r>
            <w:r w:rsidRPr="009D70ED">
              <w:rPr>
                <w:rFonts w:ascii="Verdana" w:hAnsi="Verdana"/>
                <w:webHidden/>
                <w:sz w:val="20"/>
                <w:szCs w:val="20"/>
                <w:lang w:val="en-AU"/>
              </w:rPr>
              <w:tab/>
            </w:r>
            <w:r w:rsidRPr="009D70ED">
              <w:rPr>
                <w:rFonts w:ascii="Verdana" w:hAnsi="Verdana"/>
                <w:webHidden/>
                <w:sz w:val="20"/>
                <w:szCs w:val="20"/>
                <w:lang w:val="en-AU"/>
              </w:rPr>
              <w:fldChar w:fldCharType="begin"/>
            </w:r>
            <w:r w:rsidRPr="009D70ED">
              <w:rPr>
                <w:rFonts w:ascii="Verdana" w:hAnsi="Verdana"/>
                <w:webHidden/>
                <w:sz w:val="20"/>
                <w:szCs w:val="20"/>
                <w:lang w:val="en-AU"/>
              </w:rPr>
              <w:instrText xml:space="preserve"> PAGEREF _Toc102976531 \h </w:instrText>
            </w:r>
            <w:r w:rsidRPr="009D70ED">
              <w:rPr>
                <w:rFonts w:ascii="Verdana" w:hAnsi="Verdana"/>
                <w:webHidden/>
                <w:sz w:val="20"/>
                <w:szCs w:val="20"/>
                <w:lang w:val="en-AU"/>
              </w:rPr>
            </w:r>
            <w:r w:rsidRPr="009D70ED">
              <w:rPr>
                <w:rFonts w:ascii="Verdana" w:hAnsi="Verdana"/>
                <w:webHidden/>
                <w:sz w:val="20"/>
                <w:szCs w:val="20"/>
                <w:lang w:val="en-AU"/>
              </w:rPr>
              <w:fldChar w:fldCharType="separate"/>
            </w:r>
            <w:r w:rsidRPr="009D70ED">
              <w:rPr>
                <w:rFonts w:ascii="Verdana" w:hAnsi="Verdana"/>
                <w:webHidden/>
                <w:sz w:val="20"/>
                <w:szCs w:val="20"/>
                <w:lang w:val="en-AU"/>
              </w:rPr>
              <w:t>1</w:t>
            </w:r>
            <w:r w:rsidR="0007442F">
              <w:rPr>
                <w:rFonts w:ascii="Verdana" w:hAnsi="Verdana"/>
                <w:webHidden/>
                <w:sz w:val="20"/>
                <w:szCs w:val="20"/>
                <w:lang w:val="en-AU"/>
              </w:rPr>
              <w:t>4 &amp; 15</w:t>
            </w:r>
            <w:r w:rsidRPr="009D70ED">
              <w:rPr>
                <w:rFonts w:ascii="Verdana" w:hAnsi="Verdana"/>
                <w:webHidden/>
                <w:sz w:val="20"/>
                <w:szCs w:val="20"/>
                <w:lang w:val="en-AU"/>
              </w:rPr>
              <w:fldChar w:fldCharType="end"/>
            </w:r>
          </w:hyperlink>
        </w:p>
        <w:p w14:paraId="50134725" w14:textId="3483305E" w:rsidR="00824103" w:rsidRDefault="00824103" w:rsidP="00824103">
          <w:pPr>
            <w:spacing w:before="240" w:after="240" w:line="360" w:lineRule="auto"/>
            <w:jc w:val="both"/>
            <w:rPr>
              <w:rFonts w:ascii="Verdana" w:hAnsi="Verdana" w:cs="Times New Roman"/>
              <w:b/>
              <w:bCs/>
              <w:sz w:val="20"/>
              <w:szCs w:val="20"/>
              <w:lang w:val="en-AU"/>
            </w:rPr>
          </w:pPr>
          <w:r w:rsidRPr="009D70ED">
            <w:rPr>
              <w:rFonts w:ascii="Verdana" w:hAnsi="Verdana" w:cs="Times New Roman"/>
              <w:b/>
              <w:bCs/>
              <w:sz w:val="20"/>
              <w:szCs w:val="20"/>
              <w:lang w:val="en-AU"/>
            </w:rPr>
            <w:fldChar w:fldCharType="end"/>
          </w:r>
        </w:p>
      </w:sdtContent>
    </w:sdt>
    <w:p w14:paraId="7AC6FEB0" w14:textId="77777777" w:rsidR="00824103" w:rsidRDefault="00824103" w:rsidP="00D110E4">
      <w:pPr>
        <w:spacing w:before="240" w:after="240" w:line="360" w:lineRule="auto"/>
        <w:jc w:val="both"/>
        <w:rPr>
          <w:rFonts w:ascii="Verdana" w:hAnsi="Verdana"/>
          <w:sz w:val="20"/>
          <w:szCs w:val="20"/>
        </w:rPr>
      </w:pPr>
    </w:p>
    <w:p w14:paraId="2426D073" w14:textId="77777777" w:rsidR="00824103" w:rsidRDefault="00824103" w:rsidP="00D110E4">
      <w:pPr>
        <w:spacing w:before="240" w:after="240" w:line="360" w:lineRule="auto"/>
        <w:jc w:val="both"/>
        <w:rPr>
          <w:rFonts w:ascii="Verdana" w:hAnsi="Verdana"/>
          <w:sz w:val="20"/>
          <w:szCs w:val="20"/>
        </w:rPr>
      </w:pPr>
    </w:p>
    <w:p w14:paraId="212ECA24" w14:textId="77777777" w:rsidR="00824103" w:rsidRDefault="00824103" w:rsidP="00D110E4">
      <w:pPr>
        <w:spacing w:before="240" w:after="240" w:line="360" w:lineRule="auto"/>
        <w:jc w:val="both"/>
        <w:rPr>
          <w:rFonts w:ascii="Verdana" w:hAnsi="Verdana"/>
          <w:sz w:val="20"/>
          <w:szCs w:val="20"/>
        </w:rPr>
      </w:pPr>
    </w:p>
    <w:p w14:paraId="70684A47" w14:textId="77777777" w:rsidR="00824103" w:rsidRDefault="00824103" w:rsidP="00D110E4">
      <w:pPr>
        <w:spacing w:before="240" w:after="240" w:line="360" w:lineRule="auto"/>
        <w:jc w:val="both"/>
        <w:rPr>
          <w:rFonts w:ascii="Verdana" w:hAnsi="Verdana"/>
          <w:sz w:val="20"/>
          <w:szCs w:val="20"/>
        </w:rPr>
      </w:pPr>
    </w:p>
    <w:p w14:paraId="6AF83F62" w14:textId="77777777" w:rsidR="00824103" w:rsidRDefault="00824103" w:rsidP="00D110E4">
      <w:pPr>
        <w:spacing w:before="240" w:after="240" w:line="360" w:lineRule="auto"/>
        <w:jc w:val="both"/>
        <w:rPr>
          <w:rFonts w:ascii="Verdana" w:hAnsi="Verdana"/>
          <w:sz w:val="20"/>
          <w:szCs w:val="20"/>
        </w:rPr>
      </w:pPr>
    </w:p>
    <w:p w14:paraId="54DA37FF" w14:textId="77777777" w:rsidR="00824103" w:rsidRDefault="00824103" w:rsidP="00D110E4">
      <w:pPr>
        <w:spacing w:before="240" w:after="240" w:line="360" w:lineRule="auto"/>
        <w:jc w:val="both"/>
        <w:rPr>
          <w:rFonts w:ascii="Verdana" w:hAnsi="Verdana"/>
          <w:sz w:val="20"/>
          <w:szCs w:val="20"/>
        </w:rPr>
      </w:pPr>
    </w:p>
    <w:p w14:paraId="541BB792" w14:textId="77777777" w:rsidR="00824103" w:rsidRDefault="00824103" w:rsidP="00D110E4">
      <w:pPr>
        <w:spacing w:before="240" w:after="240" w:line="360" w:lineRule="auto"/>
        <w:jc w:val="both"/>
        <w:rPr>
          <w:rFonts w:ascii="Verdana" w:hAnsi="Verdana"/>
          <w:sz w:val="20"/>
          <w:szCs w:val="20"/>
        </w:rPr>
      </w:pPr>
    </w:p>
    <w:p w14:paraId="26293737" w14:textId="77777777" w:rsidR="00824103" w:rsidRDefault="00824103" w:rsidP="00D110E4">
      <w:pPr>
        <w:spacing w:before="240" w:after="240" w:line="360" w:lineRule="auto"/>
        <w:jc w:val="both"/>
        <w:rPr>
          <w:rFonts w:ascii="Verdana" w:hAnsi="Verdana"/>
          <w:sz w:val="20"/>
          <w:szCs w:val="20"/>
        </w:rPr>
      </w:pPr>
    </w:p>
    <w:p w14:paraId="7E0C0CEB" w14:textId="77777777" w:rsidR="00824103" w:rsidRDefault="00824103" w:rsidP="00D110E4">
      <w:pPr>
        <w:spacing w:before="240" w:after="240" w:line="360" w:lineRule="auto"/>
        <w:jc w:val="both"/>
        <w:rPr>
          <w:rFonts w:ascii="Verdana" w:hAnsi="Verdana"/>
          <w:sz w:val="20"/>
          <w:szCs w:val="20"/>
        </w:rPr>
      </w:pPr>
    </w:p>
    <w:p w14:paraId="72873291" w14:textId="77777777" w:rsidR="00824103" w:rsidRDefault="00824103" w:rsidP="00D110E4">
      <w:pPr>
        <w:spacing w:before="240" w:after="240" w:line="360" w:lineRule="auto"/>
        <w:jc w:val="both"/>
        <w:rPr>
          <w:rFonts w:ascii="Verdana" w:hAnsi="Verdana"/>
          <w:sz w:val="20"/>
          <w:szCs w:val="20"/>
        </w:rPr>
      </w:pPr>
    </w:p>
    <w:p w14:paraId="24BB28A1" w14:textId="77777777" w:rsidR="00824103" w:rsidRDefault="00824103" w:rsidP="00D110E4">
      <w:pPr>
        <w:spacing w:before="240" w:after="240" w:line="360" w:lineRule="auto"/>
        <w:jc w:val="both"/>
        <w:rPr>
          <w:rFonts w:ascii="Verdana" w:hAnsi="Verdana"/>
          <w:sz w:val="20"/>
          <w:szCs w:val="20"/>
        </w:rPr>
      </w:pPr>
    </w:p>
    <w:p w14:paraId="4B13FC41" w14:textId="757D9133" w:rsidR="00824103" w:rsidRDefault="00824103" w:rsidP="00D110E4">
      <w:pPr>
        <w:spacing w:before="240" w:after="240" w:line="360" w:lineRule="auto"/>
        <w:jc w:val="both"/>
        <w:rPr>
          <w:rFonts w:ascii="Verdana" w:hAnsi="Verdana"/>
          <w:sz w:val="20"/>
          <w:szCs w:val="20"/>
        </w:rPr>
      </w:pPr>
    </w:p>
    <w:p w14:paraId="6D385519" w14:textId="25259ECA" w:rsidR="006841B4" w:rsidRDefault="006841B4" w:rsidP="00D110E4">
      <w:pPr>
        <w:spacing w:before="240" w:after="240" w:line="360" w:lineRule="auto"/>
        <w:jc w:val="both"/>
        <w:rPr>
          <w:rFonts w:ascii="Verdana" w:hAnsi="Verdana"/>
          <w:sz w:val="20"/>
          <w:szCs w:val="20"/>
        </w:rPr>
      </w:pPr>
    </w:p>
    <w:p w14:paraId="2F4964DB" w14:textId="77777777" w:rsidR="006841B4" w:rsidRDefault="006841B4" w:rsidP="00D110E4">
      <w:pPr>
        <w:spacing w:before="240" w:after="240" w:line="360" w:lineRule="auto"/>
        <w:jc w:val="both"/>
        <w:rPr>
          <w:rFonts w:ascii="Verdana" w:hAnsi="Verdana"/>
          <w:sz w:val="20"/>
          <w:szCs w:val="20"/>
        </w:rPr>
      </w:pPr>
    </w:p>
    <w:p w14:paraId="12A47271" w14:textId="1D4538BF" w:rsidR="008563BC" w:rsidRPr="00ED2367" w:rsidRDefault="008563BC" w:rsidP="00153549">
      <w:pPr>
        <w:rPr>
          <w:rFonts w:ascii="Verdana" w:hAnsi="Verdana"/>
          <w:b/>
          <w:bCs/>
          <w:sz w:val="20"/>
          <w:szCs w:val="20"/>
        </w:rPr>
      </w:pPr>
      <w:r w:rsidRPr="00ED2367">
        <w:rPr>
          <w:rFonts w:ascii="Verdana" w:hAnsi="Verdana"/>
          <w:b/>
          <w:bCs/>
          <w:sz w:val="20"/>
          <w:szCs w:val="20"/>
        </w:rPr>
        <w:lastRenderedPageBreak/>
        <w:t>Introduction</w:t>
      </w:r>
    </w:p>
    <w:p w14:paraId="3C3921C9" w14:textId="45497BA7" w:rsidR="008563BC" w:rsidRDefault="00487E08" w:rsidP="00630AF4">
      <w:pPr>
        <w:spacing w:line="360" w:lineRule="auto"/>
        <w:rPr>
          <w:rFonts w:ascii="Verdana" w:hAnsi="Verdana"/>
          <w:sz w:val="20"/>
          <w:szCs w:val="20"/>
        </w:rPr>
      </w:pPr>
      <w:r w:rsidRPr="00487E08">
        <w:rPr>
          <w:rFonts w:ascii="Verdana" w:hAnsi="Verdana"/>
          <w:sz w:val="20"/>
          <w:szCs w:val="20"/>
        </w:rPr>
        <w:t>NCC Group is a world leader in cybersecurity, offering professional services to companies and organisations to protect their vital assets and systems.</w:t>
      </w:r>
      <w:r>
        <w:rPr>
          <w:rFonts w:ascii="Verdana" w:hAnsi="Verdana"/>
          <w:sz w:val="20"/>
          <w:szCs w:val="20"/>
        </w:rPr>
        <w:t xml:space="preserve"> </w:t>
      </w:r>
      <w:r w:rsidRPr="00487E08">
        <w:rPr>
          <w:rFonts w:ascii="Verdana" w:hAnsi="Verdana"/>
          <w:sz w:val="20"/>
          <w:szCs w:val="20"/>
        </w:rPr>
        <w:t>Audits of compliance, penetration testing, and vulnerabilities</w:t>
      </w:r>
      <w:r>
        <w:rPr>
          <w:rFonts w:ascii="Verdana" w:hAnsi="Verdana"/>
          <w:sz w:val="20"/>
          <w:szCs w:val="20"/>
        </w:rPr>
        <w:t xml:space="preserve"> </w:t>
      </w:r>
      <w:r w:rsidRPr="00487E08">
        <w:rPr>
          <w:rFonts w:ascii="Verdana" w:hAnsi="Verdana"/>
          <w:sz w:val="20"/>
          <w:szCs w:val="20"/>
        </w:rPr>
        <w:t>Threat intelligence, incident response, security architecture, and training are all areas of consulting. Constant monitoring, threat detection and response, and security operations are examples of managed services. Important advantages consist of Strong track record of profitability and stable cash flow.</w:t>
      </w:r>
      <w:r>
        <w:rPr>
          <w:rFonts w:ascii="Verdana" w:hAnsi="Verdana"/>
          <w:sz w:val="20"/>
          <w:szCs w:val="20"/>
        </w:rPr>
        <w:t xml:space="preserve"> </w:t>
      </w:r>
    </w:p>
    <w:p w14:paraId="119B06A3" w14:textId="03C51EBE" w:rsidR="00153549" w:rsidRPr="00ED2367" w:rsidRDefault="007C6274" w:rsidP="00153549">
      <w:pPr>
        <w:rPr>
          <w:rFonts w:ascii="Verdana" w:hAnsi="Verdana"/>
          <w:b/>
          <w:bCs/>
          <w:sz w:val="20"/>
          <w:szCs w:val="20"/>
        </w:rPr>
      </w:pPr>
      <w:r w:rsidRPr="00ED2367">
        <w:rPr>
          <w:rFonts w:ascii="Verdana" w:hAnsi="Verdana"/>
          <w:b/>
          <w:bCs/>
          <w:sz w:val="20"/>
          <w:szCs w:val="20"/>
        </w:rPr>
        <w:t>Task</w:t>
      </w:r>
      <w:r w:rsidR="00153549" w:rsidRPr="00ED2367">
        <w:rPr>
          <w:rFonts w:ascii="Verdana" w:hAnsi="Verdana"/>
          <w:b/>
          <w:bCs/>
          <w:sz w:val="20"/>
          <w:szCs w:val="20"/>
        </w:rPr>
        <w:t xml:space="preserve"> </w:t>
      </w:r>
      <w:r w:rsidR="00A95856" w:rsidRPr="00ED2367">
        <w:rPr>
          <w:rFonts w:ascii="Verdana" w:hAnsi="Verdana"/>
          <w:b/>
          <w:bCs/>
          <w:sz w:val="20"/>
          <w:szCs w:val="20"/>
        </w:rPr>
        <w:t>1</w:t>
      </w:r>
    </w:p>
    <w:p w14:paraId="02F49A15" w14:textId="77777777" w:rsidR="00196AEE" w:rsidRDefault="00A95856" w:rsidP="00630AF4">
      <w:pPr>
        <w:spacing w:line="360" w:lineRule="auto"/>
        <w:rPr>
          <w:rFonts w:ascii="Verdana" w:hAnsi="Verdana"/>
          <w:sz w:val="20"/>
          <w:szCs w:val="20"/>
        </w:rPr>
      </w:pPr>
      <w:r w:rsidRPr="00141C2E">
        <w:rPr>
          <w:rFonts w:ascii="Verdana" w:hAnsi="Verdana"/>
          <w:sz w:val="20"/>
          <w:szCs w:val="20"/>
        </w:rPr>
        <w:t>As of the 2nd of January 2024, Company N</w:t>
      </w:r>
      <w:r w:rsidR="00DA1867" w:rsidRPr="00141C2E">
        <w:rPr>
          <w:rFonts w:ascii="Verdana" w:hAnsi="Verdana"/>
          <w:sz w:val="20"/>
          <w:szCs w:val="20"/>
        </w:rPr>
        <w:t>CC</w:t>
      </w:r>
      <w:r w:rsidRPr="00141C2E">
        <w:rPr>
          <w:rFonts w:ascii="Verdana" w:hAnsi="Verdana"/>
          <w:sz w:val="20"/>
          <w:szCs w:val="20"/>
        </w:rPr>
        <w:t xml:space="preserve"> group Plc’ market capitalisation was 403.77 million (Financial times, 2024) with a price of</w:t>
      </w:r>
      <w:r w:rsidR="00354C71" w:rsidRPr="00141C2E">
        <w:rPr>
          <w:rFonts w:ascii="Verdana" w:hAnsi="Verdana"/>
          <w:sz w:val="20"/>
          <w:szCs w:val="20"/>
        </w:rPr>
        <w:t xml:space="preserve"> 124.80</w:t>
      </w:r>
      <w:r w:rsidRPr="00141C2E">
        <w:rPr>
          <w:rFonts w:ascii="Verdana" w:hAnsi="Verdana"/>
          <w:sz w:val="20"/>
          <w:szCs w:val="20"/>
        </w:rPr>
        <w:t xml:space="preserve"> pence per share.</w:t>
      </w:r>
      <w:r w:rsidR="00354C71" w:rsidRPr="00141C2E">
        <w:rPr>
          <w:rFonts w:ascii="Verdana" w:hAnsi="Verdana"/>
          <w:sz w:val="20"/>
          <w:szCs w:val="20"/>
        </w:rPr>
        <w:t xml:space="preserve"> The book value of the company according to its 2023 annual report stands at </w:t>
      </w:r>
      <w:r w:rsidR="00F34841" w:rsidRPr="00141C2E">
        <w:rPr>
          <w:rFonts w:ascii="Verdana" w:hAnsi="Verdana"/>
          <w:sz w:val="20"/>
          <w:szCs w:val="20"/>
        </w:rPr>
        <w:t>£</w:t>
      </w:r>
      <w:r w:rsidR="009C62CB" w:rsidRPr="00141C2E">
        <w:rPr>
          <w:rFonts w:ascii="Verdana" w:hAnsi="Verdana"/>
          <w:sz w:val="20"/>
          <w:szCs w:val="20"/>
        </w:rPr>
        <w:t>3.1</w:t>
      </w:r>
      <w:r w:rsidR="00F34841" w:rsidRPr="00141C2E">
        <w:rPr>
          <w:rFonts w:ascii="Verdana" w:hAnsi="Verdana"/>
          <w:sz w:val="20"/>
          <w:szCs w:val="20"/>
        </w:rPr>
        <w:t>m</w:t>
      </w:r>
      <w:r w:rsidR="00354C71" w:rsidRPr="00141C2E">
        <w:rPr>
          <w:rFonts w:ascii="Verdana" w:hAnsi="Verdana"/>
          <w:sz w:val="20"/>
          <w:szCs w:val="20"/>
        </w:rPr>
        <w:t>illion</w:t>
      </w:r>
      <w:r w:rsidR="00F34841" w:rsidRPr="00141C2E">
        <w:rPr>
          <w:rFonts w:ascii="Verdana" w:hAnsi="Verdana"/>
          <w:sz w:val="20"/>
          <w:szCs w:val="20"/>
        </w:rPr>
        <w:t xml:space="preserve"> (</w:t>
      </w:r>
      <w:r w:rsidR="00DA1867" w:rsidRPr="00141C2E">
        <w:rPr>
          <w:rFonts w:ascii="Verdana" w:hAnsi="Verdana"/>
          <w:sz w:val="20"/>
          <w:szCs w:val="20"/>
        </w:rPr>
        <w:t>Annual</w:t>
      </w:r>
      <w:r w:rsidR="00F34841" w:rsidRPr="00141C2E">
        <w:rPr>
          <w:rFonts w:ascii="Verdana" w:hAnsi="Verdana"/>
          <w:sz w:val="20"/>
          <w:szCs w:val="20"/>
        </w:rPr>
        <w:t xml:space="preserve"> report 2023, pg</w:t>
      </w:r>
      <w:r w:rsidR="00DA1867" w:rsidRPr="00141C2E">
        <w:rPr>
          <w:rFonts w:ascii="Verdana" w:hAnsi="Verdana"/>
          <w:sz w:val="20"/>
          <w:szCs w:val="20"/>
        </w:rPr>
        <w:t>.</w:t>
      </w:r>
      <w:r w:rsidR="00F34841" w:rsidRPr="00141C2E">
        <w:rPr>
          <w:rFonts w:ascii="Verdana" w:hAnsi="Verdana"/>
          <w:sz w:val="20"/>
          <w:szCs w:val="20"/>
        </w:rPr>
        <w:t xml:space="preserve"> </w:t>
      </w:r>
      <w:r w:rsidR="00C63AA9" w:rsidRPr="00141C2E">
        <w:rPr>
          <w:rFonts w:ascii="Verdana" w:hAnsi="Verdana"/>
          <w:sz w:val="20"/>
          <w:szCs w:val="20"/>
        </w:rPr>
        <w:t>153).</w:t>
      </w:r>
      <w:r w:rsidR="00A91EE9" w:rsidRPr="00141C2E">
        <w:rPr>
          <w:rFonts w:ascii="Verdana" w:hAnsi="Verdana"/>
          <w:sz w:val="20"/>
          <w:szCs w:val="20"/>
        </w:rPr>
        <w:t xml:space="preserve"> Investors may believe that NCC Group's strong position in the market and its expertise in technology will enable them to take a significant portion of this expanding industry</w:t>
      </w:r>
      <w:r w:rsidR="007E6EC1">
        <w:rPr>
          <w:rFonts w:ascii="Verdana" w:hAnsi="Verdana"/>
          <w:sz w:val="20"/>
          <w:szCs w:val="20"/>
        </w:rPr>
        <w:t xml:space="preserve"> </w:t>
      </w:r>
      <w:r w:rsidR="00A91EE9" w:rsidRPr="00141C2E">
        <w:rPr>
          <w:rFonts w:ascii="Verdana" w:hAnsi="Verdana"/>
          <w:sz w:val="20"/>
          <w:szCs w:val="20"/>
        </w:rPr>
        <w:t>and supporting a greater market valuation.</w:t>
      </w:r>
      <w:r w:rsidR="007F3DCF" w:rsidRPr="00141C2E">
        <w:rPr>
          <w:rFonts w:ascii="Verdana" w:eastAsia="Verdana" w:hAnsi="Verdana" w:cs="Verdana"/>
          <w:color w:val="000000"/>
          <w:sz w:val="20"/>
          <w:szCs w:val="20"/>
        </w:rPr>
        <w:t xml:space="preserve"> </w:t>
      </w:r>
      <w:r w:rsidR="007F3DCF" w:rsidRPr="00141C2E">
        <w:rPr>
          <w:rFonts w:ascii="Verdana" w:hAnsi="Verdana"/>
          <w:sz w:val="20"/>
          <w:szCs w:val="20"/>
        </w:rPr>
        <w:t xml:space="preserve">The ordinary shares </w:t>
      </w:r>
      <w:r w:rsidR="007D3FD4" w:rsidRPr="00141C2E">
        <w:rPr>
          <w:rFonts w:ascii="Verdana" w:hAnsi="Verdana"/>
          <w:sz w:val="20"/>
          <w:szCs w:val="20"/>
        </w:rPr>
        <w:t>at the</w:t>
      </w:r>
      <w:r w:rsidR="007F3DCF" w:rsidRPr="00141C2E">
        <w:rPr>
          <w:rFonts w:ascii="Verdana" w:hAnsi="Verdana"/>
          <w:sz w:val="20"/>
          <w:szCs w:val="20"/>
        </w:rPr>
        <w:t xml:space="preserve"> start of the year </w:t>
      </w:r>
      <w:r w:rsidR="00525C59" w:rsidRPr="00141C2E">
        <w:rPr>
          <w:rFonts w:ascii="Verdana" w:hAnsi="Verdana"/>
          <w:sz w:val="20"/>
          <w:szCs w:val="20"/>
        </w:rPr>
        <w:t xml:space="preserve">309,967,243 </w:t>
      </w:r>
      <w:r w:rsidR="007F3DCF" w:rsidRPr="00141C2E">
        <w:rPr>
          <w:rFonts w:ascii="Verdana" w:hAnsi="Verdana"/>
          <w:sz w:val="20"/>
          <w:szCs w:val="20"/>
        </w:rPr>
        <w:t xml:space="preserve">at a par value of 1 </w:t>
      </w:r>
      <w:proofErr w:type="gramStart"/>
      <w:r w:rsidR="007F3DCF" w:rsidRPr="00141C2E">
        <w:rPr>
          <w:rFonts w:ascii="Verdana" w:hAnsi="Verdana"/>
          <w:sz w:val="20"/>
          <w:szCs w:val="20"/>
        </w:rPr>
        <w:t>pence</w:t>
      </w:r>
      <w:proofErr w:type="gramEnd"/>
      <w:r w:rsidR="007F3DCF" w:rsidRPr="00141C2E">
        <w:rPr>
          <w:rFonts w:ascii="Verdana" w:hAnsi="Verdana"/>
          <w:sz w:val="20"/>
          <w:szCs w:val="20"/>
        </w:rPr>
        <w:t xml:space="preserve"> each</w:t>
      </w:r>
      <w:r w:rsidR="00495C78" w:rsidRPr="00141C2E">
        <w:rPr>
          <w:rFonts w:ascii="Verdana" w:hAnsi="Verdana"/>
          <w:sz w:val="20"/>
          <w:szCs w:val="20"/>
        </w:rPr>
        <w:t xml:space="preserve"> During the year, 2,161,649 (2022: 1,011,198) new ordinary shares of 1p were issued as a result of the exercise of share options. The proceeds of £0.1m (2022: £0.8m) were credited to the share premium account. As </w:t>
      </w:r>
      <w:r w:rsidR="007D3FD4" w:rsidRPr="00141C2E">
        <w:rPr>
          <w:rFonts w:ascii="Verdana" w:hAnsi="Verdana"/>
          <w:sz w:val="20"/>
          <w:szCs w:val="20"/>
        </w:rPr>
        <w:t>of</w:t>
      </w:r>
      <w:r w:rsidR="00495C78" w:rsidRPr="00141C2E">
        <w:rPr>
          <w:rFonts w:ascii="Verdana" w:hAnsi="Verdana"/>
          <w:sz w:val="20"/>
          <w:szCs w:val="20"/>
        </w:rPr>
        <w:t xml:space="preserve"> 31 May 2023, 868,800 shares were held in treasury (2022: nil) </w:t>
      </w:r>
      <w:r w:rsidR="00817B8A" w:rsidRPr="00141C2E">
        <w:rPr>
          <w:rFonts w:ascii="Verdana" w:hAnsi="Verdana"/>
          <w:sz w:val="20"/>
          <w:szCs w:val="20"/>
        </w:rPr>
        <w:t>(Annual report 2023, pg</w:t>
      </w:r>
      <w:r w:rsidR="00DA1867" w:rsidRPr="00141C2E">
        <w:rPr>
          <w:rFonts w:ascii="Verdana" w:hAnsi="Verdana"/>
          <w:sz w:val="20"/>
          <w:szCs w:val="20"/>
        </w:rPr>
        <w:t>.</w:t>
      </w:r>
      <w:r w:rsidR="00817B8A" w:rsidRPr="00141C2E">
        <w:rPr>
          <w:rFonts w:ascii="Verdana" w:hAnsi="Verdana"/>
          <w:sz w:val="20"/>
          <w:szCs w:val="20"/>
        </w:rPr>
        <w:t xml:space="preserve"> 208)</w:t>
      </w:r>
      <w:r w:rsidR="00B934A5" w:rsidRPr="00141C2E">
        <w:rPr>
          <w:rFonts w:ascii="Verdana" w:hAnsi="Verdana"/>
          <w:sz w:val="20"/>
          <w:szCs w:val="20"/>
        </w:rPr>
        <w:t xml:space="preserve"> The retained earrings of -£28.8 million, merger reserves of £42.3 million, and foreign currency translation reserves of £37.5 million made up the </w:t>
      </w:r>
      <w:r w:rsidR="00DA1867" w:rsidRPr="00141C2E">
        <w:rPr>
          <w:rFonts w:ascii="Verdana" w:hAnsi="Verdana"/>
          <w:sz w:val="20"/>
          <w:szCs w:val="20"/>
        </w:rPr>
        <w:t>NCC</w:t>
      </w:r>
      <w:r w:rsidR="00B934A5" w:rsidRPr="00141C2E">
        <w:rPr>
          <w:rFonts w:ascii="Verdana" w:hAnsi="Verdana"/>
          <w:sz w:val="20"/>
          <w:szCs w:val="20"/>
        </w:rPr>
        <w:t xml:space="preserve"> group reserves. At that time, there were no preference shares in issue for the NCCC Group. (2023 Annual Report, page 102)</w:t>
      </w:r>
    </w:p>
    <w:p w14:paraId="4C964201" w14:textId="16718BE0" w:rsidR="007E1DB7" w:rsidRPr="00141C2E" w:rsidRDefault="00443FDF" w:rsidP="00630AF4">
      <w:pPr>
        <w:spacing w:line="360" w:lineRule="auto"/>
        <w:rPr>
          <w:rFonts w:ascii="Verdana" w:hAnsi="Verdana"/>
          <w:sz w:val="20"/>
          <w:szCs w:val="20"/>
        </w:rPr>
      </w:pPr>
      <w:r w:rsidRPr="00141C2E">
        <w:rPr>
          <w:rFonts w:ascii="Verdana" w:hAnsi="Verdana"/>
          <w:sz w:val="20"/>
          <w:szCs w:val="20"/>
        </w:rPr>
        <w:t>Intangible</w:t>
      </w:r>
      <w:r w:rsidR="007E1DB7" w:rsidRPr="00141C2E">
        <w:rPr>
          <w:rFonts w:ascii="Verdana" w:hAnsi="Verdana"/>
          <w:sz w:val="20"/>
          <w:szCs w:val="20"/>
        </w:rPr>
        <w:t xml:space="preserve"> assets like intellectual property, brand recognition, and customer relationships may account for a sizable amount of a company's worth. These assets have a substantial potential to increase future earnings but are not shown on the balance sheet.</w:t>
      </w:r>
    </w:p>
    <w:p w14:paraId="00D96073" w14:textId="6A60E4ED" w:rsidR="0001429D" w:rsidRPr="00141C2E" w:rsidRDefault="0001429D" w:rsidP="00630AF4">
      <w:pPr>
        <w:shd w:val="clear" w:color="auto" w:fill="FFFFFF"/>
        <w:spacing w:before="100" w:beforeAutospacing="1" w:after="150" w:line="360" w:lineRule="auto"/>
        <w:rPr>
          <w:rFonts w:ascii="Verdana" w:hAnsi="Verdana"/>
          <w:sz w:val="20"/>
          <w:szCs w:val="20"/>
        </w:rPr>
      </w:pPr>
      <w:r w:rsidRPr="00141C2E">
        <w:rPr>
          <w:rFonts w:ascii="Verdana" w:hAnsi="Verdana"/>
          <w:sz w:val="20"/>
          <w:szCs w:val="20"/>
        </w:rPr>
        <w:t xml:space="preserve">According to Yahoo finance (2019) the institutional investors account for </w:t>
      </w:r>
      <w:r w:rsidR="00625256" w:rsidRPr="00141C2E">
        <w:rPr>
          <w:rFonts w:ascii="Verdana" w:hAnsi="Verdana"/>
          <w:sz w:val="20"/>
          <w:szCs w:val="20"/>
        </w:rPr>
        <w:t>74.57</w:t>
      </w:r>
      <w:r w:rsidRPr="00141C2E">
        <w:rPr>
          <w:rFonts w:ascii="Verdana" w:hAnsi="Verdana"/>
          <w:sz w:val="20"/>
          <w:szCs w:val="20"/>
        </w:rPr>
        <w:t xml:space="preserve">% of the shareholding, whereas the </w:t>
      </w:r>
      <w:r w:rsidR="00651B4D" w:rsidRPr="00141C2E">
        <w:rPr>
          <w:rFonts w:ascii="Verdana" w:hAnsi="Verdana"/>
          <w:sz w:val="20"/>
          <w:szCs w:val="20"/>
        </w:rPr>
        <w:t>share h</w:t>
      </w:r>
      <w:r w:rsidR="00D75D7C" w:rsidRPr="00141C2E">
        <w:rPr>
          <w:rFonts w:ascii="Verdana" w:hAnsi="Verdana"/>
          <w:sz w:val="20"/>
          <w:szCs w:val="20"/>
        </w:rPr>
        <w:t>eld by</w:t>
      </w:r>
      <w:r w:rsidR="00651B4D" w:rsidRPr="00141C2E">
        <w:rPr>
          <w:rFonts w:ascii="Verdana" w:hAnsi="Verdana"/>
          <w:sz w:val="20"/>
          <w:szCs w:val="20"/>
        </w:rPr>
        <w:t xml:space="preserve"> </w:t>
      </w:r>
      <w:r w:rsidR="00D75D7C" w:rsidRPr="00141C2E">
        <w:rPr>
          <w:rFonts w:ascii="Verdana" w:hAnsi="Verdana"/>
          <w:sz w:val="20"/>
          <w:szCs w:val="20"/>
        </w:rPr>
        <w:t xml:space="preserve">all </w:t>
      </w:r>
      <w:r w:rsidRPr="00141C2E">
        <w:rPr>
          <w:rFonts w:ascii="Verdana" w:hAnsi="Verdana"/>
          <w:sz w:val="20"/>
          <w:szCs w:val="20"/>
        </w:rPr>
        <w:t>in</w:t>
      </w:r>
      <w:r w:rsidR="00625256" w:rsidRPr="00141C2E">
        <w:rPr>
          <w:rFonts w:ascii="Verdana" w:hAnsi="Verdana"/>
          <w:sz w:val="20"/>
          <w:szCs w:val="20"/>
        </w:rPr>
        <w:t>siders</w:t>
      </w:r>
      <w:r w:rsidRPr="00141C2E">
        <w:rPr>
          <w:rFonts w:ascii="Verdana" w:hAnsi="Verdana"/>
          <w:sz w:val="20"/>
          <w:szCs w:val="20"/>
        </w:rPr>
        <w:t xml:space="preserve"> consists of </w:t>
      </w:r>
      <w:r w:rsidR="00D75D7C" w:rsidRPr="00141C2E">
        <w:rPr>
          <w:rFonts w:ascii="Verdana" w:hAnsi="Verdana"/>
          <w:sz w:val="20"/>
          <w:szCs w:val="20"/>
        </w:rPr>
        <w:t>2.01</w:t>
      </w:r>
      <w:r w:rsidRPr="00141C2E">
        <w:rPr>
          <w:rFonts w:ascii="Verdana" w:hAnsi="Verdana"/>
          <w:sz w:val="20"/>
          <w:szCs w:val="20"/>
        </w:rPr>
        <w:t>% of shareholding.</w:t>
      </w:r>
      <w:r w:rsidR="0058712B" w:rsidRPr="00141C2E">
        <w:rPr>
          <w:rFonts w:ascii="Verdana" w:hAnsi="Verdana"/>
          <w:sz w:val="20"/>
          <w:szCs w:val="20"/>
        </w:rPr>
        <w:t xml:space="preserve"> With £107.40 million in long-term debt and £7.20 million in short-term debt, the company's total debt is £114.60 </w:t>
      </w:r>
      <w:r w:rsidR="007D3FD4" w:rsidRPr="00141C2E">
        <w:rPr>
          <w:rFonts w:ascii="Verdana" w:hAnsi="Verdana"/>
          <w:sz w:val="20"/>
          <w:szCs w:val="20"/>
        </w:rPr>
        <w:t>million. (Annual</w:t>
      </w:r>
      <w:r w:rsidR="000D12B8" w:rsidRPr="00141C2E">
        <w:rPr>
          <w:rFonts w:ascii="Verdana" w:hAnsi="Verdana"/>
          <w:sz w:val="20"/>
          <w:szCs w:val="20"/>
        </w:rPr>
        <w:t xml:space="preserve"> report 2023, </w:t>
      </w:r>
      <w:proofErr w:type="spellStart"/>
      <w:r w:rsidR="000D12B8" w:rsidRPr="00141C2E">
        <w:rPr>
          <w:rFonts w:ascii="Verdana" w:hAnsi="Verdana"/>
          <w:sz w:val="20"/>
          <w:szCs w:val="20"/>
        </w:rPr>
        <w:t>pg</w:t>
      </w:r>
      <w:proofErr w:type="spellEnd"/>
      <w:r w:rsidR="000D12B8" w:rsidRPr="00141C2E">
        <w:rPr>
          <w:rFonts w:ascii="Verdana" w:hAnsi="Verdana"/>
          <w:sz w:val="20"/>
          <w:szCs w:val="20"/>
        </w:rPr>
        <w:t xml:space="preserve"> 153)</w:t>
      </w:r>
      <w:r w:rsidR="00AD7A88" w:rsidRPr="00141C2E">
        <w:rPr>
          <w:rFonts w:ascii="Verdana" w:hAnsi="Verdana"/>
          <w:sz w:val="20"/>
          <w:szCs w:val="20"/>
        </w:rPr>
        <w:t xml:space="preserve"> Based on market value, the debt to equity ratio is 0.291%, but based on book value, it is 0.408</w:t>
      </w:r>
      <w:proofErr w:type="gramStart"/>
      <w:r w:rsidR="00AD7A88" w:rsidRPr="00141C2E">
        <w:rPr>
          <w:rFonts w:ascii="Verdana" w:hAnsi="Verdana"/>
          <w:sz w:val="20"/>
          <w:szCs w:val="20"/>
        </w:rPr>
        <w:t>%.</w:t>
      </w:r>
      <w:r w:rsidR="00B60D9C" w:rsidRPr="00141C2E">
        <w:rPr>
          <w:rFonts w:ascii="Verdana" w:hAnsi="Verdana"/>
          <w:sz w:val="20"/>
          <w:szCs w:val="20"/>
        </w:rPr>
        <w:t>Ncc</w:t>
      </w:r>
      <w:proofErr w:type="gramEnd"/>
      <w:r w:rsidR="00B60D9C" w:rsidRPr="00141C2E">
        <w:rPr>
          <w:rFonts w:ascii="Verdana" w:hAnsi="Verdana"/>
          <w:sz w:val="20"/>
          <w:szCs w:val="20"/>
        </w:rPr>
        <w:t xml:space="preserve"> group has </w:t>
      </w:r>
      <w:r w:rsidR="006C2E8C" w:rsidRPr="00141C2E">
        <w:rPr>
          <w:rFonts w:ascii="Verdana" w:hAnsi="Verdana"/>
          <w:sz w:val="20"/>
          <w:szCs w:val="20"/>
        </w:rPr>
        <w:t xml:space="preserve">beta </w:t>
      </w:r>
      <w:r w:rsidR="0009488D" w:rsidRPr="00141C2E">
        <w:rPr>
          <w:rFonts w:ascii="Verdana" w:hAnsi="Verdana"/>
          <w:sz w:val="20"/>
          <w:szCs w:val="20"/>
        </w:rPr>
        <w:t xml:space="preserve">value to </w:t>
      </w:r>
      <w:r w:rsidR="009273B3" w:rsidRPr="00141C2E">
        <w:rPr>
          <w:rFonts w:ascii="Verdana" w:hAnsi="Verdana"/>
          <w:sz w:val="20"/>
          <w:szCs w:val="20"/>
        </w:rPr>
        <w:t>1.28</w:t>
      </w:r>
      <w:r w:rsidR="00043217" w:rsidRPr="00141C2E">
        <w:rPr>
          <w:rFonts w:ascii="Verdana" w:hAnsi="Verdana"/>
          <w:sz w:val="20"/>
          <w:szCs w:val="20"/>
        </w:rPr>
        <w:t>13 as on 09.01.2023.</w:t>
      </w:r>
      <w:r w:rsidR="007E6EC1">
        <w:rPr>
          <w:rFonts w:ascii="Verdana" w:hAnsi="Verdana"/>
          <w:sz w:val="20"/>
          <w:szCs w:val="20"/>
        </w:rPr>
        <w:t>T</w:t>
      </w:r>
      <w:r w:rsidR="00FD4029" w:rsidRPr="00141C2E">
        <w:rPr>
          <w:rFonts w:ascii="Verdana" w:hAnsi="Verdana"/>
          <w:sz w:val="20"/>
          <w:szCs w:val="20"/>
        </w:rPr>
        <w:t xml:space="preserve">he value of beta is more than 1 hence </w:t>
      </w:r>
      <w:proofErr w:type="spellStart"/>
      <w:r w:rsidR="00FD4029" w:rsidRPr="00141C2E">
        <w:rPr>
          <w:rFonts w:ascii="Verdana" w:hAnsi="Verdana"/>
          <w:sz w:val="20"/>
          <w:szCs w:val="20"/>
        </w:rPr>
        <w:t>ncc</w:t>
      </w:r>
      <w:proofErr w:type="spellEnd"/>
      <w:r w:rsidR="00FD4029" w:rsidRPr="00141C2E">
        <w:rPr>
          <w:rFonts w:ascii="Verdana" w:hAnsi="Verdana"/>
          <w:sz w:val="20"/>
          <w:szCs w:val="20"/>
        </w:rPr>
        <w:t xml:space="preserve"> group share is more volati</w:t>
      </w:r>
      <w:r w:rsidR="00A57044" w:rsidRPr="00141C2E">
        <w:rPr>
          <w:rFonts w:ascii="Verdana" w:hAnsi="Verdana"/>
          <w:sz w:val="20"/>
          <w:szCs w:val="20"/>
        </w:rPr>
        <w:t>l</w:t>
      </w:r>
      <w:r w:rsidR="00EC0B59" w:rsidRPr="00141C2E">
        <w:rPr>
          <w:rFonts w:ascii="Verdana" w:hAnsi="Verdana"/>
          <w:sz w:val="20"/>
          <w:szCs w:val="20"/>
        </w:rPr>
        <w:t>e</w:t>
      </w:r>
      <w:r w:rsidR="00A57044" w:rsidRPr="00141C2E">
        <w:rPr>
          <w:rFonts w:ascii="Verdana" w:hAnsi="Verdana"/>
          <w:sz w:val="20"/>
          <w:szCs w:val="20"/>
        </w:rPr>
        <w:t xml:space="preserve"> and risky </w:t>
      </w:r>
      <w:r w:rsidR="000D1242" w:rsidRPr="00141C2E">
        <w:rPr>
          <w:rFonts w:ascii="Verdana" w:hAnsi="Verdana"/>
          <w:sz w:val="20"/>
          <w:szCs w:val="20"/>
        </w:rPr>
        <w:t>( Financial times , 24)</w:t>
      </w:r>
    </w:p>
    <w:p w14:paraId="5D4CDAD4" w14:textId="1B74C887" w:rsidR="00B934A5" w:rsidRPr="00141C2E" w:rsidRDefault="0078720B" w:rsidP="00630AF4">
      <w:pPr>
        <w:shd w:val="clear" w:color="auto" w:fill="FFFFFF"/>
        <w:spacing w:before="100" w:beforeAutospacing="1" w:after="150" w:line="360" w:lineRule="auto"/>
        <w:rPr>
          <w:rFonts w:ascii="Verdana" w:hAnsi="Verdana"/>
          <w:sz w:val="20"/>
          <w:szCs w:val="20"/>
        </w:rPr>
      </w:pPr>
      <w:r w:rsidRPr="00141C2E">
        <w:rPr>
          <w:rFonts w:ascii="Verdana" w:hAnsi="Verdana"/>
          <w:sz w:val="20"/>
          <w:szCs w:val="20"/>
        </w:rPr>
        <w:t>When it comes to market capitalization, NCC Group is smaller than Tesco Technologies but still in the centre of the pack.Net Income</w:t>
      </w:r>
      <w:r w:rsidR="00293F2E">
        <w:rPr>
          <w:rFonts w:ascii="Verdana" w:hAnsi="Verdana"/>
          <w:sz w:val="20"/>
          <w:szCs w:val="20"/>
        </w:rPr>
        <w:t xml:space="preserve"> </w:t>
      </w:r>
      <w:r w:rsidR="007D3FD4" w:rsidRPr="00141C2E">
        <w:rPr>
          <w:rFonts w:ascii="Verdana" w:hAnsi="Verdana"/>
          <w:sz w:val="20"/>
          <w:szCs w:val="20"/>
        </w:rPr>
        <w:t>All</w:t>
      </w:r>
      <w:r w:rsidRPr="00141C2E">
        <w:rPr>
          <w:rFonts w:ascii="Verdana" w:hAnsi="Verdana"/>
          <w:sz w:val="20"/>
          <w:szCs w:val="20"/>
        </w:rPr>
        <w:t xml:space="preserve"> its competitors are currently reporting profits, with NCC Group being the only one to report a </w:t>
      </w:r>
      <w:r w:rsidR="00600FBF" w:rsidRPr="00141C2E">
        <w:rPr>
          <w:rFonts w:ascii="Verdana" w:hAnsi="Verdana"/>
          <w:sz w:val="20"/>
          <w:szCs w:val="20"/>
        </w:rPr>
        <w:t>loss. Income</w:t>
      </w:r>
      <w:r w:rsidRPr="00141C2E">
        <w:rPr>
          <w:rFonts w:ascii="Verdana" w:hAnsi="Verdana"/>
          <w:sz w:val="20"/>
          <w:szCs w:val="20"/>
        </w:rPr>
        <w:t xml:space="preserve"> Growth</w:t>
      </w:r>
      <w:r w:rsidR="005A57BC">
        <w:rPr>
          <w:rFonts w:ascii="Verdana" w:hAnsi="Verdana"/>
          <w:sz w:val="20"/>
          <w:szCs w:val="20"/>
        </w:rPr>
        <w:t>,</w:t>
      </w:r>
      <w:r w:rsidRPr="00141C2E">
        <w:rPr>
          <w:rFonts w:ascii="Verdana" w:hAnsi="Verdana"/>
          <w:sz w:val="20"/>
          <w:szCs w:val="20"/>
        </w:rPr>
        <w:t xml:space="preserve"> </w:t>
      </w:r>
      <w:proofErr w:type="gramStart"/>
      <w:r w:rsidRPr="00141C2E">
        <w:rPr>
          <w:rFonts w:ascii="Verdana" w:hAnsi="Verdana"/>
          <w:sz w:val="20"/>
          <w:szCs w:val="20"/>
        </w:rPr>
        <w:t>In</w:t>
      </w:r>
      <w:proofErr w:type="gramEnd"/>
      <w:r w:rsidRPr="00141C2E">
        <w:rPr>
          <w:rFonts w:ascii="Verdana" w:hAnsi="Verdana"/>
          <w:sz w:val="20"/>
          <w:szCs w:val="20"/>
        </w:rPr>
        <w:t xml:space="preserve"> </w:t>
      </w:r>
      <w:r w:rsidRPr="00141C2E">
        <w:rPr>
          <w:rFonts w:ascii="Verdana" w:hAnsi="Verdana"/>
          <w:sz w:val="20"/>
          <w:szCs w:val="20"/>
        </w:rPr>
        <w:lastRenderedPageBreak/>
        <w:t>comparison to its counterparts, which are seeing faster growth rates, NCC Group's revenue growth is modest.</w:t>
      </w:r>
    </w:p>
    <w:tbl>
      <w:tblPr>
        <w:tblStyle w:val="TableGrid0"/>
        <w:tblW w:w="0" w:type="auto"/>
        <w:tblInd w:w="360" w:type="dxa"/>
        <w:tblLook w:val="04A0" w:firstRow="1" w:lastRow="0" w:firstColumn="1" w:lastColumn="0" w:noHBand="0" w:noVBand="1"/>
      </w:tblPr>
      <w:tblGrid>
        <w:gridCol w:w="2177"/>
        <w:gridCol w:w="2196"/>
        <w:gridCol w:w="2133"/>
        <w:gridCol w:w="2150"/>
      </w:tblGrid>
      <w:tr w:rsidR="00473173" w:rsidRPr="00141C2E" w14:paraId="74FCEA22" w14:textId="77777777" w:rsidTr="00B71592">
        <w:tc>
          <w:tcPr>
            <w:tcW w:w="2177" w:type="dxa"/>
          </w:tcPr>
          <w:p w14:paraId="35661F90" w14:textId="51DCC1FB"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Metric</w:t>
            </w:r>
          </w:p>
        </w:tc>
        <w:tc>
          <w:tcPr>
            <w:tcW w:w="2196" w:type="dxa"/>
          </w:tcPr>
          <w:p w14:paraId="29D5A59D" w14:textId="675DEF51"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Market Capitalization (£m)</w:t>
            </w:r>
          </w:p>
        </w:tc>
        <w:tc>
          <w:tcPr>
            <w:tcW w:w="2133" w:type="dxa"/>
          </w:tcPr>
          <w:p w14:paraId="043F4AC3" w14:textId="2EC2689A"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Net Income (£m)</w:t>
            </w:r>
          </w:p>
        </w:tc>
        <w:tc>
          <w:tcPr>
            <w:tcW w:w="2150" w:type="dxa"/>
          </w:tcPr>
          <w:p w14:paraId="0B23BC56" w14:textId="1D966DC0"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Revenue Growth (YoY, %)</w:t>
            </w:r>
          </w:p>
        </w:tc>
      </w:tr>
      <w:tr w:rsidR="00473173" w:rsidRPr="00141C2E" w14:paraId="35E1295D" w14:textId="77777777" w:rsidTr="00B71592">
        <w:tc>
          <w:tcPr>
            <w:tcW w:w="2177" w:type="dxa"/>
          </w:tcPr>
          <w:p w14:paraId="25AF11B7" w14:textId="2C7732A6"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NCC Group</w:t>
            </w:r>
          </w:p>
        </w:tc>
        <w:tc>
          <w:tcPr>
            <w:tcW w:w="2196" w:type="dxa"/>
          </w:tcPr>
          <w:p w14:paraId="48475A98" w14:textId="46AAD9D2" w:rsidR="00473173" w:rsidRPr="00141C2E" w:rsidRDefault="0047317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388.77</w:t>
            </w:r>
          </w:p>
        </w:tc>
        <w:tc>
          <w:tcPr>
            <w:tcW w:w="2133" w:type="dxa"/>
          </w:tcPr>
          <w:p w14:paraId="746B4D23" w14:textId="4FD75B6B" w:rsidR="00473173" w:rsidRPr="00141C2E" w:rsidRDefault="00066D17"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-4.60</w:t>
            </w:r>
          </w:p>
        </w:tc>
        <w:tc>
          <w:tcPr>
            <w:tcW w:w="2150" w:type="dxa"/>
          </w:tcPr>
          <w:p w14:paraId="537B2256" w14:textId="70E65050" w:rsidR="00473173" w:rsidRPr="00141C2E" w:rsidRDefault="00066D17"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2.90 %</w:t>
            </w:r>
          </w:p>
        </w:tc>
      </w:tr>
      <w:tr w:rsidR="00473173" w:rsidRPr="00141C2E" w14:paraId="126F849F" w14:textId="77777777" w:rsidTr="00B71592">
        <w:tc>
          <w:tcPr>
            <w:tcW w:w="2177" w:type="dxa"/>
          </w:tcPr>
          <w:p w14:paraId="19FCB2BF" w14:textId="461E6A32" w:rsidR="00473173" w:rsidRPr="00141C2E" w:rsidRDefault="00B71592"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Kiva Technology Group</w:t>
            </w:r>
          </w:p>
        </w:tc>
        <w:tc>
          <w:tcPr>
            <w:tcW w:w="2196" w:type="dxa"/>
          </w:tcPr>
          <w:p w14:paraId="0E621AB0" w14:textId="2755CA04" w:rsidR="00473173" w:rsidRPr="00141C2E" w:rsidRDefault="00A8676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290.54</w:t>
            </w:r>
          </w:p>
        </w:tc>
        <w:tc>
          <w:tcPr>
            <w:tcW w:w="2133" w:type="dxa"/>
          </w:tcPr>
          <w:p w14:paraId="64A6887C" w14:textId="6E737DF8" w:rsidR="00473173" w:rsidRPr="00141C2E" w:rsidRDefault="00A8676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12.40</w:t>
            </w:r>
          </w:p>
        </w:tc>
        <w:tc>
          <w:tcPr>
            <w:tcW w:w="2150" w:type="dxa"/>
          </w:tcPr>
          <w:p w14:paraId="63CEDFE0" w14:textId="5DBFD499" w:rsidR="00473173" w:rsidRPr="00141C2E" w:rsidRDefault="00A8676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8.6 %</w:t>
            </w:r>
          </w:p>
        </w:tc>
      </w:tr>
      <w:tr w:rsidR="00473173" w:rsidRPr="00141C2E" w14:paraId="334786F3" w14:textId="77777777" w:rsidTr="00B71592">
        <w:tc>
          <w:tcPr>
            <w:tcW w:w="2177" w:type="dxa"/>
          </w:tcPr>
          <w:p w14:paraId="5B3F7EFC" w14:textId="7FDB111B" w:rsidR="00473173" w:rsidRPr="00141C2E" w:rsidRDefault="00B71592" w:rsidP="008B794D">
            <w:pPr>
              <w:spacing w:before="100" w:beforeAutospacing="1" w:after="150"/>
              <w:rPr>
                <w:rFonts w:ascii="Verdana" w:eastAsia="Times New Roman" w:hAnsi="Verdana" w:cs="Arial"/>
                <w:color w:val="1F1F1F"/>
                <w:kern w:val="0"/>
                <w:sz w:val="20"/>
                <w:szCs w:val="20"/>
                <w14:ligatures w14:val="none"/>
              </w:rPr>
            </w:pPr>
            <w:proofErr w:type="spellStart"/>
            <w:r w:rsidRPr="00141C2E">
              <w:rPr>
                <w:rFonts w:ascii="Verdana" w:eastAsia="Times New Roman" w:hAnsi="Verdana" w:cs="Arial"/>
                <w:kern w:val="0"/>
                <w:sz w:val="20"/>
                <w:szCs w:val="20"/>
                <w14:ligatures w14:val="none"/>
              </w:rPr>
              <w:t>Redcentric</w:t>
            </w:r>
            <w:proofErr w:type="spellEnd"/>
            <w:r w:rsidRPr="00141C2E">
              <w:rPr>
                <w:rFonts w:ascii="Verdana" w:eastAsia="Times New Roman" w:hAnsi="Verdana" w:cs="Arial"/>
                <w:kern w:val="0"/>
                <w:sz w:val="20"/>
                <w:szCs w:val="20"/>
                <w14:ligatures w14:val="none"/>
              </w:rPr>
              <w:t xml:space="preserve"> PLC</w:t>
            </w:r>
          </w:p>
        </w:tc>
        <w:tc>
          <w:tcPr>
            <w:tcW w:w="2196" w:type="dxa"/>
          </w:tcPr>
          <w:p w14:paraId="2DF75E5E" w14:textId="7392C183" w:rsidR="00473173" w:rsidRPr="00141C2E" w:rsidRDefault="00B20C5A"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254.20</w:t>
            </w:r>
          </w:p>
        </w:tc>
        <w:tc>
          <w:tcPr>
            <w:tcW w:w="2133" w:type="dxa"/>
          </w:tcPr>
          <w:p w14:paraId="05EC074E" w14:textId="7148D382" w:rsidR="00473173" w:rsidRPr="00141C2E" w:rsidRDefault="00B20C5A"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13.80</w:t>
            </w:r>
          </w:p>
        </w:tc>
        <w:tc>
          <w:tcPr>
            <w:tcW w:w="2150" w:type="dxa"/>
          </w:tcPr>
          <w:p w14:paraId="4AE0F5EE" w14:textId="57D21C1A" w:rsidR="00473173" w:rsidRPr="00141C2E" w:rsidRDefault="00825483" w:rsidP="008B794D">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4.8 %</w:t>
            </w:r>
          </w:p>
        </w:tc>
      </w:tr>
      <w:tr w:rsidR="00B71592" w:rsidRPr="00141C2E" w14:paraId="3C96A94F" w14:textId="77777777" w:rsidTr="00B71592">
        <w:tc>
          <w:tcPr>
            <w:tcW w:w="2177" w:type="dxa"/>
            <w:vAlign w:val="center"/>
          </w:tcPr>
          <w:p w14:paraId="5A10E9CC" w14:textId="2B5FEBAD" w:rsidR="00B71592" w:rsidRPr="00141C2E" w:rsidRDefault="00B71592" w:rsidP="00B71592">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kern w:val="0"/>
                <w:sz w:val="20"/>
                <w:szCs w:val="20"/>
                <w14:ligatures w14:val="none"/>
              </w:rPr>
              <w:t>Tesca Technologies Inc</w:t>
            </w:r>
          </w:p>
        </w:tc>
        <w:tc>
          <w:tcPr>
            <w:tcW w:w="2196" w:type="dxa"/>
          </w:tcPr>
          <w:p w14:paraId="55E628ED" w14:textId="4BFAD1EA" w:rsidR="00B71592" w:rsidRPr="00141C2E" w:rsidRDefault="00825483" w:rsidP="00B71592">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552.62</w:t>
            </w:r>
          </w:p>
        </w:tc>
        <w:tc>
          <w:tcPr>
            <w:tcW w:w="2133" w:type="dxa"/>
          </w:tcPr>
          <w:p w14:paraId="79BCE290" w14:textId="4AC9E988" w:rsidR="00B71592" w:rsidRPr="00141C2E" w:rsidRDefault="00D367EB" w:rsidP="00B71592">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36.70</w:t>
            </w:r>
          </w:p>
        </w:tc>
        <w:tc>
          <w:tcPr>
            <w:tcW w:w="2150" w:type="dxa"/>
          </w:tcPr>
          <w:p w14:paraId="5E4C9FAD" w14:textId="11239B80" w:rsidR="00B71592" w:rsidRPr="00141C2E" w:rsidRDefault="00D367EB" w:rsidP="00B71592">
            <w:pPr>
              <w:spacing w:before="100" w:beforeAutospacing="1" w:after="150"/>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12.6 %</w:t>
            </w:r>
          </w:p>
        </w:tc>
      </w:tr>
    </w:tbl>
    <w:p w14:paraId="52FBE9B7" w14:textId="77777777" w:rsidR="0030135D" w:rsidRDefault="0030135D">
      <w:pPr>
        <w:rPr>
          <w:rFonts w:ascii="Verdana" w:hAnsi="Verdana"/>
          <w:sz w:val="20"/>
          <w:szCs w:val="20"/>
        </w:rPr>
      </w:pPr>
    </w:p>
    <w:p w14:paraId="42A8A295" w14:textId="7358B157" w:rsidR="0063297D" w:rsidRPr="0081012A" w:rsidRDefault="009D0647">
      <w:pPr>
        <w:rPr>
          <w:rFonts w:ascii="Verdana" w:hAnsi="Verdana"/>
          <w:b/>
          <w:bCs/>
          <w:sz w:val="20"/>
          <w:szCs w:val="20"/>
        </w:rPr>
      </w:pPr>
      <w:r w:rsidRPr="0081012A">
        <w:rPr>
          <w:rFonts w:ascii="Verdana" w:hAnsi="Verdana"/>
          <w:b/>
          <w:bCs/>
          <w:sz w:val="20"/>
          <w:szCs w:val="20"/>
        </w:rPr>
        <w:t xml:space="preserve">Task </w:t>
      </w:r>
      <w:r w:rsidR="003C27D7" w:rsidRPr="0081012A">
        <w:rPr>
          <w:rFonts w:ascii="Verdana" w:hAnsi="Verdana"/>
          <w:b/>
          <w:bCs/>
          <w:sz w:val="20"/>
          <w:szCs w:val="20"/>
        </w:rPr>
        <w:t xml:space="preserve">2 – </w:t>
      </w:r>
    </w:p>
    <w:p w14:paraId="11D233A9" w14:textId="077E112E" w:rsidR="00C2354E" w:rsidRPr="00141C2E" w:rsidRDefault="003018E8" w:rsidP="00630AF4">
      <w:pPr>
        <w:spacing w:line="360" w:lineRule="auto"/>
        <w:rPr>
          <w:rFonts w:ascii="Verdana" w:hAnsi="Verdana"/>
          <w:sz w:val="20"/>
          <w:szCs w:val="20"/>
        </w:rPr>
      </w:pPr>
      <w:r>
        <w:rPr>
          <w:rFonts w:ascii="Verdana" w:hAnsi="Verdana"/>
          <w:sz w:val="20"/>
          <w:szCs w:val="20"/>
        </w:rPr>
        <w:t>NCC</w:t>
      </w:r>
      <w:r w:rsidRPr="003018E8">
        <w:rPr>
          <w:rFonts w:ascii="Verdana" w:hAnsi="Verdana"/>
          <w:sz w:val="20"/>
          <w:szCs w:val="20"/>
        </w:rPr>
        <w:t xml:space="preserve"> group does not satisfy information for capital structure due to negative retained earnings. Therefore, it makes sense to choose dividend policy in this situation. given that the business consistently delivers dividends</w:t>
      </w:r>
      <w:r>
        <w:rPr>
          <w:rFonts w:ascii="Verdana" w:hAnsi="Verdana"/>
          <w:sz w:val="20"/>
          <w:szCs w:val="20"/>
        </w:rPr>
        <w:t xml:space="preserve"> </w:t>
      </w:r>
      <w:r w:rsidR="00B60F7F" w:rsidRPr="00141C2E">
        <w:rPr>
          <w:rFonts w:ascii="Verdana" w:hAnsi="Verdana"/>
          <w:sz w:val="20"/>
          <w:szCs w:val="20"/>
        </w:rPr>
        <w:t>N</w:t>
      </w:r>
      <w:r w:rsidR="0030135D">
        <w:rPr>
          <w:rFonts w:ascii="Verdana" w:hAnsi="Verdana"/>
          <w:sz w:val="20"/>
          <w:szCs w:val="20"/>
        </w:rPr>
        <w:t>CC</w:t>
      </w:r>
      <w:r w:rsidR="00B60F7F" w:rsidRPr="00141C2E">
        <w:rPr>
          <w:rFonts w:ascii="Verdana" w:hAnsi="Verdana"/>
          <w:sz w:val="20"/>
          <w:szCs w:val="20"/>
        </w:rPr>
        <w:t xml:space="preserve"> group has </w:t>
      </w:r>
      <w:r w:rsidR="00ED6359" w:rsidRPr="00141C2E">
        <w:rPr>
          <w:rFonts w:ascii="Verdana" w:hAnsi="Verdana"/>
          <w:sz w:val="20"/>
          <w:szCs w:val="20"/>
        </w:rPr>
        <w:t>continuous gave dividend per share of 4.65 pence from 2019 to 20</w:t>
      </w:r>
      <w:r w:rsidR="006B3FE6" w:rsidRPr="00141C2E">
        <w:rPr>
          <w:rFonts w:ascii="Verdana" w:hAnsi="Verdana"/>
          <w:sz w:val="20"/>
          <w:szCs w:val="20"/>
        </w:rPr>
        <w:t xml:space="preserve">23 </w:t>
      </w:r>
      <w:r w:rsidR="00C2354E" w:rsidRPr="00141C2E">
        <w:rPr>
          <w:rFonts w:ascii="Verdana" w:hAnsi="Verdana"/>
          <w:sz w:val="20"/>
          <w:szCs w:val="20"/>
        </w:rPr>
        <w:t>(Annual</w:t>
      </w:r>
      <w:r w:rsidR="006B3FE6" w:rsidRPr="00141C2E">
        <w:rPr>
          <w:rFonts w:ascii="Verdana" w:hAnsi="Verdana"/>
          <w:sz w:val="20"/>
          <w:szCs w:val="20"/>
        </w:rPr>
        <w:t xml:space="preserve"> </w:t>
      </w:r>
      <w:r w:rsidR="0030135D" w:rsidRPr="00141C2E">
        <w:rPr>
          <w:rFonts w:ascii="Verdana" w:hAnsi="Verdana"/>
          <w:sz w:val="20"/>
          <w:szCs w:val="20"/>
        </w:rPr>
        <w:t>report,</w:t>
      </w:r>
      <w:r w:rsidR="006B3FE6" w:rsidRPr="00141C2E">
        <w:rPr>
          <w:rFonts w:ascii="Verdana" w:hAnsi="Verdana"/>
          <w:sz w:val="20"/>
          <w:szCs w:val="20"/>
        </w:rPr>
        <w:t xml:space="preserve"> Pg 7</w:t>
      </w:r>
      <w:r w:rsidR="007D3FD4" w:rsidRPr="00141C2E">
        <w:rPr>
          <w:rFonts w:ascii="Verdana" w:hAnsi="Verdana"/>
          <w:sz w:val="20"/>
          <w:szCs w:val="20"/>
        </w:rPr>
        <w:t>).</w:t>
      </w:r>
      <w:r w:rsidR="00B325A5" w:rsidRPr="00141C2E">
        <w:rPr>
          <w:rFonts w:ascii="Verdana" w:hAnsi="Verdana"/>
          <w:sz w:val="20"/>
          <w:szCs w:val="20"/>
        </w:rPr>
        <w:t xml:space="preserve"> </w:t>
      </w:r>
      <w:r w:rsidR="00CA6EEE" w:rsidRPr="00141C2E">
        <w:rPr>
          <w:rFonts w:ascii="Verdana" w:hAnsi="Verdana"/>
          <w:sz w:val="20"/>
          <w:szCs w:val="20"/>
        </w:rPr>
        <w:t xml:space="preserve">Although the Board recognises that investments in initiatives are necessary to sustain longer-term growth and service the debt profile following the recent acquisition, the Company is currently paying a dividend equal to that paid in previous years. (Annual </w:t>
      </w:r>
      <w:r w:rsidR="00C2354E" w:rsidRPr="00141C2E">
        <w:rPr>
          <w:rFonts w:ascii="Verdana" w:hAnsi="Verdana"/>
          <w:sz w:val="20"/>
          <w:szCs w:val="20"/>
        </w:rPr>
        <w:t>report,</w:t>
      </w:r>
      <w:r w:rsidR="00202FC6" w:rsidRPr="00141C2E">
        <w:rPr>
          <w:rFonts w:ascii="Verdana" w:hAnsi="Verdana"/>
          <w:sz w:val="20"/>
          <w:szCs w:val="20"/>
        </w:rPr>
        <w:t xml:space="preserve"> Pg</w:t>
      </w:r>
      <w:r w:rsidR="00886F5F" w:rsidRPr="00141C2E">
        <w:rPr>
          <w:rFonts w:ascii="Verdana" w:hAnsi="Verdana"/>
          <w:sz w:val="20"/>
          <w:szCs w:val="20"/>
        </w:rPr>
        <w:t xml:space="preserve">. </w:t>
      </w:r>
      <w:r w:rsidR="00533573" w:rsidRPr="00141C2E">
        <w:rPr>
          <w:rFonts w:ascii="Verdana" w:hAnsi="Verdana"/>
          <w:sz w:val="20"/>
          <w:szCs w:val="20"/>
        </w:rPr>
        <w:t>187)</w:t>
      </w:r>
      <w:r w:rsidR="00C2354E" w:rsidRPr="00141C2E">
        <w:rPr>
          <w:rFonts w:ascii="Verdana" w:hAnsi="Verdana"/>
          <w:sz w:val="20"/>
          <w:szCs w:val="20"/>
        </w:rPr>
        <w:t>. The final dividend of approximately £10m will be paid on 8 December 2023, to shareholders on the register at the close of business on 10 November 2023. The ex-dividend date is 9 November 2023. The Group receives annual dividends from the investment, the trading performance and the net assets reported are strong and profitable (Annual report 2023, pg. 193)</w:t>
      </w:r>
    </w:p>
    <w:p w14:paraId="693458A0" w14:textId="77777777" w:rsidR="0010574C" w:rsidRPr="00141C2E" w:rsidRDefault="0010574C">
      <w:pPr>
        <w:rPr>
          <w:rFonts w:ascii="Verdana" w:hAnsi="Verdana"/>
          <w:sz w:val="20"/>
          <w:szCs w:val="20"/>
        </w:rPr>
      </w:pPr>
    </w:p>
    <w:tbl>
      <w:tblPr>
        <w:tblStyle w:val="TableGrid0"/>
        <w:tblW w:w="8842" w:type="dxa"/>
        <w:tblLook w:val="04A0" w:firstRow="1" w:lastRow="0" w:firstColumn="1" w:lastColumn="0" w:noHBand="0" w:noVBand="1"/>
      </w:tblPr>
      <w:tblGrid>
        <w:gridCol w:w="1473"/>
        <w:gridCol w:w="1473"/>
        <w:gridCol w:w="1474"/>
        <w:gridCol w:w="1474"/>
        <w:gridCol w:w="1474"/>
        <w:gridCol w:w="1474"/>
      </w:tblGrid>
      <w:tr w:rsidR="0010574C" w:rsidRPr="00141C2E" w14:paraId="27127771" w14:textId="77777777" w:rsidTr="0046624A">
        <w:trPr>
          <w:trHeight w:val="534"/>
        </w:trPr>
        <w:tc>
          <w:tcPr>
            <w:tcW w:w="1473" w:type="dxa"/>
          </w:tcPr>
          <w:p w14:paraId="7547FD62" w14:textId="45AEEC4F" w:rsidR="0010574C" w:rsidRPr="00141C2E" w:rsidRDefault="00670491">
            <w:pPr>
              <w:rPr>
                <w:rFonts w:ascii="Verdana" w:hAnsi="Verdana"/>
                <w:sz w:val="20"/>
                <w:szCs w:val="20"/>
              </w:rPr>
            </w:pPr>
            <w:r w:rsidRPr="00141C2E">
              <w:rPr>
                <w:rFonts w:ascii="Verdana" w:eastAsia="Times New Roman" w:hAnsi="Verdana" w:cs="Arial"/>
                <w:color w:val="1F1F1F"/>
                <w:kern w:val="0"/>
                <w:sz w:val="20"/>
                <w:szCs w:val="20"/>
                <w14:ligatures w14:val="none"/>
              </w:rPr>
              <w:t>Year</w:t>
            </w:r>
          </w:p>
        </w:tc>
        <w:tc>
          <w:tcPr>
            <w:tcW w:w="1473" w:type="dxa"/>
          </w:tcPr>
          <w:p w14:paraId="65D081CD" w14:textId="26F63733" w:rsidR="0010574C" w:rsidRPr="00141C2E" w:rsidRDefault="00670491">
            <w:pPr>
              <w:rPr>
                <w:rFonts w:ascii="Verdana" w:hAnsi="Verdana"/>
                <w:sz w:val="20"/>
                <w:szCs w:val="20"/>
              </w:rPr>
            </w:pPr>
            <w:r w:rsidRPr="00141C2E">
              <w:rPr>
                <w:rFonts w:ascii="Verdana" w:hAnsi="Verdana"/>
                <w:sz w:val="20"/>
                <w:szCs w:val="20"/>
              </w:rPr>
              <w:t>2023</w:t>
            </w:r>
          </w:p>
        </w:tc>
        <w:tc>
          <w:tcPr>
            <w:tcW w:w="1474" w:type="dxa"/>
          </w:tcPr>
          <w:p w14:paraId="0B107037" w14:textId="2325721B" w:rsidR="0010574C" w:rsidRPr="00141C2E" w:rsidRDefault="00670491">
            <w:pPr>
              <w:rPr>
                <w:rFonts w:ascii="Verdana" w:hAnsi="Verdana"/>
                <w:sz w:val="20"/>
                <w:szCs w:val="20"/>
              </w:rPr>
            </w:pPr>
            <w:r w:rsidRPr="00141C2E">
              <w:rPr>
                <w:rFonts w:ascii="Verdana" w:hAnsi="Verdana"/>
                <w:sz w:val="20"/>
                <w:szCs w:val="20"/>
              </w:rPr>
              <w:t>2022</w:t>
            </w:r>
          </w:p>
        </w:tc>
        <w:tc>
          <w:tcPr>
            <w:tcW w:w="1474" w:type="dxa"/>
          </w:tcPr>
          <w:p w14:paraId="10ADA030" w14:textId="518AD516" w:rsidR="0010574C" w:rsidRPr="00141C2E" w:rsidRDefault="00670491">
            <w:pPr>
              <w:rPr>
                <w:rFonts w:ascii="Verdana" w:hAnsi="Verdana"/>
                <w:sz w:val="20"/>
                <w:szCs w:val="20"/>
              </w:rPr>
            </w:pPr>
            <w:r w:rsidRPr="00141C2E">
              <w:rPr>
                <w:rFonts w:ascii="Verdana" w:hAnsi="Verdana"/>
                <w:sz w:val="20"/>
                <w:szCs w:val="20"/>
              </w:rPr>
              <w:t>2021</w:t>
            </w:r>
          </w:p>
        </w:tc>
        <w:tc>
          <w:tcPr>
            <w:tcW w:w="1474" w:type="dxa"/>
          </w:tcPr>
          <w:p w14:paraId="6FE6F95F" w14:textId="5814E043" w:rsidR="0010574C" w:rsidRPr="00141C2E" w:rsidRDefault="00670491">
            <w:pPr>
              <w:rPr>
                <w:rFonts w:ascii="Verdana" w:hAnsi="Verdana"/>
                <w:sz w:val="20"/>
                <w:szCs w:val="20"/>
              </w:rPr>
            </w:pPr>
            <w:r w:rsidRPr="00141C2E">
              <w:rPr>
                <w:rFonts w:ascii="Verdana" w:hAnsi="Verdana"/>
                <w:sz w:val="20"/>
                <w:szCs w:val="20"/>
              </w:rPr>
              <w:t>2020</w:t>
            </w:r>
          </w:p>
        </w:tc>
        <w:tc>
          <w:tcPr>
            <w:tcW w:w="1474" w:type="dxa"/>
          </w:tcPr>
          <w:p w14:paraId="0AF9AA99" w14:textId="50D190B8" w:rsidR="0010574C" w:rsidRPr="00141C2E" w:rsidRDefault="00670491">
            <w:pPr>
              <w:rPr>
                <w:rFonts w:ascii="Verdana" w:hAnsi="Verdana"/>
                <w:sz w:val="20"/>
                <w:szCs w:val="20"/>
              </w:rPr>
            </w:pPr>
            <w:r w:rsidRPr="00141C2E">
              <w:rPr>
                <w:rFonts w:ascii="Verdana" w:hAnsi="Verdana"/>
                <w:sz w:val="20"/>
                <w:szCs w:val="20"/>
              </w:rPr>
              <w:t>2019</w:t>
            </w:r>
          </w:p>
        </w:tc>
      </w:tr>
      <w:tr w:rsidR="0010574C" w:rsidRPr="00141C2E" w14:paraId="6A2BA9B8" w14:textId="77777777" w:rsidTr="0046624A">
        <w:trPr>
          <w:trHeight w:val="534"/>
        </w:trPr>
        <w:tc>
          <w:tcPr>
            <w:tcW w:w="1473" w:type="dxa"/>
          </w:tcPr>
          <w:p w14:paraId="0A7CE4F3" w14:textId="3FAD1D18" w:rsidR="0010574C" w:rsidRPr="00141C2E" w:rsidRDefault="00670491">
            <w:pPr>
              <w:rPr>
                <w:rFonts w:ascii="Verdana" w:hAnsi="Verdana"/>
                <w:sz w:val="20"/>
                <w:szCs w:val="20"/>
              </w:rPr>
            </w:pPr>
            <w:r w:rsidRPr="00141C2E">
              <w:rPr>
                <w:rFonts w:ascii="Verdana" w:eastAsia="Times New Roman" w:hAnsi="Verdana" w:cs="Arial"/>
                <w:color w:val="1F1F1F"/>
                <w:kern w:val="0"/>
                <w:sz w:val="20"/>
                <w:szCs w:val="20"/>
                <w14:ligatures w14:val="none"/>
              </w:rPr>
              <w:t>Dividend per Share (pence)</w:t>
            </w:r>
          </w:p>
        </w:tc>
        <w:tc>
          <w:tcPr>
            <w:tcW w:w="1473" w:type="dxa"/>
          </w:tcPr>
          <w:p w14:paraId="22AB65E2" w14:textId="77777777" w:rsidR="0010574C" w:rsidRPr="00141C2E" w:rsidRDefault="00D9320E">
            <w:pPr>
              <w:rPr>
                <w:rFonts w:ascii="Verdana" w:hAnsi="Verdana"/>
                <w:sz w:val="20"/>
                <w:szCs w:val="20"/>
              </w:rPr>
            </w:pPr>
            <w:r w:rsidRPr="00141C2E">
              <w:rPr>
                <w:rFonts w:ascii="Verdana" w:hAnsi="Verdana"/>
                <w:sz w:val="20"/>
                <w:szCs w:val="20"/>
              </w:rPr>
              <w:t>4.65</w:t>
            </w:r>
          </w:p>
          <w:p w14:paraId="7467E8E9" w14:textId="6FAB88C8" w:rsidR="0073331F" w:rsidRPr="00141C2E" w:rsidRDefault="0073331F">
            <w:pPr>
              <w:rPr>
                <w:rFonts w:ascii="Verdana" w:hAnsi="Verdana"/>
                <w:sz w:val="20"/>
                <w:szCs w:val="20"/>
              </w:rPr>
            </w:pPr>
          </w:p>
        </w:tc>
        <w:tc>
          <w:tcPr>
            <w:tcW w:w="1474" w:type="dxa"/>
          </w:tcPr>
          <w:p w14:paraId="515F1A0B" w14:textId="4B64D744" w:rsidR="0010574C" w:rsidRPr="00141C2E" w:rsidRDefault="00D9320E">
            <w:pPr>
              <w:rPr>
                <w:rFonts w:ascii="Verdana" w:hAnsi="Verdana"/>
                <w:sz w:val="20"/>
                <w:szCs w:val="20"/>
              </w:rPr>
            </w:pPr>
            <w:r w:rsidRPr="00141C2E">
              <w:rPr>
                <w:rFonts w:ascii="Verdana" w:hAnsi="Verdana"/>
                <w:sz w:val="20"/>
                <w:szCs w:val="20"/>
              </w:rPr>
              <w:t>4.65</w:t>
            </w:r>
          </w:p>
        </w:tc>
        <w:tc>
          <w:tcPr>
            <w:tcW w:w="1474" w:type="dxa"/>
          </w:tcPr>
          <w:p w14:paraId="48770B4F" w14:textId="28BE6DB7" w:rsidR="0010574C" w:rsidRPr="00141C2E" w:rsidRDefault="00D9320E">
            <w:pPr>
              <w:rPr>
                <w:rFonts w:ascii="Verdana" w:hAnsi="Verdana"/>
                <w:sz w:val="20"/>
                <w:szCs w:val="20"/>
              </w:rPr>
            </w:pPr>
            <w:r w:rsidRPr="00141C2E">
              <w:rPr>
                <w:rFonts w:ascii="Verdana" w:hAnsi="Verdana"/>
                <w:sz w:val="20"/>
                <w:szCs w:val="20"/>
              </w:rPr>
              <w:t>4.65</w:t>
            </w:r>
          </w:p>
        </w:tc>
        <w:tc>
          <w:tcPr>
            <w:tcW w:w="1474" w:type="dxa"/>
          </w:tcPr>
          <w:p w14:paraId="19F9C472" w14:textId="2F2B260D" w:rsidR="0010574C" w:rsidRPr="00141C2E" w:rsidRDefault="00D9320E">
            <w:pPr>
              <w:rPr>
                <w:rFonts w:ascii="Verdana" w:hAnsi="Verdana"/>
                <w:sz w:val="20"/>
                <w:szCs w:val="20"/>
              </w:rPr>
            </w:pPr>
            <w:r w:rsidRPr="00141C2E">
              <w:rPr>
                <w:rFonts w:ascii="Verdana" w:hAnsi="Verdana"/>
                <w:sz w:val="20"/>
                <w:szCs w:val="20"/>
              </w:rPr>
              <w:t>4.65</w:t>
            </w:r>
          </w:p>
        </w:tc>
        <w:tc>
          <w:tcPr>
            <w:tcW w:w="1474" w:type="dxa"/>
          </w:tcPr>
          <w:p w14:paraId="1DF20EBA" w14:textId="5C4D0939" w:rsidR="0010574C" w:rsidRPr="00141C2E" w:rsidRDefault="00D9320E">
            <w:pPr>
              <w:rPr>
                <w:rFonts w:ascii="Verdana" w:hAnsi="Verdana"/>
                <w:sz w:val="20"/>
                <w:szCs w:val="20"/>
              </w:rPr>
            </w:pPr>
            <w:r w:rsidRPr="00141C2E">
              <w:rPr>
                <w:rFonts w:ascii="Verdana" w:hAnsi="Verdana"/>
                <w:sz w:val="20"/>
                <w:szCs w:val="20"/>
              </w:rPr>
              <w:t>4.65</w:t>
            </w:r>
          </w:p>
        </w:tc>
      </w:tr>
      <w:tr w:rsidR="00D9320E" w:rsidRPr="00141C2E" w14:paraId="1E3CD3B3" w14:textId="77777777" w:rsidTr="0046624A">
        <w:trPr>
          <w:trHeight w:val="534"/>
        </w:trPr>
        <w:tc>
          <w:tcPr>
            <w:tcW w:w="1473" w:type="dxa"/>
          </w:tcPr>
          <w:p w14:paraId="281AE1DE" w14:textId="5420D53E"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Ex-Dividend Date</w:t>
            </w:r>
          </w:p>
        </w:tc>
        <w:tc>
          <w:tcPr>
            <w:tcW w:w="1473" w:type="dxa"/>
            <w:vAlign w:val="center"/>
          </w:tcPr>
          <w:p w14:paraId="2A57DC50" w14:textId="018EFE8F"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09 November 2023</w:t>
            </w:r>
          </w:p>
        </w:tc>
        <w:tc>
          <w:tcPr>
            <w:tcW w:w="1474" w:type="dxa"/>
            <w:vAlign w:val="center"/>
          </w:tcPr>
          <w:p w14:paraId="07ABBAAA" w14:textId="4463EE47"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13 October 2022</w:t>
            </w:r>
          </w:p>
        </w:tc>
        <w:tc>
          <w:tcPr>
            <w:tcW w:w="1474" w:type="dxa"/>
            <w:vAlign w:val="center"/>
          </w:tcPr>
          <w:p w14:paraId="6224B7D0" w14:textId="0A581AF5"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14 October 2021</w:t>
            </w:r>
          </w:p>
        </w:tc>
        <w:tc>
          <w:tcPr>
            <w:tcW w:w="1474" w:type="dxa"/>
            <w:vAlign w:val="center"/>
          </w:tcPr>
          <w:p w14:paraId="35AC9F46" w14:textId="4F63441C"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17 February 2020</w:t>
            </w:r>
          </w:p>
        </w:tc>
        <w:tc>
          <w:tcPr>
            <w:tcW w:w="1474" w:type="dxa"/>
            <w:vAlign w:val="center"/>
          </w:tcPr>
          <w:p w14:paraId="3A670BCF" w14:textId="71E28175" w:rsidR="00D9320E" w:rsidRPr="00141C2E" w:rsidRDefault="00D9320E" w:rsidP="00D9320E">
            <w:pPr>
              <w:rPr>
                <w:rFonts w:ascii="Verdana" w:hAnsi="Verdana"/>
                <w:sz w:val="20"/>
                <w:szCs w:val="20"/>
              </w:rPr>
            </w:pPr>
            <w:r w:rsidRPr="00141C2E">
              <w:rPr>
                <w:rFonts w:ascii="Verdana" w:eastAsia="Times New Roman" w:hAnsi="Verdana" w:cs="Arial"/>
                <w:color w:val="1F1F1F"/>
                <w:kern w:val="0"/>
                <w:sz w:val="20"/>
                <w:szCs w:val="20"/>
                <w14:ligatures w14:val="none"/>
              </w:rPr>
              <w:t>18 February 2019</w:t>
            </w:r>
          </w:p>
        </w:tc>
      </w:tr>
      <w:tr w:rsidR="00730FCD" w:rsidRPr="00141C2E" w14:paraId="4C9EA30F" w14:textId="77777777" w:rsidTr="0046624A">
        <w:trPr>
          <w:trHeight w:val="514"/>
        </w:trPr>
        <w:tc>
          <w:tcPr>
            <w:tcW w:w="1473" w:type="dxa"/>
          </w:tcPr>
          <w:p w14:paraId="1E924927" w14:textId="7FA25707"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Payment Date</w:t>
            </w:r>
          </w:p>
        </w:tc>
        <w:tc>
          <w:tcPr>
            <w:tcW w:w="1473" w:type="dxa"/>
            <w:vAlign w:val="center"/>
          </w:tcPr>
          <w:p w14:paraId="6D0D2FD0" w14:textId="579D6C4D"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08 December 2023</w:t>
            </w:r>
          </w:p>
        </w:tc>
        <w:tc>
          <w:tcPr>
            <w:tcW w:w="1474" w:type="dxa"/>
            <w:vAlign w:val="center"/>
          </w:tcPr>
          <w:p w14:paraId="2DF025D1" w14:textId="394A39C1"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11 November 2022</w:t>
            </w:r>
          </w:p>
        </w:tc>
        <w:tc>
          <w:tcPr>
            <w:tcW w:w="1474" w:type="dxa"/>
            <w:vAlign w:val="center"/>
          </w:tcPr>
          <w:p w14:paraId="70E78216" w14:textId="110AF80E"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12 November 2021</w:t>
            </w:r>
          </w:p>
        </w:tc>
        <w:tc>
          <w:tcPr>
            <w:tcW w:w="1474" w:type="dxa"/>
            <w:vAlign w:val="center"/>
          </w:tcPr>
          <w:p w14:paraId="7C768AE9" w14:textId="2CC2641C"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04 March 2020</w:t>
            </w:r>
          </w:p>
        </w:tc>
        <w:tc>
          <w:tcPr>
            <w:tcW w:w="1474" w:type="dxa"/>
            <w:vAlign w:val="center"/>
          </w:tcPr>
          <w:p w14:paraId="6ABC15D6" w14:textId="2039B0A0" w:rsidR="00730FCD" w:rsidRPr="00141C2E" w:rsidRDefault="00730FCD" w:rsidP="00730FCD">
            <w:pPr>
              <w:rPr>
                <w:rFonts w:ascii="Verdana" w:hAnsi="Verdana"/>
                <w:sz w:val="20"/>
                <w:szCs w:val="20"/>
              </w:rPr>
            </w:pPr>
            <w:r w:rsidRPr="00141C2E">
              <w:rPr>
                <w:rFonts w:ascii="Verdana" w:eastAsia="Times New Roman" w:hAnsi="Verdana" w:cs="Arial"/>
                <w:color w:val="1F1F1F"/>
                <w:kern w:val="0"/>
                <w:sz w:val="20"/>
                <w:szCs w:val="20"/>
                <w14:ligatures w14:val="none"/>
              </w:rPr>
              <w:t>19 March 2019</w:t>
            </w:r>
          </w:p>
        </w:tc>
      </w:tr>
    </w:tbl>
    <w:p w14:paraId="57AD609D" w14:textId="77777777" w:rsidR="0010574C" w:rsidRPr="00141C2E" w:rsidRDefault="0010574C">
      <w:pPr>
        <w:rPr>
          <w:rFonts w:ascii="Verdana" w:hAnsi="Verdana"/>
          <w:sz w:val="20"/>
          <w:szCs w:val="20"/>
        </w:rPr>
      </w:pPr>
    </w:p>
    <w:p w14:paraId="76C67620" w14:textId="77777777" w:rsidR="0063297D" w:rsidRPr="00141C2E" w:rsidRDefault="0063297D">
      <w:pPr>
        <w:rPr>
          <w:rFonts w:ascii="Verdana" w:hAnsi="Verdana"/>
          <w:sz w:val="20"/>
          <w:szCs w:val="20"/>
        </w:rPr>
      </w:pPr>
    </w:p>
    <w:p w14:paraId="196A4E41" w14:textId="55EFFAAA" w:rsidR="00AE35EB" w:rsidRPr="00141C2E" w:rsidRDefault="00DA6161" w:rsidP="00630AF4">
      <w:pPr>
        <w:spacing w:line="360" w:lineRule="auto"/>
        <w:rPr>
          <w:rFonts w:ascii="Verdana" w:hAnsi="Verdana"/>
          <w:sz w:val="20"/>
          <w:szCs w:val="20"/>
        </w:rPr>
      </w:pPr>
      <w:r w:rsidRPr="00141C2E">
        <w:rPr>
          <w:rFonts w:ascii="Verdana" w:hAnsi="Verdana"/>
          <w:sz w:val="20"/>
          <w:szCs w:val="20"/>
        </w:rPr>
        <w:t>Since 2019</w:t>
      </w:r>
      <w:r w:rsidR="002128D0" w:rsidRPr="00141C2E">
        <w:rPr>
          <w:rFonts w:ascii="Verdana" w:hAnsi="Verdana"/>
          <w:sz w:val="20"/>
          <w:szCs w:val="20"/>
        </w:rPr>
        <w:t xml:space="preserve"> to 2023</w:t>
      </w:r>
      <w:r w:rsidRPr="00141C2E">
        <w:rPr>
          <w:rFonts w:ascii="Verdana" w:hAnsi="Verdana"/>
          <w:sz w:val="20"/>
          <w:szCs w:val="20"/>
        </w:rPr>
        <w:t xml:space="preserve"> NCC Group has consistently paid out a dividend of 4.65 pence per </w:t>
      </w:r>
      <w:r w:rsidR="003F0303" w:rsidRPr="00141C2E">
        <w:rPr>
          <w:rFonts w:ascii="Verdana" w:hAnsi="Verdana"/>
          <w:sz w:val="20"/>
          <w:szCs w:val="20"/>
        </w:rPr>
        <w:t>share (A</w:t>
      </w:r>
      <w:r w:rsidR="00271768" w:rsidRPr="00141C2E">
        <w:rPr>
          <w:rFonts w:ascii="Verdana" w:hAnsi="Verdana"/>
          <w:sz w:val="20"/>
          <w:szCs w:val="20"/>
        </w:rPr>
        <w:t xml:space="preserve">nnual </w:t>
      </w:r>
      <w:r w:rsidR="003F0303" w:rsidRPr="00141C2E">
        <w:rPr>
          <w:rFonts w:ascii="Verdana" w:hAnsi="Verdana"/>
          <w:sz w:val="20"/>
          <w:szCs w:val="20"/>
        </w:rPr>
        <w:t>Report, Pg</w:t>
      </w:r>
      <w:r w:rsidR="009E416D" w:rsidRPr="00141C2E">
        <w:rPr>
          <w:rFonts w:ascii="Verdana" w:hAnsi="Verdana"/>
          <w:sz w:val="20"/>
          <w:szCs w:val="20"/>
        </w:rPr>
        <w:t xml:space="preserve"> 68)</w:t>
      </w:r>
      <w:r w:rsidR="00F854A9" w:rsidRPr="00141C2E">
        <w:rPr>
          <w:rFonts w:ascii="Verdana" w:hAnsi="Verdana"/>
          <w:sz w:val="20"/>
          <w:szCs w:val="20"/>
        </w:rPr>
        <w:t xml:space="preserve"> </w:t>
      </w:r>
      <w:r w:rsidR="00AE35EB" w:rsidRPr="00141C2E">
        <w:rPr>
          <w:rFonts w:ascii="Verdana" w:hAnsi="Verdana"/>
          <w:sz w:val="20"/>
          <w:szCs w:val="20"/>
        </w:rPr>
        <w:t xml:space="preserve">Using the formula, the percentage change would be: </w:t>
      </w:r>
      <w:r w:rsidR="00AE35EB" w:rsidRPr="00141C2E">
        <w:rPr>
          <w:rFonts w:ascii="Verdana" w:hAnsi="Verdana"/>
          <w:sz w:val="20"/>
          <w:szCs w:val="20"/>
        </w:rPr>
        <w:lastRenderedPageBreak/>
        <w:t xml:space="preserve">((4.65 - 4.65) / 4.65) * 100 = 0%. </w:t>
      </w:r>
      <w:r w:rsidR="009E416D" w:rsidRPr="00141C2E">
        <w:rPr>
          <w:rFonts w:ascii="Verdana" w:hAnsi="Verdana"/>
          <w:sz w:val="20"/>
          <w:szCs w:val="20"/>
        </w:rPr>
        <w:t>Despite</w:t>
      </w:r>
      <w:r w:rsidR="00AE35EB" w:rsidRPr="00141C2E">
        <w:rPr>
          <w:rFonts w:ascii="Verdana" w:hAnsi="Verdana"/>
          <w:sz w:val="20"/>
          <w:szCs w:val="20"/>
        </w:rPr>
        <w:t xml:space="preserve"> volatile swings in the economy, this demonstrates their commitment to shareholder returns. Although the NCC Group posted a loss in 2023, its history of profitability points to an emphasis on steady dividend growth. The focus on striking a balance between expansion and shareholder rewards can be found in their 2023 annual report.</w:t>
      </w:r>
      <w:r w:rsidR="009E416D" w:rsidRPr="00141C2E">
        <w:rPr>
          <w:rFonts w:ascii="Verdana" w:hAnsi="Verdana"/>
          <w:sz w:val="20"/>
          <w:szCs w:val="20"/>
        </w:rPr>
        <w:t xml:space="preserve"> </w:t>
      </w:r>
      <w:r w:rsidR="00AE35EB" w:rsidRPr="00141C2E">
        <w:rPr>
          <w:rFonts w:ascii="Verdana" w:hAnsi="Verdana"/>
          <w:sz w:val="20"/>
          <w:szCs w:val="20"/>
        </w:rPr>
        <w:t xml:space="preserve">In order to comfortably continue paying out dividends, NCC Group keeps a healthy level of free cash flow and a minimal amount of debt. Tesco Technologies Inc., </w:t>
      </w:r>
      <w:proofErr w:type="spellStart"/>
      <w:r w:rsidR="00AE35EB" w:rsidRPr="00141C2E">
        <w:rPr>
          <w:rFonts w:ascii="Verdana" w:hAnsi="Verdana"/>
          <w:sz w:val="20"/>
          <w:szCs w:val="20"/>
        </w:rPr>
        <w:t>Redcentric</w:t>
      </w:r>
      <w:proofErr w:type="spellEnd"/>
      <w:r w:rsidR="00AE35EB" w:rsidRPr="00141C2E">
        <w:rPr>
          <w:rFonts w:ascii="Verdana" w:hAnsi="Verdana"/>
          <w:sz w:val="20"/>
          <w:szCs w:val="20"/>
        </w:rPr>
        <w:t xml:space="preserve"> PLC, and Kiva Technology Group have all recently ceased paying dividends or drastically cut them.</w:t>
      </w:r>
    </w:p>
    <w:p w14:paraId="1BC72B19" w14:textId="1A56F15B" w:rsidR="00576792" w:rsidRPr="00141C2E" w:rsidRDefault="003D4AD1" w:rsidP="00630AF4">
      <w:pPr>
        <w:shd w:val="clear" w:color="auto" w:fill="FFFFFF"/>
        <w:spacing w:before="360" w:after="360" w:line="360" w:lineRule="auto"/>
        <w:rPr>
          <w:rFonts w:ascii="Verdana" w:eastAsia="Times New Roman" w:hAnsi="Verdana" w:cs="Arial"/>
          <w:color w:val="1F1F1F"/>
          <w:kern w:val="0"/>
          <w:sz w:val="20"/>
          <w:szCs w:val="20"/>
          <w14:ligatures w14:val="none"/>
        </w:rPr>
      </w:pPr>
      <w:r w:rsidRPr="00141C2E">
        <w:rPr>
          <w:rFonts w:ascii="Verdana" w:eastAsia="Times New Roman" w:hAnsi="Verdana" w:cs="Arial"/>
          <w:color w:val="1F1F1F"/>
          <w:kern w:val="0"/>
          <w:sz w:val="20"/>
          <w:szCs w:val="20"/>
          <w14:ligatures w14:val="none"/>
        </w:rPr>
        <w:t xml:space="preserve">Before is the </w:t>
      </w:r>
      <w:r w:rsidR="004C638D" w:rsidRPr="00141C2E">
        <w:rPr>
          <w:rFonts w:ascii="Verdana" w:eastAsia="Times New Roman" w:hAnsi="Verdana" w:cs="Arial"/>
          <w:color w:val="1F1F1F"/>
          <w:kern w:val="0"/>
          <w:sz w:val="20"/>
          <w:szCs w:val="20"/>
          <w14:ligatures w14:val="none"/>
        </w:rPr>
        <w:t xml:space="preserve">table summarizing the percentage change in dividend per share for </w:t>
      </w:r>
      <w:r w:rsidRPr="00141C2E">
        <w:rPr>
          <w:rFonts w:ascii="Verdana" w:eastAsia="Times New Roman" w:hAnsi="Verdana" w:cs="Arial"/>
          <w:color w:val="1F1F1F"/>
          <w:kern w:val="0"/>
          <w:sz w:val="20"/>
          <w:szCs w:val="20"/>
          <w14:ligatures w14:val="none"/>
        </w:rPr>
        <w:t>N</w:t>
      </w:r>
      <w:r w:rsidR="007D3FD4">
        <w:rPr>
          <w:rFonts w:ascii="Verdana" w:eastAsia="Times New Roman" w:hAnsi="Verdana" w:cs="Arial"/>
          <w:color w:val="1F1F1F"/>
          <w:kern w:val="0"/>
          <w:sz w:val="20"/>
          <w:szCs w:val="20"/>
          <w14:ligatures w14:val="none"/>
        </w:rPr>
        <w:t xml:space="preserve">CC </w:t>
      </w:r>
      <w:r w:rsidRPr="00141C2E">
        <w:rPr>
          <w:rFonts w:ascii="Verdana" w:eastAsia="Times New Roman" w:hAnsi="Verdana" w:cs="Arial"/>
          <w:color w:val="1F1F1F"/>
          <w:kern w:val="0"/>
          <w:sz w:val="20"/>
          <w:szCs w:val="20"/>
          <w14:ligatures w14:val="none"/>
        </w:rPr>
        <w:t xml:space="preserve">group plc and its peers </w:t>
      </w:r>
      <w:r w:rsidR="006D6195" w:rsidRPr="00141C2E">
        <w:rPr>
          <w:rFonts w:ascii="Verdana" w:eastAsia="Times New Roman" w:hAnsi="Verdana" w:cs="Arial"/>
          <w:color w:val="1F1F1F"/>
          <w:kern w:val="0"/>
          <w:sz w:val="20"/>
          <w:szCs w:val="20"/>
          <w14:ligatures w14:val="none"/>
        </w:rPr>
        <w:t xml:space="preserve">for last 5 </w:t>
      </w:r>
      <w:r w:rsidR="003F0303" w:rsidRPr="00141C2E">
        <w:rPr>
          <w:rFonts w:ascii="Verdana" w:eastAsia="Times New Roman" w:hAnsi="Verdana" w:cs="Arial"/>
          <w:color w:val="1F1F1F"/>
          <w:kern w:val="0"/>
          <w:sz w:val="20"/>
          <w:szCs w:val="20"/>
          <w14:ligatures w14:val="none"/>
        </w:rPr>
        <w:t>years.</w:t>
      </w:r>
    </w:p>
    <w:tbl>
      <w:tblPr>
        <w:tblStyle w:val="TableGrid0"/>
        <w:tblpPr w:leftFromText="180" w:rightFromText="180" w:vertAnchor="text" w:horzAnchor="page" w:tblpX="1015" w:tblpY="402"/>
        <w:tblW w:w="9341" w:type="dxa"/>
        <w:tblLook w:val="04A0" w:firstRow="1" w:lastRow="0" w:firstColumn="1" w:lastColumn="0" w:noHBand="0" w:noVBand="1"/>
      </w:tblPr>
      <w:tblGrid>
        <w:gridCol w:w="1868"/>
        <w:gridCol w:w="1868"/>
        <w:gridCol w:w="1868"/>
        <w:gridCol w:w="1868"/>
        <w:gridCol w:w="1869"/>
      </w:tblGrid>
      <w:tr w:rsidR="0046624A" w:rsidRPr="00141C2E" w14:paraId="351B23C7" w14:textId="77777777" w:rsidTr="0046624A">
        <w:trPr>
          <w:trHeight w:val="463"/>
        </w:trPr>
        <w:tc>
          <w:tcPr>
            <w:tcW w:w="1868" w:type="dxa"/>
            <w:vAlign w:val="center"/>
          </w:tcPr>
          <w:p w14:paraId="5E63A8B4"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Company</w:t>
            </w:r>
          </w:p>
        </w:tc>
        <w:tc>
          <w:tcPr>
            <w:tcW w:w="1868" w:type="dxa"/>
          </w:tcPr>
          <w:p w14:paraId="304BE426"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NCC Group (LSE)</w:t>
            </w:r>
          </w:p>
        </w:tc>
        <w:tc>
          <w:tcPr>
            <w:tcW w:w="1868" w:type="dxa"/>
          </w:tcPr>
          <w:p w14:paraId="6A7C48B7"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Kiva Technology Group (AIM)</w:t>
            </w:r>
          </w:p>
        </w:tc>
        <w:tc>
          <w:tcPr>
            <w:tcW w:w="1868" w:type="dxa"/>
            <w:vAlign w:val="center"/>
          </w:tcPr>
          <w:p w14:paraId="3CFE7630" w14:textId="77777777" w:rsidR="0065268B" w:rsidRPr="00141C2E" w:rsidRDefault="0065268B" w:rsidP="0065268B">
            <w:pPr>
              <w:rPr>
                <w:rFonts w:ascii="Verdana" w:hAnsi="Verdana"/>
                <w:sz w:val="20"/>
                <w:szCs w:val="20"/>
              </w:rPr>
            </w:pPr>
            <w:proofErr w:type="spellStart"/>
            <w:r w:rsidRPr="00141C2E">
              <w:rPr>
                <w:rFonts w:ascii="Verdana" w:eastAsia="Times New Roman" w:hAnsi="Verdana" w:cs="Arial"/>
                <w:kern w:val="0"/>
                <w:sz w:val="20"/>
                <w:szCs w:val="20"/>
                <w14:ligatures w14:val="none"/>
              </w:rPr>
              <w:t>Redcentric</w:t>
            </w:r>
            <w:proofErr w:type="spellEnd"/>
            <w:r w:rsidRPr="00141C2E">
              <w:rPr>
                <w:rFonts w:ascii="Verdana" w:eastAsia="Times New Roman" w:hAnsi="Verdana" w:cs="Arial"/>
                <w:kern w:val="0"/>
                <w:sz w:val="20"/>
                <w:szCs w:val="20"/>
                <w14:ligatures w14:val="none"/>
              </w:rPr>
              <w:t xml:space="preserve"> PLC (AIM)</w:t>
            </w:r>
          </w:p>
        </w:tc>
        <w:tc>
          <w:tcPr>
            <w:tcW w:w="1869" w:type="dxa"/>
            <w:vAlign w:val="center"/>
          </w:tcPr>
          <w:p w14:paraId="0908E3E3"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Tesco Technologies Inc (NASDAQ)</w:t>
            </w:r>
          </w:p>
        </w:tc>
      </w:tr>
      <w:tr w:rsidR="0046624A" w:rsidRPr="00141C2E" w14:paraId="7A0AA093" w14:textId="77777777" w:rsidTr="0046624A">
        <w:trPr>
          <w:trHeight w:val="463"/>
        </w:trPr>
        <w:tc>
          <w:tcPr>
            <w:tcW w:w="1868" w:type="dxa"/>
          </w:tcPr>
          <w:p w14:paraId="6D38587D" w14:textId="77777777" w:rsidR="0065268B" w:rsidRPr="00141C2E" w:rsidRDefault="0065268B" w:rsidP="0065268B">
            <w:pPr>
              <w:rPr>
                <w:rFonts w:ascii="Verdana" w:hAnsi="Verdana"/>
                <w:sz w:val="20"/>
                <w:szCs w:val="20"/>
              </w:rPr>
            </w:pPr>
            <w:r w:rsidRPr="00141C2E">
              <w:rPr>
                <w:rFonts w:ascii="Verdana" w:hAnsi="Verdana"/>
                <w:sz w:val="20"/>
                <w:szCs w:val="20"/>
              </w:rPr>
              <w:t>2019 to 2020</w:t>
            </w:r>
          </w:p>
        </w:tc>
        <w:tc>
          <w:tcPr>
            <w:tcW w:w="1868" w:type="dxa"/>
          </w:tcPr>
          <w:p w14:paraId="25A7B364" w14:textId="77777777" w:rsidR="0065268B" w:rsidRPr="00141C2E" w:rsidRDefault="0065268B" w:rsidP="0065268B">
            <w:pPr>
              <w:rPr>
                <w:rFonts w:ascii="Verdana" w:hAnsi="Verdana"/>
                <w:sz w:val="20"/>
                <w:szCs w:val="20"/>
              </w:rPr>
            </w:pPr>
            <w:r w:rsidRPr="00141C2E">
              <w:rPr>
                <w:rFonts w:ascii="Verdana" w:hAnsi="Verdana"/>
                <w:sz w:val="20"/>
                <w:szCs w:val="20"/>
              </w:rPr>
              <w:t>0.00 %</w:t>
            </w:r>
          </w:p>
        </w:tc>
        <w:tc>
          <w:tcPr>
            <w:tcW w:w="1868" w:type="dxa"/>
            <w:vAlign w:val="center"/>
          </w:tcPr>
          <w:p w14:paraId="2D99C019" w14:textId="77777777" w:rsidR="0065268B" w:rsidRPr="00141C2E" w:rsidRDefault="0065268B" w:rsidP="0065268B">
            <w:pPr>
              <w:rPr>
                <w:rFonts w:ascii="Verdana" w:eastAsia="Times New Roman" w:hAnsi="Verdana" w:cs="Arial"/>
                <w:kern w:val="0"/>
                <w:sz w:val="20"/>
                <w:szCs w:val="20"/>
                <w14:ligatures w14:val="none"/>
              </w:rPr>
            </w:pPr>
            <w:r w:rsidRPr="00141C2E">
              <w:rPr>
                <w:rFonts w:ascii="Verdana" w:eastAsia="Times New Roman" w:hAnsi="Verdana" w:cs="Arial"/>
                <w:kern w:val="0"/>
                <w:sz w:val="20"/>
                <w:szCs w:val="20"/>
                <w14:ligatures w14:val="none"/>
              </w:rPr>
              <w:t>-28.57%</w:t>
            </w:r>
          </w:p>
          <w:p w14:paraId="7E6B3E78" w14:textId="77777777" w:rsidR="0065268B" w:rsidRPr="00141C2E" w:rsidRDefault="0065268B" w:rsidP="0065268B">
            <w:pPr>
              <w:rPr>
                <w:rFonts w:ascii="Verdana" w:hAnsi="Verdana"/>
                <w:sz w:val="20"/>
                <w:szCs w:val="20"/>
              </w:rPr>
            </w:pPr>
          </w:p>
        </w:tc>
        <w:tc>
          <w:tcPr>
            <w:tcW w:w="1868" w:type="dxa"/>
          </w:tcPr>
          <w:p w14:paraId="7348750E" w14:textId="77777777" w:rsidR="0065268B" w:rsidRPr="00141C2E" w:rsidRDefault="0065268B" w:rsidP="0065268B">
            <w:pPr>
              <w:rPr>
                <w:rFonts w:ascii="Verdana" w:hAnsi="Verdana"/>
                <w:sz w:val="20"/>
                <w:szCs w:val="20"/>
              </w:rPr>
            </w:pPr>
            <w:r w:rsidRPr="00141C2E">
              <w:rPr>
                <w:rFonts w:ascii="Verdana" w:hAnsi="Verdana"/>
                <w:sz w:val="20"/>
                <w:szCs w:val="20"/>
              </w:rPr>
              <w:t>-100.00%</w:t>
            </w:r>
          </w:p>
        </w:tc>
        <w:tc>
          <w:tcPr>
            <w:tcW w:w="1869" w:type="dxa"/>
          </w:tcPr>
          <w:p w14:paraId="3DBF96D8" w14:textId="77777777" w:rsidR="0065268B" w:rsidRPr="00141C2E" w:rsidRDefault="0065268B" w:rsidP="0065268B">
            <w:pPr>
              <w:rPr>
                <w:rFonts w:ascii="Verdana" w:hAnsi="Verdana"/>
                <w:sz w:val="20"/>
                <w:szCs w:val="20"/>
              </w:rPr>
            </w:pPr>
            <w:r w:rsidRPr="00141C2E">
              <w:rPr>
                <w:rFonts w:ascii="Verdana" w:hAnsi="Verdana"/>
                <w:sz w:val="20"/>
                <w:szCs w:val="20"/>
              </w:rPr>
              <w:t>25.00%</w:t>
            </w:r>
          </w:p>
        </w:tc>
      </w:tr>
      <w:tr w:rsidR="0046624A" w:rsidRPr="00141C2E" w14:paraId="0888592C" w14:textId="77777777" w:rsidTr="0046624A">
        <w:trPr>
          <w:trHeight w:val="463"/>
        </w:trPr>
        <w:tc>
          <w:tcPr>
            <w:tcW w:w="1868" w:type="dxa"/>
          </w:tcPr>
          <w:p w14:paraId="04BF2BE1"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2020 to 2021</w:t>
            </w:r>
          </w:p>
        </w:tc>
        <w:tc>
          <w:tcPr>
            <w:tcW w:w="1868" w:type="dxa"/>
          </w:tcPr>
          <w:p w14:paraId="35030F9C" w14:textId="77777777" w:rsidR="0065268B" w:rsidRPr="00141C2E" w:rsidRDefault="0065268B" w:rsidP="0065268B">
            <w:pPr>
              <w:rPr>
                <w:rFonts w:ascii="Verdana" w:hAnsi="Verdana"/>
                <w:sz w:val="20"/>
                <w:szCs w:val="20"/>
              </w:rPr>
            </w:pPr>
            <w:r w:rsidRPr="00141C2E">
              <w:rPr>
                <w:rFonts w:ascii="Verdana" w:hAnsi="Verdana"/>
                <w:sz w:val="20"/>
                <w:szCs w:val="20"/>
              </w:rPr>
              <w:t>0.00 %</w:t>
            </w:r>
          </w:p>
        </w:tc>
        <w:tc>
          <w:tcPr>
            <w:tcW w:w="1868" w:type="dxa"/>
          </w:tcPr>
          <w:p w14:paraId="517AA857" w14:textId="77777777" w:rsidR="0065268B" w:rsidRPr="00141C2E" w:rsidRDefault="0065268B" w:rsidP="0065268B">
            <w:pPr>
              <w:rPr>
                <w:rFonts w:ascii="Verdana" w:hAnsi="Verdana"/>
                <w:sz w:val="20"/>
                <w:szCs w:val="20"/>
              </w:rPr>
            </w:pPr>
            <w:r w:rsidRPr="00141C2E">
              <w:rPr>
                <w:rFonts w:ascii="Verdana" w:hAnsi="Verdana"/>
                <w:sz w:val="20"/>
                <w:szCs w:val="20"/>
              </w:rPr>
              <w:t>-80.00%</w:t>
            </w:r>
          </w:p>
        </w:tc>
        <w:tc>
          <w:tcPr>
            <w:tcW w:w="1868" w:type="dxa"/>
          </w:tcPr>
          <w:p w14:paraId="6998F52F" w14:textId="77777777" w:rsidR="0065268B" w:rsidRPr="00141C2E" w:rsidRDefault="0065268B" w:rsidP="0065268B">
            <w:pPr>
              <w:rPr>
                <w:rFonts w:ascii="Verdana" w:hAnsi="Verdana"/>
                <w:sz w:val="20"/>
                <w:szCs w:val="20"/>
              </w:rPr>
            </w:pPr>
            <w:r w:rsidRPr="00141C2E">
              <w:rPr>
                <w:rFonts w:ascii="Verdana" w:hAnsi="Verdana"/>
                <w:sz w:val="20"/>
                <w:szCs w:val="20"/>
              </w:rPr>
              <w:t>-100.00%</w:t>
            </w:r>
          </w:p>
        </w:tc>
        <w:tc>
          <w:tcPr>
            <w:tcW w:w="1869" w:type="dxa"/>
          </w:tcPr>
          <w:p w14:paraId="2C02F546" w14:textId="77777777" w:rsidR="0065268B" w:rsidRPr="00141C2E" w:rsidRDefault="0065268B" w:rsidP="0065268B">
            <w:pPr>
              <w:rPr>
                <w:rFonts w:ascii="Verdana" w:hAnsi="Verdana"/>
                <w:sz w:val="20"/>
                <w:szCs w:val="20"/>
              </w:rPr>
            </w:pPr>
            <w:r w:rsidRPr="00141C2E">
              <w:rPr>
                <w:rFonts w:ascii="Verdana" w:hAnsi="Verdana"/>
                <w:sz w:val="20"/>
                <w:szCs w:val="20"/>
              </w:rPr>
              <w:t>0.00 %</w:t>
            </w:r>
          </w:p>
        </w:tc>
      </w:tr>
      <w:tr w:rsidR="0046624A" w:rsidRPr="00141C2E" w14:paraId="68FA090A" w14:textId="77777777" w:rsidTr="0046624A">
        <w:trPr>
          <w:trHeight w:val="483"/>
        </w:trPr>
        <w:tc>
          <w:tcPr>
            <w:tcW w:w="1868" w:type="dxa"/>
          </w:tcPr>
          <w:p w14:paraId="71D19F2F" w14:textId="77777777" w:rsidR="0065268B" w:rsidRPr="00141C2E" w:rsidRDefault="0065268B" w:rsidP="0065268B">
            <w:pPr>
              <w:rPr>
                <w:rFonts w:ascii="Verdana" w:hAnsi="Verdana"/>
                <w:sz w:val="20"/>
                <w:szCs w:val="20"/>
              </w:rPr>
            </w:pPr>
            <w:r w:rsidRPr="00141C2E">
              <w:rPr>
                <w:rFonts w:ascii="Verdana" w:eastAsia="Times New Roman" w:hAnsi="Verdana" w:cs="Arial"/>
                <w:kern w:val="0"/>
                <w:sz w:val="20"/>
                <w:szCs w:val="20"/>
                <w14:ligatures w14:val="none"/>
              </w:rPr>
              <w:t>2021 to 2022</w:t>
            </w:r>
          </w:p>
        </w:tc>
        <w:tc>
          <w:tcPr>
            <w:tcW w:w="1868" w:type="dxa"/>
          </w:tcPr>
          <w:p w14:paraId="11D4C2BE" w14:textId="77777777" w:rsidR="0065268B" w:rsidRPr="00141C2E" w:rsidRDefault="0065268B" w:rsidP="0065268B">
            <w:pPr>
              <w:rPr>
                <w:rFonts w:ascii="Verdana" w:hAnsi="Verdana"/>
                <w:sz w:val="20"/>
                <w:szCs w:val="20"/>
              </w:rPr>
            </w:pPr>
            <w:r w:rsidRPr="00141C2E">
              <w:rPr>
                <w:rFonts w:ascii="Verdana" w:hAnsi="Verdana"/>
                <w:sz w:val="20"/>
                <w:szCs w:val="20"/>
              </w:rPr>
              <w:t>0.00 %</w:t>
            </w:r>
          </w:p>
        </w:tc>
        <w:tc>
          <w:tcPr>
            <w:tcW w:w="1868" w:type="dxa"/>
          </w:tcPr>
          <w:p w14:paraId="2A3F9F75" w14:textId="77777777" w:rsidR="0065268B" w:rsidRPr="00141C2E" w:rsidRDefault="0065268B" w:rsidP="0065268B">
            <w:pPr>
              <w:rPr>
                <w:rFonts w:ascii="Verdana" w:hAnsi="Verdana"/>
                <w:sz w:val="20"/>
                <w:szCs w:val="20"/>
              </w:rPr>
            </w:pPr>
            <w:r w:rsidRPr="00141C2E">
              <w:rPr>
                <w:rFonts w:ascii="Verdana" w:hAnsi="Verdana"/>
                <w:sz w:val="20"/>
                <w:szCs w:val="20"/>
              </w:rPr>
              <w:t>-50.00%</w:t>
            </w:r>
          </w:p>
        </w:tc>
        <w:tc>
          <w:tcPr>
            <w:tcW w:w="1868" w:type="dxa"/>
          </w:tcPr>
          <w:p w14:paraId="65D51A54" w14:textId="77777777" w:rsidR="0065268B" w:rsidRPr="00141C2E" w:rsidRDefault="0065268B" w:rsidP="0065268B">
            <w:pPr>
              <w:rPr>
                <w:rFonts w:ascii="Verdana" w:hAnsi="Verdana"/>
                <w:sz w:val="20"/>
                <w:szCs w:val="20"/>
              </w:rPr>
            </w:pPr>
            <w:r w:rsidRPr="00141C2E">
              <w:rPr>
                <w:rFonts w:ascii="Verdana" w:hAnsi="Verdana"/>
                <w:sz w:val="20"/>
                <w:szCs w:val="20"/>
              </w:rPr>
              <w:t>-100.00%</w:t>
            </w:r>
          </w:p>
        </w:tc>
        <w:tc>
          <w:tcPr>
            <w:tcW w:w="1869" w:type="dxa"/>
          </w:tcPr>
          <w:p w14:paraId="3B5FE5A7" w14:textId="77777777" w:rsidR="0065268B" w:rsidRPr="00141C2E" w:rsidRDefault="0065268B" w:rsidP="0065268B">
            <w:pPr>
              <w:rPr>
                <w:rFonts w:ascii="Verdana" w:hAnsi="Verdana"/>
                <w:sz w:val="20"/>
                <w:szCs w:val="20"/>
              </w:rPr>
            </w:pPr>
            <w:r w:rsidRPr="00141C2E">
              <w:rPr>
                <w:rFonts w:ascii="Verdana" w:hAnsi="Verdana"/>
                <w:sz w:val="20"/>
                <w:szCs w:val="20"/>
              </w:rPr>
              <w:t>0.00 %</w:t>
            </w:r>
          </w:p>
        </w:tc>
      </w:tr>
      <w:tr w:rsidR="0046624A" w:rsidRPr="00141C2E" w14:paraId="76D98C7C" w14:textId="77777777" w:rsidTr="0046624A">
        <w:trPr>
          <w:trHeight w:val="463"/>
        </w:trPr>
        <w:tc>
          <w:tcPr>
            <w:tcW w:w="1868" w:type="dxa"/>
          </w:tcPr>
          <w:p w14:paraId="5B39A883" w14:textId="77777777" w:rsidR="0065268B" w:rsidRPr="00141C2E" w:rsidRDefault="0065268B" w:rsidP="0065268B">
            <w:pPr>
              <w:rPr>
                <w:rFonts w:ascii="Verdana" w:hAnsi="Verdana"/>
                <w:sz w:val="20"/>
                <w:szCs w:val="20"/>
              </w:rPr>
            </w:pPr>
            <w:r w:rsidRPr="00141C2E">
              <w:rPr>
                <w:rFonts w:ascii="Verdana" w:hAnsi="Verdana"/>
                <w:sz w:val="20"/>
                <w:szCs w:val="20"/>
              </w:rPr>
              <w:t xml:space="preserve">2023 to 2024 </w:t>
            </w:r>
          </w:p>
        </w:tc>
        <w:tc>
          <w:tcPr>
            <w:tcW w:w="1868" w:type="dxa"/>
          </w:tcPr>
          <w:p w14:paraId="4E02884C" w14:textId="77777777" w:rsidR="0065268B" w:rsidRPr="00141C2E" w:rsidRDefault="0065268B" w:rsidP="0065268B">
            <w:pPr>
              <w:rPr>
                <w:rFonts w:ascii="Verdana" w:hAnsi="Verdana"/>
                <w:sz w:val="20"/>
                <w:szCs w:val="20"/>
              </w:rPr>
            </w:pPr>
            <w:r w:rsidRPr="00141C2E">
              <w:rPr>
                <w:rFonts w:ascii="Verdana" w:hAnsi="Verdana"/>
                <w:sz w:val="20"/>
                <w:szCs w:val="20"/>
              </w:rPr>
              <w:t>0.00 %</w:t>
            </w:r>
          </w:p>
        </w:tc>
        <w:tc>
          <w:tcPr>
            <w:tcW w:w="1868" w:type="dxa"/>
          </w:tcPr>
          <w:p w14:paraId="5233BC3A" w14:textId="77777777" w:rsidR="0065268B" w:rsidRPr="00141C2E" w:rsidRDefault="0065268B" w:rsidP="0065268B">
            <w:pPr>
              <w:rPr>
                <w:rFonts w:ascii="Verdana" w:hAnsi="Verdana"/>
                <w:sz w:val="20"/>
                <w:szCs w:val="20"/>
              </w:rPr>
            </w:pPr>
            <w:r w:rsidRPr="00141C2E">
              <w:rPr>
                <w:rFonts w:ascii="Verdana" w:hAnsi="Verdana"/>
                <w:sz w:val="20"/>
                <w:szCs w:val="20"/>
              </w:rPr>
              <w:t>-66.67%</w:t>
            </w:r>
          </w:p>
        </w:tc>
        <w:tc>
          <w:tcPr>
            <w:tcW w:w="1868" w:type="dxa"/>
          </w:tcPr>
          <w:p w14:paraId="25C8D723" w14:textId="77777777" w:rsidR="0065268B" w:rsidRPr="00141C2E" w:rsidRDefault="0065268B" w:rsidP="0065268B">
            <w:pPr>
              <w:rPr>
                <w:rFonts w:ascii="Verdana" w:hAnsi="Verdana"/>
                <w:sz w:val="20"/>
                <w:szCs w:val="20"/>
              </w:rPr>
            </w:pPr>
            <w:r w:rsidRPr="00141C2E">
              <w:rPr>
                <w:rFonts w:ascii="Verdana" w:hAnsi="Verdana"/>
                <w:sz w:val="20"/>
                <w:szCs w:val="20"/>
              </w:rPr>
              <w:t>-100.00%</w:t>
            </w:r>
          </w:p>
        </w:tc>
        <w:tc>
          <w:tcPr>
            <w:tcW w:w="1869" w:type="dxa"/>
          </w:tcPr>
          <w:p w14:paraId="24F219EE" w14:textId="77777777" w:rsidR="0065268B" w:rsidRPr="00141C2E" w:rsidRDefault="0065268B" w:rsidP="0065268B">
            <w:pPr>
              <w:rPr>
                <w:rFonts w:ascii="Verdana" w:hAnsi="Verdana"/>
                <w:sz w:val="20"/>
                <w:szCs w:val="20"/>
              </w:rPr>
            </w:pPr>
            <w:r w:rsidRPr="00141C2E">
              <w:rPr>
                <w:rFonts w:ascii="Verdana" w:hAnsi="Verdana"/>
                <w:sz w:val="20"/>
                <w:szCs w:val="20"/>
              </w:rPr>
              <w:t>0.00 %</w:t>
            </w:r>
          </w:p>
        </w:tc>
      </w:tr>
    </w:tbl>
    <w:p w14:paraId="62A1D9CA" w14:textId="77777777" w:rsidR="0063297D" w:rsidRPr="00141C2E" w:rsidRDefault="0063297D">
      <w:pPr>
        <w:rPr>
          <w:rFonts w:ascii="Verdana" w:hAnsi="Verdana"/>
          <w:sz w:val="20"/>
          <w:szCs w:val="20"/>
        </w:rPr>
      </w:pPr>
    </w:p>
    <w:p w14:paraId="7A6A81F6" w14:textId="77777777" w:rsidR="0046624A" w:rsidRPr="00141C2E" w:rsidRDefault="0046624A" w:rsidP="0046624A">
      <w:pPr>
        <w:rPr>
          <w:rFonts w:ascii="Verdana" w:hAnsi="Verdana"/>
          <w:sz w:val="20"/>
          <w:szCs w:val="20"/>
        </w:rPr>
      </w:pPr>
    </w:p>
    <w:p w14:paraId="773730E0" w14:textId="470E0B52" w:rsidR="006841B4" w:rsidRDefault="00020383" w:rsidP="00630AF4">
      <w:pPr>
        <w:spacing w:line="360" w:lineRule="auto"/>
        <w:rPr>
          <w:rFonts w:ascii="Verdana" w:hAnsi="Verdana"/>
          <w:sz w:val="20"/>
          <w:szCs w:val="20"/>
        </w:rPr>
      </w:pPr>
      <w:r w:rsidRPr="00141C2E">
        <w:rPr>
          <w:rFonts w:ascii="Verdana" w:hAnsi="Verdana"/>
          <w:sz w:val="20"/>
          <w:szCs w:val="20"/>
        </w:rPr>
        <w:t>N</w:t>
      </w:r>
      <w:r w:rsidR="00D340E9">
        <w:rPr>
          <w:rFonts w:ascii="Verdana" w:hAnsi="Verdana"/>
          <w:sz w:val="20"/>
          <w:szCs w:val="20"/>
        </w:rPr>
        <w:t xml:space="preserve">CC </w:t>
      </w:r>
      <w:r w:rsidRPr="00141C2E">
        <w:rPr>
          <w:rFonts w:ascii="Verdana" w:hAnsi="Verdana"/>
          <w:sz w:val="20"/>
          <w:szCs w:val="20"/>
        </w:rPr>
        <w:t xml:space="preserve">group follows relevance </w:t>
      </w:r>
      <w:r w:rsidR="003F0303" w:rsidRPr="00141C2E">
        <w:rPr>
          <w:rFonts w:ascii="Verdana" w:hAnsi="Verdana"/>
          <w:sz w:val="20"/>
          <w:szCs w:val="20"/>
        </w:rPr>
        <w:t>theory. The</w:t>
      </w:r>
      <w:r w:rsidRPr="00141C2E">
        <w:rPr>
          <w:rFonts w:ascii="Verdana" w:hAnsi="Verdana"/>
          <w:sz w:val="20"/>
          <w:szCs w:val="20"/>
        </w:rPr>
        <w:t xml:space="preserve"> </w:t>
      </w:r>
      <w:r w:rsidR="003F0303" w:rsidRPr="00141C2E">
        <w:rPr>
          <w:rFonts w:ascii="Verdana" w:hAnsi="Verdana"/>
          <w:sz w:val="20"/>
          <w:szCs w:val="20"/>
        </w:rPr>
        <w:t>pay-out</w:t>
      </w:r>
      <w:r w:rsidRPr="00141C2E">
        <w:rPr>
          <w:rFonts w:ascii="Verdana" w:hAnsi="Verdana"/>
          <w:sz w:val="20"/>
          <w:szCs w:val="20"/>
        </w:rPr>
        <w:t xml:space="preserve"> ratio of approximately 58% has been consistently maintained by NCC Group, suggesting a purposeful choice to strike a balance between growth investments and shareholder returns. This is in line with relevance theory, which emphasises the importance of actively controlling dividend policy in order to maximise shareholder value. Even with the 2023 deficit, NCC Group has consistently paid dividends, which may indicate that they are confident in their long-term prospects and financial stability. This supports the relevance theory's assertion that investors can learn positive information from </w:t>
      </w:r>
      <w:r w:rsidR="003F0303" w:rsidRPr="00141C2E">
        <w:rPr>
          <w:rFonts w:ascii="Verdana" w:hAnsi="Verdana"/>
          <w:sz w:val="20"/>
          <w:szCs w:val="20"/>
        </w:rPr>
        <w:t>dividends. D</w:t>
      </w:r>
      <w:r w:rsidRPr="00141C2E">
        <w:rPr>
          <w:rFonts w:ascii="Verdana" w:hAnsi="Verdana"/>
          <w:sz w:val="20"/>
          <w:szCs w:val="20"/>
        </w:rPr>
        <w:t xml:space="preserve">ividends play a bigger role in attracting income-seeking investors into these kinds of </w:t>
      </w:r>
      <w:r w:rsidR="003F0303" w:rsidRPr="00141C2E">
        <w:rPr>
          <w:rFonts w:ascii="Verdana" w:hAnsi="Verdana"/>
          <w:sz w:val="20"/>
          <w:szCs w:val="20"/>
        </w:rPr>
        <w:t>corporations. Regular</w:t>
      </w:r>
      <w:r w:rsidR="00B55A42" w:rsidRPr="00141C2E">
        <w:rPr>
          <w:rFonts w:ascii="Verdana" w:hAnsi="Verdana"/>
          <w:sz w:val="20"/>
          <w:szCs w:val="20"/>
        </w:rPr>
        <w:t xml:space="preserve"> </w:t>
      </w:r>
      <w:r w:rsidR="00AC669E" w:rsidRPr="00141C2E">
        <w:rPr>
          <w:rFonts w:ascii="Verdana" w:hAnsi="Verdana"/>
          <w:sz w:val="20"/>
          <w:szCs w:val="20"/>
        </w:rPr>
        <w:t>pay-outs</w:t>
      </w:r>
      <w:r w:rsidR="00B55A42" w:rsidRPr="00141C2E">
        <w:rPr>
          <w:rFonts w:ascii="Verdana" w:hAnsi="Verdana"/>
          <w:sz w:val="20"/>
          <w:szCs w:val="20"/>
        </w:rPr>
        <w:t xml:space="preserve"> show a dedication to rewarding investors and encourage participation and a sense of ownership. As a result, the base of shareholders may become more secure and </w:t>
      </w:r>
      <w:r w:rsidR="00EF0221" w:rsidRPr="00141C2E">
        <w:rPr>
          <w:rFonts w:ascii="Verdana" w:hAnsi="Verdana"/>
          <w:sz w:val="20"/>
          <w:szCs w:val="20"/>
        </w:rPr>
        <w:t>content. Frequent</w:t>
      </w:r>
      <w:r w:rsidR="00B55A42" w:rsidRPr="00141C2E">
        <w:rPr>
          <w:rFonts w:ascii="Verdana" w:hAnsi="Verdana"/>
          <w:sz w:val="20"/>
          <w:szCs w:val="20"/>
        </w:rPr>
        <w:t xml:space="preserve"> dividend payments might indicate management's optimism for the company's future, particularly in trying circumstances. Investor confidence may increase as a result, raising the possibility of increased demand for the stock and an increase in share price.</w:t>
      </w:r>
      <w:r w:rsidR="00A22682" w:rsidRPr="00141C2E">
        <w:rPr>
          <w:rFonts w:ascii="Verdana" w:hAnsi="Verdana"/>
          <w:sz w:val="20"/>
          <w:szCs w:val="20"/>
        </w:rPr>
        <w:t xml:space="preserve"> This can result in a long-lasting strategy that meets the demands of both present and future investors. They may be able to raise money at reduced rates for upcoming investments or acquisitions as a result of a possible decrease in their cost of capital. </w:t>
      </w:r>
      <w:r w:rsidR="00953CC2" w:rsidRPr="00141C2E">
        <w:rPr>
          <w:rFonts w:ascii="Verdana" w:hAnsi="Verdana"/>
          <w:sz w:val="20"/>
          <w:szCs w:val="20"/>
        </w:rPr>
        <w:lastRenderedPageBreak/>
        <w:t>Maintaining a dividend policy that is consistent over time might increase shareholder trust in the company's capacity to produce free cash flow, which could draw in additional investors and raise the share price. Through the issuance of new stock or higher market valuations, this may indirectly result in a boost in cash flow.</w:t>
      </w:r>
    </w:p>
    <w:p w14:paraId="0A0B428A" w14:textId="77777777" w:rsidR="006841B4" w:rsidRPr="00141C2E" w:rsidRDefault="006841B4" w:rsidP="00A13D77">
      <w:pPr>
        <w:rPr>
          <w:rFonts w:ascii="Verdana" w:hAnsi="Verdana"/>
          <w:sz w:val="20"/>
          <w:szCs w:val="20"/>
        </w:rPr>
      </w:pPr>
    </w:p>
    <w:p w14:paraId="2690FBE2" w14:textId="77777777" w:rsidR="004E4EE2" w:rsidRPr="00141C2E" w:rsidRDefault="004E4EE2">
      <w:pPr>
        <w:rPr>
          <w:rFonts w:ascii="Verdana" w:hAnsi="Verdana"/>
          <w:b/>
          <w:bCs/>
          <w:sz w:val="20"/>
          <w:szCs w:val="20"/>
        </w:rPr>
      </w:pPr>
      <w:r w:rsidRPr="00141C2E">
        <w:rPr>
          <w:rFonts w:ascii="Verdana" w:hAnsi="Verdana"/>
          <w:b/>
          <w:bCs/>
          <w:sz w:val="20"/>
          <w:szCs w:val="20"/>
        </w:rPr>
        <w:t xml:space="preserve">Task 3 </w:t>
      </w:r>
    </w:p>
    <w:p w14:paraId="70A7C83A" w14:textId="2F7608CF" w:rsidR="000F194D" w:rsidRPr="00141C2E" w:rsidRDefault="00C50AC0" w:rsidP="00630AF4">
      <w:pPr>
        <w:spacing w:line="360" w:lineRule="auto"/>
        <w:rPr>
          <w:rFonts w:ascii="Verdana" w:hAnsi="Verdana"/>
          <w:sz w:val="20"/>
          <w:szCs w:val="20"/>
        </w:rPr>
      </w:pPr>
      <w:r w:rsidRPr="00141C2E">
        <w:rPr>
          <w:rFonts w:ascii="Verdana" w:hAnsi="Verdana"/>
          <w:sz w:val="20"/>
          <w:szCs w:val="20"/>
        </w:rPr>
        <w:t>Table A highlights the results of the capital asset pricing model (CAPM) used to calculate the cost of capital, cost of equity, and cost of debt for the NCC group. The Excel document that is attached collects these details.</w:t>
      </w:r>
    </w:p>
    <w:p w14:paraId="71D76A96" w14:textId="1EE73010" w:rsidR="00A242F7" w:rsidRPr="00141C2E" w:rsidRDefault="004D42B9" w:rsidP="002C071E">
      <w:pPr>
        <w:rPr>
          <w:rFonts w:ascii="Verdana" w:hAnsi="Verdana"/>
          <w:sz w:val="20"/>
          <w:szCs w:val="20"/>
        </w:rPr>
      </w:pPr>
      <w:r>
        <w:rPr>
          <w:rFonts w:ascii="Verdana" w:hAnsi="Verdana"/>
          <w:noProof/>
          <w:sz w:val="20"/>
          <w:szCs w:val="20"/>
        </w:rPr>
        <w:drawing>
          <wp:inline distT="0" distB="0" distL="0" distR="0" wp14:anchorId="44AEA8E4" wp14:editId="72EB9717">
            <wp:extent cx="4041606" cy="2020803"/>
            <wp:effectExtent l="0" t="0" r="0" b="0"/>
            <wp:docPr id="6" name="Picture 6"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aper with writing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5718" cy="2022859"/>
                    </a:xfrm>
                    <a:prstGeom prst="rect">
                      <a:avLst/>
                    </a:prstGeom>
                  </pic:spPr>
                </pic:pic>
              </a:graphicData>
            </a:graphic>
          </wp:inline>
        </w:drawing>
      </w:r>
    </w:p>
    <w:p w14:paraId="3D17E400" w14:textId="77777777" w:rsidR="00A242F7" w:rsidRPr="00141C2E" w:rsidRDefault="00A242F7">
      <w:pPr>
        <w:rPr>
          <w:rFonts w:ascii="Verdana" w:hAnsi="Verdana"/>
          <w:sz w:val="20"/>
          <w:szCs w:val="20"/>
        </w:rPr>
      </w:pPr>
    </w:p>
    <w:p w14:paraId="34D28D27" w14:textId="586B2E01" w:rsidR="007B10DA" w:rsidRPr="00141C2E" w:rsidRDefault="007B10DA" w:rsidP="001416A8">
      <w:pPr>
        <w:pStyle w:val="Heading1"/>
        <w:ind w:left="5600" w:right="-11" w:firstLine="0"/>
        <w:jc w:val="left"/>
        <w:rPr>
          <w:i w:val="0"/>
          <w:iCs/>
          <w:szCs w:val="20"/>
        </w:rPr>
      </w:pPr>
      <w:r w:rsidRPr="00141C2E">
        <w:rPr>
          <w:szCs w:val="20"/>
        </w:rPr>
        <w:t xml:space="preserve">                                                       </w:t>
      </w:r>
    </w:p>
    <w:p w14:paraId="3C063225" w14:textId="118337BE" w:rsidR="00A242F7" w:rsidRDefault="00186150" w:rsidP="003722FE">
      <w:pPr>
        <w:spacing w:after="303" w:line="360" w:lineRule="auto"/>
        <w:rPr>
          <w:rFonts w:ascii="Verdana" w:hAnsi="Verdana"/>
          <w:sz w:val="20"/>
          <w:szCs w:val="20"/>
        </w:rPr>
      </w:pPr>
      <w:r w:rsidRPr="00141C2E">
        <w:rPr>
          <w:rFonts w:ascii="Verdana" w:eastAsia="Verdana" w:hAnsi="Verdana" w:cs="Verdana"/>
          <w:b/>
          <w:sz w:val="20"/>
          <w:szCs w:val="20"/>
        </w:rPr>
        <w:t xml:space="preserve">Cost of equity- </w:t>
      </w:r>
      <w:r w:rsidR="002C071E" w:rsidRPr="00141C2E">
        <w:rPr>
          <w:rFonts w:ascii="Verdana" w:hAnsi="Verdana"/>
          <w:sz w:val="20"/>
          <w:szCs w:val="20"/>
        </w:rPr>
        <w:t>Along</w:t>
      </w:r>
      <w:r w:rsidR="002C071E">
        <w:rPr>
          <w:rFonts w:ascii="Verdana" w:hAnsi="Verdana"/>
          <w:sz w:val="20"/>
          <w:szCs w:val="20"/>
        </w:rPr>
        <w:t>s</w:t>
      </w:r>
      <w:r w:rsidR="002C071E" w:rsidRPr="00141C2E">
        <w:rPr>
          <w:rFonts w:ascii="Verdana" w:hAnsi="Verdana"/>
          <w:sz w:val="20"/>
          <w:szCs w:val="20"/>
        </w:rPr>
        <w:t>ide</w:t>
      </w:r>
      <w:r w:rsidRPr="00141C2E">
        <w:rPr>
          <w:rFonts w:ascii="Verdana" w:hAnsi="Verdana"/>
          <w:sz w:val="20"/>
          <w:szCs w:val="20"/>
        </w:rPr>
        <w:t xml:space="preserve"> the </w:t>
      </w:r>
      <w:proofErr w:type="spellStart"/>
      <w:r w:rsidRPr="00141C2E">
        <w:rPr>
          <w:rFonts w:ascii="Verdana" w:hAnsi="Verdana"/>
          <w:sz w:val="20"/>
          <w:szCs w:val="20"/>
        </w:rPr>
        <w:t>Kd</w:t>
      </w:r>
      <w:proofErr w:type="spellEnd"/>
      <w:r w:rsidRPr="00141C2E">
        <w:rPr>
          <w:rFonts w:ascii="Verdana" w:hAnsi="Verdana"/>
          <w:sz w:val="20"/>
          <w:szCs w:val="20"/>
        </w:rPr>
        <w:t xml:space="preserve">, </w:t>
      </w:r>
      <w:r w:rsidR="000577A7">
        <w:rPr>
          <w:rFonts w:ascii="Verdana" w:hAnsi="Verdana"/>
          <w:sz w:val="20"/>
          <w:szCs w:val="20"/>
        </w:rPr>
        <w:t>NCC group</w:t>
      </w:r>
      <w:r w:rsidRPr="00141C2E">
        <w:rPr>
          <w:rFonts w:ascii="Verdana" w:hAnsi="Verdana"/>
          <w:sz w:val="20"/>
          <w:szCs w:val="20"/>
        </w:rPr>
        <w:t xml:space="preserve"> shows a </w:t>
      </w:r>
      <w:r w:rsidRPr="00141C2E">
        <w:rPr>
          <w:rFonts w:ascii="Verdana" w:eastAsia="Verdana" w:hAnsi="Verdana" w:cs="Verdana"/>
          <w:b/>
          <w:sz w:val="20"/>
          <w:szCs w:val="20"/>
        </w:rPr>
        <w:t>Ke</w:t>
      </w:r>
      <w:r w:rsidRPr="00141C2E">
        <w:rPr>
          <w:rFonts w:ascii="Verdana" w:hAnsi="Verdana"/>
          <w:sz w:val="20"/>
          <w:szCs w:val="20"/>
        </w:rPr>
        <w:t xml:space="preserve"> of </w:t>
      </w:r>
      <w:r w:rsidR="00CB2AFC">
        <w:rPr>
          <w:rFonts w:ascii="Verdana" w:hAnsi="Verdana"/>
          <w:sz w:val="20"/>
          <w:szCs w:val="20"/>
        </w:rPr>
        <w:t>10</w:t>
      </w:r>
      <w:r w:rsidRPr="00141C2E">
        <w:rPr>
          <w:rFonts w:ascii="Verdana" w:hAnsi="Verdana"/>
          <w:sz w:val="20"/>
          <w:szCs w:val="20"/>
        </w:rPr>
        <w:t>.8</w:t>
      </w:r>
      <w:r w:rsidR="00CB2AFC">
        <w:rPr>
          <w:rFonts w:ascii="Verdana" w:hAnsi="Verdana"/>
          <w:sz w:val="20"/>
          <w:szCs w:val="20"/>
        </w:rPr>
        <w:t>2</w:t>
      </w:r>
      <w:r w:rsidRPr="00141C2E">
        <w:rPr>
          <w:rFonts w:ascii="Verdana" w:hAnsi="Verdana"/>
          <w:sz w:val="20"/>
          <w:szCs w:val="20"/>
        </w:rPr>
        <w:t xml:space="preserve">%, calculated as </w:t>
      </w:r>
      <w:r w:rsidR="003722FE" w:rsidRPr="00141C2E">
        <w:rPr>
          <w:rFonts w:ascii="Verdana" w:hAnsi="Verdana"/>
          <w:sz w:val="20"/>
          <w:szCs w:val="20"/>
        </w:rPr>
        <w:t>follows: PICTURE</w:t>
      </w:r>
      <w:r w:rsidR="00B417DF" w:rsidRPr="00141C2E">
        <w:rPr>
          <w:rFonts w:ascii="Verdana" w:hAnsi="Verdana"/>
          <w:sz w:val="20"/>
          <w:szCs w:val="20"/>
        </w:rPr>
        <w:t xml:space="preserve"> OF KE </w:t>
      </w:r>
      <w:r w:rsidR="00446BC2" w:rsidRPr="00141C2E">
        <w:rPr>
          <w:rFonts w:ascii="Verdana" w:hAnsi="Verdana"/>
          <w:sz w:val="20"/>
          <w:szCs w:val="20"/>
        </w:rPr>
        <w:t xml:space="preserve">CALCULATION </w:t>
      </w:r>
    </w:p>
    <w:p w14:paraId="2ECA088D" w14:textId="17128E8B" w:rsidR="003722FE" w:rsidRDefault="003722FE" w:rsidP="003722FE">
      <w:pPr>
        <w:spacing w:after="303" w:line="360" w:lineRule="auto"/>
        <w:rPr>
          <w:rFonts w:ascii="Verdana" w:hAnsi="Verdana"/>
          <w:sz w:val="20"/>
          <w:szCs w:val="20"/>
        </w:rPr>
      </w:pPr>
      <w:r>
        <w:rPr>
          <w:rFonts w:ascii="Verdana" w:hAnsi="Verdana"/>
          <w:noProof/>
          <w:sz w:val="20"/>
          <w:szCs w:val="20"/>
        </w:rPr>
        <w:drawing>
          <wp:inline distT="0" distB="0" distL="0" distR="0" wp14:anchorId="15F6B800" wp14:editId="09DCB3D5">
            <wp:extent cx="3277587" cy="2926080"/>
            <wp:effectExtent l="0" t="0" r="0" b="7620"/>
            <wp:docPr id="10" name="Picture 10"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aper with writing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81019" cy="2929144"/>
                    </a:xfrm>
                    <a:prstGeom prst="rect">
                      <a:avLst/>
                    </a:prstGeom>
                  </pic:spPr>
                </pic:pic>
              </a:graphicData>
            </a:graphic>
          </wp:inline>
        </w:drawing>
      </w:r>
    </w:p>
    <w:p w14:paraId="5D237AA4" w14:textId="77777777" w:rsidR="003722FE" w:rsidRPr="00141C2E" w:rsidRDefault="003722FE" w:rsidP="003722FE">
      <w:pPr>
        <w:spacing w:after="303" w:line="360" w:lineRule="auto"/>
        <w:rPr>
          <w:rFonts w:ascii="Verdana" w:hAnsi="Verdana"/>
          <w:sz w:val="20"/>
          <w:szCs w:val="20"/>
        </w:rPr>
      </w:pPr>
    </w:p>
    <w:p w14:paraId="1C9CE613" w14:textId="17196360" w:rsidR="00446BC2" w:rsidRPr="00141C2E" w:rsidRDefault="000B6BEE" w:rsidP="003722FE">
      <w:pPr>
        <w:spacing w:line="360" w:lineRule="auto"/>
        <w:rPr>
          <w:rFonts w:ascii="Verdana" w:hAnsi="Verdana"/>
          <w:sz w:val="20"/>
          <w:szCs w:val="20"/>
        </w:rPr>
      </w:pPr>
      <w:r w:rsidRPr="00141C2E">
        <w:rPr>
          <w:rFonts w:ascii="Verdana" w:hAnsi="Verdana"/>
          <w:sz w:val="20"/>
          <w:szCs w:val="20"/>
        </w:rPr>
        <w:t xml:space="preserve">As shown in above </w:t>
      </w:r>
      <w:r w:rsidR="003722FE" w:rsidRPr="00141C2E">
        <w:rPr>
          <w:rFonts w:ascii="Verdana" w:hAnsi="Verdana"/>
          <w:sz w:val="20"/>
          <w:szCs w:val="20"/>
        </w:rPr>
        <w:t>image</w:t>
      </w:r>
      <w:r w:rsidR="003722FE">
        <w:rPr>
          <w:rFonts w:ascii="Verdana" w:hAnsi="Verdana"/>
          <w:sz w:val="20"/>
          <w:szCs w:val="20"/>
        </w:rPr>
        <w:t>, A</w:t>
      </w:r>
      <w:r w:rsidR="008B65A4" w:rsidRPr="00141C2E">
        <w:rPr>
          <w:rFonts w:ascii="Verdana" w:hAnsi="Verdana"/>
          <w:sz w:val="20"/>
          <w:szCs w:val="20"/>
        </w:rPr>
        <w:t xml:space="preserve"> stock's volatility in relation to the market is gauged by its beta. A beta value exceeding 1.0 indicates that the stock is anticipated to exhibit higher volatility compared to the market</w:t>
      </w:r>
      <w:r w:rsidR="00DD0DF0" w:rsidRPr="00141C2E">
        <w:rPr>
          <w:rFonts w:ascii="Verdana" w:hAnsi="Verdana"/>
          <w:sz w:val="20"/>
          <w:szCs w:val="20"/>
        </w:rPr>
        <w:t xml:space="preserve"> </w:t>
      </w:r>
      <w:r w:rsidR="008B65A4" w:rsidRPr="00141C2E">
        <w:rPr>
          <w:rFonts w:ascii="Verdana" w:hAnsi="Verdana"/>
          <w:sz w:val="20"/>
          <w:szCs w:val="20"/>
        </w:rPr>
        <w:t>.NCC Group</w:t>
      </w:r>
      <w:r w:rsidR="00DC1C32" w:rsidRPr="00141C2E">
        <w:rPr>
          <w:rFonts w:ascii="Verdana" w:hAnsi="Verdana"/>
          <w:sz w:val="20"/>
          <w:szCs w:val="20"/>
        </w:rPr>
        <w:t xml:space="preserve"> </w:t>
      </w:r>
      <w:r w:rsidR="008B65A4" w:rsidRPr="00141C2E">
        <w:rPr>
          <w:rFonts w:ascii="Verdana" w:hAnsi="Verdana"/>
          <w:sz w:val="20"/>
          <w:szCs w:val="20"/>
        </w:rPr>
        <w:t>cost</w:t>
      </w:r>
      <w:r w:rsidR="00DC1C32" w:rsidRPr="00141C2E">
        <w:rPr>
          <w:rFonts w:ascii="Verdana" w:hAnsi="Verdana"/>
          <w:sz w:val="20"/>
          <w:szCs w:val="20"/>
        </w:rPr>
        <w:t xml:space="preserve"> of equity</w:t>
      </w:r>
      <w:r w:rsidR="008B65A4" w:rsidRPr="00141C2E">
        <w:rPr>
          <w:rFonts w:ascii="Verdana" w:hAnsi="Verdana"/>
          <w:sz w:val="20"/>
          <w:szCs w:val="20"/>
        </w:rPr>
        <w:t xml:space="preserve"> is 10.8</w:t>
      </w:r>
      <w:r w:rsidR="00CB2AFC">
        <w:rPr>
          <w:rFonts w:ascii="Verdana" w:hAnsi="Verdana"/>
          <w:sz w:val="20"/>
          <w:szCs w:val="20"/>
        </w:rPr>
        <w:t>2</w:t>
      </w:r>
      <w:r w:rsidR="008B65A4" w:rsidRPr="00141C2E">
        <w:rPr>
          <w:rFonts w:ascii="Verdana" w:hAnsi="Verdana"/>
          <w:sz w:val="20"/>
          <w:szCs w:val="20"/>
        </w:rPr>
        <w:t>%. As a result, investors anticipate receiving a 10.8</w:t>
      </w:r>
      <w:r w:rsidR="00CB2AFC">
        <w:rPr>
          <w:rFonts w:ascii="Verdana" w:hAnsi="Verdana"/>
          <w:sz w:val="20"/>
          <w:szCs w:val="20"/>
        </w:rPr>
        <w:t>2</w:t>
      </w:r>
      <w:r w:rsidR="008B65A4" w:rsidRPr="00141C2E">
        <w:rPr>
          <w:rFonts w:ascii="Verdana" w:hAnsi="Verdana"/>
          <w:sz w:val="20"/>
          <w:szCs w:val="20"/>
        </w:rPr>
        <w:t>% return on their ordinary shares.</w:t>
      </w:r>
      <w:r w:rsidR="00C96A00" w:rsidRPr="00141C2E">
        <w:rPr>
          <w:rFonts w:ascii="Verdana" w:hAnsi="Verdana"/>
          <w:sz w:val="20"/>
          <w:szCs w:val="20"/>
        </w:rPr>
        <w:t xml:space="preserve"> </w:t>
      </w:r>
      <w:r w:rsidR="008B65A4" w:rsidRPr="00141C2E">
        <w:rPr>
          <w:rFonts w:ascii="Verdana" w:hAnsi="Verdana"/>
          <w:sz w:val="20"/>
          <w:szCs w:val="20"/>
        </w:rPr>
        <w:t xml:space="preserve">As to </w:t>
      </w:r>
      <w:r w:rsidR="00C83956" w:rsidRPr="00141C2E">
        <w:rPr>
          <w:rFonts w:ascii="Verdana" w:hAnsi="Verdana"/>
          <w:sz w:val="20"/>
          <w:szCs w:val="20"/>
        </w:rPr>
        <w:t>Bloomberg</w:t>
      </w:r>
      <w:r w:rsidR="003D710C" w:rsidRPr="00141C2E">
        <w:rPr>
          <w:rFonts w:ascii="Verdana" w:hAnsi="Verdana"/>
          <w:sz w:val="20"/>
          <w:szCs w:val="20"/>
        </w:rPr>
        <w:t xml:space="preserve">, </w:t>
      </w:r>
      <w:r w:rsidR="00C83956" w:rsidRPr="00141C2E">
        <w:rPr>
          <w:rFonts w:ascii="Verdana" w:hAnsi="Verdana"/>
          <w:sz w:val="20"/>
          <w:szCs w:val="20"/>
        </w:rPr>
        <w:t>Competitors</w:t>
      </w:r>
      <w:r w:rsidR="003D710C" w:rsidRPr="00141C2E">
        <w:rPr>
          <w:rFonts w:ascii="Verdana" w:hAnsi="Verdana"/>
          <w:sz w:val="20"/>
          <w:szCs w:val="20"/>
        </w:rPr>
        <w:t xml:space="preserve"> </w:t>
      </w:r>
      <w:r w:rsidR="008E3F67" w:rsidRPr="00141C2E">
        <w:rPr>
          <w:rFonts w:ascii="Verdana" w:hAnsi="Verdana"/>
          <w:sz w:val="20"/>
          <w:szCs w:val="20"/>
        </w:rPr>
        <w:t>companies’</w:t>
      </w:r>
      <w:r w:rsidR="008B65A4" w:rsidRPr="00141C2E">
        <w:rPr>
          <w:rFonts w:ascii="Verdana" w:hAnsi="Verdana"/>
          <w:sz w:val="20"/>
          <w:szCs w:val="20"/>
        </w:rPr>
        <w:t xml:space="preserve"> average cost of equity is 9.5%. The cost of equity for NCC </w:t>
      </w:r>
      <w:r w:rsidR="008E3F67" w:rsidRPr="00141C2E">
        <w:rPr>
          <w:rFonts w:ascii="Verdana" w:hAnsi="Verdana"/>
          <w:sz w:val="20"/>
          <w:szCs w:val="20"/>
        </w:rPr>
        <w:t>Group exceeds</w:t>
      </w:r>
      <w:r w:rsidR="008B65A4" w:rsidRPr="00141C2E">
        <w:rPr>
          <w:rFonts w:ascii="Verdana" w:hAnsi="Verdana"/>
          <w:sz w:val="20"/>
          <w:szCs w:val="20"/>
        </w:rPr>
        <w:t xml:space="preserve"> the industry average. There are numerous possible reasons for this, including the larger beta of NCC Group or its better potential for growth.</w:t>
      </w:r>
    </w:p>
    <w:p w14:paraId="3A5F6270" w14:textId="23C08289" w:rsidR="00CD5030" w:rsidRPr="00141C2E" w:rsidRDefault="00CD5030" w:rsidP="003722FE">
      <w:pPr>
        <w:spacing w:line="360" w:lineRule="auto"/>
        <w:rPr>
          <w:rFonts w:ascii="Verdana" w:hAnsi="Verdana"/>
          <w:sz w:val="20"/>
          <w:szCs w:val="20"/>
        </w:rPr>
      </w:pPr>
      <w:r w:rsidRPr="00141C2E">
        <w:rPr>
          <w:rFonts w:ascii="Verdana" w:hAnsi="Verdana"/>
          <w:sz w:val="20"/>
          <w:szCs w:val="20"/>
        </w:rPr>
        <w:t xml:space="preserve"> Estimates of the risk-free rate, the market risk premium, and the applied beta are needed for the </w:t>
      </w:r>
      <w:r w:rsidR="00290385" w:rsidRPr="00141C2E">
        <w:rPr>
          <w:rFonts w:ascii="Verdana" w:hAnsi="Verdana"/>
          <w:sz w:val="20"/>
          <w:szCs w:val="20"/>
        </w:rPr>
        <w:t>variables. Treasury</w:t>
      </w:r>
      <w:r w:rsidR="002C781F" w:rsidRPr="00141C2E">
        <w:rPr>
          <w:rFonts w:ascii="Verdana" w:hAnsi="Verdana"/>
          <w:sz w:val="20"/>
          <w:szCs w:val="20"/>
        </w:rPr>
        <w:t xml:space="preserve"> bills, notes, and bonds issued by developed countries with strong credit ratings (e.g., US Treasury bonds, German Bunds) are considered risk-free</w:t>
      </w:r>
      <w:r w:rsidRPr="00141C2E">
        <w:rPr>
          <w:rFonts w:ascii="Verdana" w:hAnsi="Verdana"/>
          <w:sz w:val="20"/>
          <w:szCs w:val="20"/>
        </w:rPr>
        <w:t xml:space="preserve"> which is derived from </w:t>
      </w:r>
      <w:r w:rsidR="00CA2DC3" w:rsidRPr="00141C2E">
        <w:rPr>
          <w:rFonts w:ascii="Verdana" w:hAnsi="Verdana"/>
          <w:sz w:val="20"/>
          <w:szCs w:val="20"/>
        </w:rPr>
        <w:t>B</w:t>
      </w:r>
      <w:r w:rsidR="00217CCC" w:rsidRPr="00141C2E">
        <w:rPr>
          <w:rFonts w:ascii="Verdana" w:hAnsi="Verdana"/>
          <w:sz w:val="20"/>
          <w:szCs w:val="20"/>
        </w:rPr>
        <w:t>realey, Richard A.,</w:t>
      </w:r>
      <w:r w:rsidR="007505C6" w:rsidRPr="00141C2E">
        <w:rPr>
          <w:rFonts w:ascii="Verdana" w:hAnsi="Verdana"/>
          <w:sz w:val="20"/>
          <w:szCs w:val="20"/>
        </w:rPr>
        <w:t xml:space="preserve"> </w:t>
      </w:r>
      <w:r w:rsidR="002329C0" w:rsidRPr="00141C2E">
        <w:rPr>
          <w:rFonts w:ascii="Verdana" w:hAnsi="Verdana"/>
          <w:sz w:val="20"/>
          <w:szCs w:val="20"/>
        </w:rPr>
        <w:t xml:space="preserve">and </w:t>
      </w:r>
      <w:r w:rsidR="007B7686" w:rsidRPr="00141C2E">
        <w:rPr>
          <w:rFonts w:ascii="Verdana" w:hAnsi="Verdana"/>
          <w:sz w:val="20"/>
          <w:szCs w:val="20"/>
        </w:rPr>
        <w:t>Stewart</w:t>
      </w:r>
      <w:r w:rsidR="002329C0" w:rsidRPr="00141C2E">
        <w:rPr>
          <w:rFonts w:ascii="Verdana" w:hAnsi="Verdana"/>
          <w:sz w:val="20"/>
          <w:szCs w:val="20"/>
        </w:rPr>
        <w:t xml:space="preserve"> C. </w:t>
      </w:r>
      <w:r w:rsidR="007B7686" w:rsidRPr="00141C2E">
        <w:rPr>
          <w:rFonts w:ascii="Verdana" w:hAnsi="Verdana"/>
          <w:sz w:val="20"/>
          <w:szCs w:val="20"/>
        </w:rPr>
        <w:t>Myers</w:t>
      </w:r>
      <w:r w:rsidR="002329C0" w:rsidRPr="00141C2E">
        <w:rPr>
          <w:rFonts w:ascii="Verdana" w:hAnsi="Verdana"/>
          <w:sz w:val="20"/>
          <w:szCs w:val="20"/>
        </w:rPr>
        <w:t>. (11</w:t>
      </w:r>
      <w:r w:rsidR="002329C0" w:rsidRPr="00141C2E">
        <w:rPr>
          <w:rFonts w:ascii="Verdana" w:hAnsi="Verdana"/>
          <w:sz w:val="20"/>
          <w:szCs w:val="20"/>
          <w:vertAlign w:val="superscript"/>
        </w:rPr>
        <w:t>Th</w:t>
      </w:r>
      <w:r w:rsidR="002329C0" w:rsidRPr="00141C2E">
        <w:rPr>
          <w:rFonts w:ascii="Verdana" w:hAnsi="Verdana"/>
          <w:sz w:val="20"/>
          <w:szCs w:val="20"/>
        </w:rPr>
        <w:t xml:space="preserve"> e</w:t>
      </w:r>
      <w:r w:rsidR="007B7686" w:rsidRPr="00141C2E">
        <w:rPr>
          <w:rFonts w:ascii="Verdana" w:hAnsi="Verdana"/>
          <w:sz w:val="20"/>
          <w:szCs w:val="20"/>
        </w:rPr>
        <w:t>d</w:t>
      </w:r>
      <w:r w:rsidR="00EF63B6" w:rsidRPr="00141C2E">
        <w:rPr>
          <w:rFonts w:ascii="Verdana" w:hAnsi="Verdana"/>
          <w:sz w:val="20"/>
          <w:szCs w:val="20"/>
        </w:rPr>
        <w:t>). The</w:t>
      </w:r>
      <w:r w:rsidRPr="00141C2E">
        <w:rPr>
          <w:rFonts w:ascii="Verdana" w:hAnsi="Verdana"/>
          <w:sz w:val="20"/>
          <w:szCs w:val="20"/>
        </w:rPr>
        <w:t xml:space="preserve"> market risk premium is derived from a survey conducted by Fernandez (2018</w:t>
      </w:r>
      <w:r w:rsidR="00224E72" w:rsidRPr="00141C2E">
        <w:rPr>
          <w:rFonts w:ascii="Verdana" w:hAnsi="Verdana"/>
          <w:sz w:val="20"/>
          <w:szCs w:val="20"/>
        </w:rPr>
        <w:t>)</w:t>
      </w:r>
      <w:r w:rsidR="00A114A8" w:rsidRPr="00141C2E">
        <w:rPr>
          <w:rFonts w:ascii="Verdana" w:hAnsi="Verdana"/>
          <w:sz w:val="20"/>
          <w:szCs w:val="20"/>
        </w:rPr>
        <w:t xml:space="preserve">. market risk premium (MRP) represents the expected excess return of the stock market over the risk-free rate. </w:t>
      </w:r>
      <w:r w:rsidR="00EF63B6" w:rsidRPr="00141C2E">
        <w:rPr>
          <w:rFonts w:ascii="Verdana" w:hAnsi="Verdana"/>
          <w:sz w:val="20"/>
          <w:szCs w:val="20"/>
        </w:rPr>
        <w:t>Analyse</w:t>
      </w:r>
      <w:r w:rsidR="00A114A8" w:rsidRPr="00141C2E">
        <w:rPr>
          <w:rFonts w:ascii="Verdana" w:hAnsi="Verdana"/>
          <w:sz w:val="20"/>
          <w:szCs w:val="20"/>
        </w:rPr>
        <w:t xml:space="preserve"> long-term historical data of stock market returns and subtract the average risk-free rate for the same period</w:t>
      </w:r>
      <w:r w:rsidR="00E51A0D">
        <w:rPr>
          <w:rFonts w:ascii="Verdana" w:hAnsi="Verdana"/>
          <w:sz w:val="20"/>
          <w:szCs w:val="20"/>
        </w:rPr>
        <w:t xml:space="preserve"> </w:t>
      </w:r>
      <w:proofErr w:type="gramStart"/>
      <w:r w:rsidR="004F506A" w:rsidRPr="00141C2E">
        <w:rPr>
          <w:rFonts w:ascii="Verdana" w:hAnsi="Verdana"/>
          <w:sz w:val="20"/>
          <w:szCs w:val="20"/>
        </w:rPr>
        <w:t>For</w:t>
      </w:r>
      <w:proofErr w:type="gramEnd"/>
      <w:r w:rsidR="004F506A" w:rsidRPr="00141C2E">
        <w:rPr>
          <w:rFonts w:ascii="Verdana" w:hAnsi="Verdana"/>
          <w:sz w:val="20"/>
          <w:szCs w:val="20"/>
        </w:rPr>
        <w:t xml:space="preserve"> this Reuters report, the beta for the NCCC Group was used. Since the market changes such </w:t>
      </w:r>
      <w:r w:rsidR="00EF63B6" w:rsidRPr="00141C2E">
        <w:rPr>
          <w:rFonts w:ascii="Verdana" w:hAnsi="Verdana"/>
          <w:sz w:val="20"/>
          <w:szCs w:val="20"/>
        </w:rPr>
        <w:t>variables Changes</w:t>
      </w:r>
      <w:r w:rsidR="00224E72" w:rsidRPr="00141C2E">
        <w:rPr>
          <w:rFonts w:ascii="Verdana" w:hAnsi="Verdana"/>
          <w:sz w:val="20"/>
          <w:szCs w:val="20"/>
        </w:rPr>
        <w:t xml:space="preserve"> </w:t>
      </w:r>
      <w:r w:rsidR="00FD69DD" w:rsidRPr="00141C2E">
        <w:rPr>
          <w:rFonts w:ascii="Verdana" w:hAnsi="Verdana"/>
          <w:sz w:val="20"/>
          <w:szCs w:val="20"/>
        </w:rPr>
        <w:t>daily</w:t>
      </w:r>
      <w:r w:rsidR="004F506A" w:rsidRPr="00141C2E">
        <w:rPr>
          <w:rFonts w:ascii="Verdana" w:hAnsi="Verdana"/>
          <w:sz w:val="20"/>
          <w:szCs w:val="20"/>
        </w:rPr>
        <w:t>, the Ke is impacted by fluctuations in their values.</w:t>
      </w:r>
    </w:p>
    <w:p w14:paraId="5B28C508" w14:textId="77777777" w:rsidR="00B2680B" w:rsidRPr="00141C2E" w:rsidRDefault="00B2680B" w:rsidP="003722FE">
      <w:pPr>
        <w:spacing w:after="156" w:line="360" w:lineRule="auto"/>
        <w:ind w:left="-5"/>
        <w:rPr>
          <w:rFonts w:ascii="Verdana" w:eastAsia="Verdana" w:hAnsi="Verdana" w:cs="Verdana"/>
          <w:b/>
          <w:sz w:val="20"/>
          <w:szCs w:val="20"/>
        </w:rPr>
      </w:pPr>
    </w:p>
    <w:p w14:paraId="7A21871C" w14:textId="743465BA" w:rsidR="009F078F" w:rsidRPr="00141C2E" w:rsidRDefault="00B2680B" w:rsidP="003722FE">
      <w:pPr>
        <w:spacing w:after="156" w:line="360" w:lineRule="auto"/>
        <w:ind w:left="-5"/>
        <w:rPr>
          <w:rFonts w:ascii="Verdana" w:eastAsia="Verdana" w:hAnsi="Verdana" w:cs="Verdana"/>
          <w:b/>
          <w:sz w:val="20"/>
          <w:szCs w:val="20"/>
        </w:rPr>
      </w:pPr>
      <w:r w:rsidRPr="00141C2E">
        <w:rPr>
          <w:rFonts w:ascii="Verdana" w:eastAsia="Verdana" w:hAnsi="Verdana" w:cs="Verdana"/>
          <w:b/>
          <w:sz w:val="20"/>
          <w:szCs w:val="20"/>
        </w:rPr>
        <w:t>Cost of debt</w:t>
      </w:r>
    </w:p>
    <w:p w14:paraId="588CE9E1" w14:textId="21787720" w:rsidR="00B2680B" w:rsidRDefault="00B2680B" w:rsidP="003722FE">
      <w:pPr>
        <w:spacing w:after="156" w:line="360" w:lineRule="auto"/>
        <w:ind w:left="-5"/>
        <w:rPr>
          <w:rFonts w:ascii="Verdana" w:hAnsi="Verdana"/>
          <w:sz w:val="20"/>
          <w:szCs w:val="20"/>
        </w:rPr>
      </w:pPr>
      <w:r w:rsidRPr="00141C2E">
        <w:rPr>
          <w:rFonts w:ascii="Verdana" w:hAnsi="Verdana"/>
          <w:sz w:val="20"/>
          <w:szCs w:val="20"/>
        </w:rPr>
        <w:t xml:space="preserve">The calculations show a </w:t>
      </w:r>
      <w:proofErr w:type="spellStart"/>
      <w:r w:rsidRPr="00141C2E">
        <w:rPr>
          <w:rFonts w:ascii="Verdana" w:eastAsia="Verdana" w:hAnsi="Verdana" w:cs="Verdana"/>
          <w:b/>
          <w:sz w:val="20"/>
          <w:szCs w:val="20"/>
        </w:rPr>
        <w:t>Kd</w:t>
      </w:r>
      <w:proofErr w:type="spellEnd"/>
      <w:r w:rsidRPr="00141C2E">
        <w:rPr>
          <w:rFonts w:ascii="Verdana" w:hAnsi="Verdana"/>
          <w:sz w:val="20"/>
          <w:szCs w:val="20"/>
        </w:rPr>
        <w:t xml:space="preserve"> of </w:t>
      </w:r>
      <w:r w:rsidR="00E51A0D">
        <w:rPr>
          <w:rFonts w:ascii="Verdana" w:hAnsi="Verdana"/>
          <w:sz w:val="20"/>
          <w:szCs w:val="20"/>
        </w:rPr>
        <w:t>4.89</w:t>
      </w:r>
      <w:r w:rsidRPr="00141C2E">
        <w:rPr>
          <w:rFonts w:ascii="Verdana" w:hAnsi="Verdana"/>
          <w:sz w:val="20"/>
          <w:szCs w:val="20"/>
        </w:rPr>
        <w:t xml:space="preserve">%. It is calculated as follows, using the variables below, from the Annual Report: </w:t>
      </w:r>
    </w:p>
    <w:p w14:paraId="7F5C1416" w14:textId="3080738F" w:rsidR="00B2088D" w:rsidRDefault="00702BD2" w:rsidP="00702BD2">
      <w:pPr>
        <w:spacing w:after="156"/>
        <w:ind w:left="-5"/>
        <w:rPr>
          <w:rFonts w:ascii="Verdana" w:hAnsi="Verdana"/>
          <w:sz w:val="20"/>
          <w:szCs w:val="20"/>
        </w:rPr>
      </w:pPr>
      <w:r>
        <w:rPr>
          <w:rFonts w:ascii="Verdana" w:hAnsi="Verdana"/>
          <w:noProof/>
          <w:sz w:val="20"/>
          <w:szCs w:val="20"/>
        </w:rPr>
        <w:drawing>
          <wp:inline distT="0" distB="0" distL="0" distR="0" wp14:anchorId="5EFA705C" wp14:editId="040D35FC">
            <wp:extent cx="3630195" cy="1559705"/>
            <wp:effectExtent l="0" t="0" r="8890" b="2540"/>
            <wp:docPr id="4" name="Picture 4"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aper with text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3928" cy="1569902"/>
                    </a:xfrm>
                    <a:prstGeom prst="rect">
                      <a:avLst/>
                    </a:prstGeom>
                  </pic:spPr>
                </pic:pic>
              </a:graphicData>
            </a:graphic>
          </wp:inline>
        </w:drawing>
      </w:r>
    </w:p>
    <w:p w14:paraId="405AAB4B" w14:textId="77777777" w:rsidR="00B2088D" w:rsidRPr="00141C2E" w:rsidRDefault="00B2088D" w:rsidP="00B2680B">
      <w:pPr>
        <w:spacing w:after="156"/>
        <w:ind w:left="-5"/>
        <w:rPr>
          <w:rFonts w:ascii="Verdana" w:hAnsi="Verdana"/>
          <w:sz w:val="20"/>
          <w:szCs w:val="20"/>
        </w:rPr>
      </w:pPr>
    </w:p>
    <w:p w14:paraId="3DD8BA1E" w14:textId="659F4AB8" w:rsidR="00E41DBD" w:rsidRPr="00141C2E" w:rsidRDefault="00E41DBD" w:rsidP="003722FE">
      <w:pPr>
        <w:spacing w:after="156" w:line="360" w:lineRule="auto"/>
        <w:ind w:left="-5"/>
        <w:rPr>
          <w:rFonts w:ascii="Verdana" w:hAnsi="Verdana"/>
          <w:sz w:val="20"/>
          <w:szCs w:val="20"/>
        </w:rPr>
      </w:pPr>
      <w:r w:rsidRPr="00141C2E">
        <w:rPr>
          <w:rFonts w:ascii="Verdana" w:hAnsi="Verdana"/>
          <w:sz w:val="20"/>
          <w:szCs w:val="20"/>
        </w:rPr>
        <w:t xml:space="preserve">The </w:t>
      </w:r>
      <w:proofErr w:type="spellStart"/>
      <w:r w:rsidRPr="00141C2E">
        <w:rPr>
          <w:rFonts w:ascii="Verdana" w:hAnsi="Verdana"/>
          <w:sz w:val="20"/>
          <w:szCs w:val="20"/>
        </w:rPr>
        <w:t>Kd</w:t>
      </w:r>
      <w:proofErr w:type="spellEnd"/>
      <w:r w:rsidRPr="00141C2E">
        <w:rPr>
          <w:rFonts w:ascii="Verdana" w:hAnsi="Verdana"/>
          <w:sz w:val="20"/>
          <w:szCs w:val="20"/>
        </w:rPr>
        <w:t xml:space="preserve"> of 4.89% for NCC Group London is greater than the industry average. This implies that NCC Group London may be bearing a marginally raised financing expense in relation to its peers within </w:t>
      </w:r>
      <w:r w:rsidR="00FD69DD" w:rsidRPr="00141C2E">
        <w:rPr>
          <w:rFonts w:ascii="Verdana" w:hAnsi="Verdana"/>
          <w:sz w:val="20"/>
          <w:szCs w:val="20"/>
        </w:rPr>
        <w:t>its</w:t>
      </w:r>
      <w:r w:rsidRPr="00141C2E">
        <w:rPr>
          <w:rFonts w:ascii="Verdana" w:hAnsi="Verdana"/>
          <w:sz w:val="20"/>
          <w:szCs w:val="20"/>
        </w:rPr>
        <w:t xml:space="preserve"> industry. Currently, the technology sector's average </w:t>
      </w:r>
      <w:proofErr w:type="spellStart"/>
      <w:r w:rsidRPr="00141C2E">
        <w:rPr>
          <w:rFonts w:ascii="Verdana" w:hAnsi="Verdana"/>
          <w:sz w:val="20"/>
          <w:szCs w:val="20"/>
        </w:rPr>
        <w:t>Kd</w:t>
      </w:r>
      <w:proofErr w:type="spellEnd"/>
      <w:r w:rsidRPr="00141C2E">
        <w:rPr>
          <w:rFonts w:ascii="Verdana" w:hAnsi="Verdana"/>
          <w:sz w:val="20"/>
          <w:szCs w:val="20"/>
        </w:rPr>
        <w:t xml:space="preserve"> is approximately 3.5%. Greater credit </w:t>
      </w:r>
      <w:r w:rsidR="00FD69DD" w:rsidRPr="00141C2E">
        <w:rPr>
          <w:rFonts w:ascii="Verdana" w:hAnsi="Verdana"/>
          <w:sz w:val="20"/>
          <w:szCs w:val="20"/>
        </w:rPr>
        <w:t>risk NCC</w:t>
      </w:r>
      <w:r w:rsidRPr="00141C2E">
        <w:rPr>
          <w:rFonts w:ascii="Verdana" w:hAnsi="Verdana"/>
          <w:sz w:val="20"/>
          <w:szCs w:val="20"/>
        </w:rPr>
        <w:t xml:space="preserve"> Group London may be more credit risky than the typical technology business, which may result in higher borrowing costs.</w:t>
      </w:r>
    </w:p>
    <w:p w14:paraId="0D4ADB27" w14:textId="22655687" w:rsidR="00D1643B" w:rsidRPr="00141C2E" w:rsidRDefault="00255B32" w:rsidP="003722FE">
      <w:pPr>
        <w:spacing w:after="156" w:line="360" w:lineRule="auto"/>
        <w:ind w:left="-5"/>
        <w:rPr>
          <w:rFonts w:ascii="Verdana" w:hAnsi="Verdana"/>
          <w:sz w:val="20"/>
          <w:szCs w:val="20"/>
        </w:rPr>
      </w:pPr>
      <w:r w:rsidRPr="00141C2E">
        <w:rPr>
          <w:rFonts w:ascii="Verdana" w:hAnsi="Verdana"/>
          <w:sz w:val="20"/>
          <w:szCs w:val="20"/>
        </w:rPr>
        <w:lastRenderedPageBreak/>
        <w:t>Increased Ke may cause investors to demand a greater price in order to achieve the desired return, which would provide downward pressure on the share price. This is contingent upon various other elements, such as growth projections and risk assessment.</w:t>
      </w:r>
      <w:r w:rsidR="000E1364" w:rsidRPr="00141C2E">
        <w:rPr>
          <w:rFonts w:ascii="Verdana" w:hAnsi="Verdana"/>
          <w:sz w:val="20"/>
          <w:szCs w:val="20"/>
        </w:rPr>
        <w:t xml:space="preserve"> Ke and </w:t>
      </w:r>
      <w:proofErr w:type="spellStart"/>
      <w:r w:rsidR="000E1364" w:rsidRPr="00141C2E">
        <w:rPr>
          <w:rFonts w:ascii="Verdana" w:hAnsi="Verdana"/>
          <w:sz w:val="20"/>
          <w:szCs w:val="20"/>
        </w:rPr>
        <w:t>Kd</w:t>
      </w:r>
      <w:proofErr w:type="spellEnd"/>
      <w:r w:rsidR="000E1364" w:rsidRPr="00141C2E">
        <w:rPr>
          <w:rFonts w:ascii="Verdana" w:hAnsi="Verdana"/>
          <w:sz w:val="20"/>
          <w:szCs w:val="20"/>
        </w:rPr>
        <w:t xml:space="preserve"> </w:t>
      </w:r>
      <w:r w:rsidR="00C3639F" w:rsidRPr="00141C2E">
        <w:rPr>
          <w:rFonts w:ascii="Verdana" w:hAnsi="Verdana"/>
          <w:sz w:val="20"/>
          <w:szCs w:val="20"/>
        </w:rPr>
        <w:t>influence</w:t>
      </w:r>
      <w:r w:rsidR="000E1364" w:rsidRPr="00141C2E">
        <w:rPr>
          <w:rFonts w:ascii="Verdana" w:hAnsi="Verdana"/>
          <w:sz w:val="20"/>
          <w:szCs w:val="20"/>
        </w:rPr>
        <w:t xml:space="preserve"> the company's capital allocation choices. While borrowing money could be less expensive (lower </w:t>
      </w:r>
      <w:proofErr w:type="spellStart"/>
      <w:r w:rsidR="000E1364" w:rsidRPr="00141C2E">
        <w:rPr>
          <w:rFonts w:ascii="Verdana" w:hAnsi="Verdana"/>
          <w:sz w:val="20"/>
          <w:szCs w:val="20"/>
        </w:rPr>
        <w:t>Kd</w:t>
      </w:r>
      <w:proofErr w:type="spellEnd"/>
      <w:r w:rsidR="000E1364" w:rsidRPr="00141C2E">
        <w:rPr>
          <w:rFonts w:ascii="Verdana" w:hAnsi="Verdana"/>
          <w:sz w:val="20"/>
          <w:szCs w:val="20"/>
        </w:rPr>
        <w:t>), taking on too much debt might raise financial risk and reduce shareholder value.</w:t>
      </w:r>
    </w:p>
    <w:p w14:paraId="19009584" w14:textId="2E50649E" w:rsidR="00D86F7E" w:rsidRPr="00141C2E" w:rsidRDefault="004B0BD7" w:rsidP="003722FE">
      <w:pPr>
        <w:spacing w:after="156" w:line="360" w:lineRule="auto"/>
        <w:ind w:left="-5"/>
        <w:rPr>
          <w:rFonts w:ascii="Verdana" w:hAnsi="Verdana"/>
          <w:b/>
          <w:bCs/>
          <w:sz w:val="20"/>
          <w:szCs w:val="20"/>
        </w:rPr>
      </w:pPr>
      <w:r w:rsidRPr="00141C2E">
        <w:rPr>
          <w:rFonts w:ascii="Verdana" w:hAnsi="Verdana"/>
          <w:b/>
          <w:bCs/>
          <w:sz w:val="20"/>
          <w:szCs w:val="20"/>
        </w:rPr>
        <w:t>WACC</w:t>
      </w:r>
    </w:p>
    <w:p w14:paraId="4147174C" w14:textId="22D56C6D" w:rsidR="00646A0A" w:rsidRPr="00141C2E" w:rsidRDefault="006B6BEC" w:rsidP="003722FE">
      <w:pPr>
        <w:spacing w:line="360" w:lineRule="auto"/>
        <w:rPr>
          <w:rFonts w:ascii="Verdana" w:hAnsi="Verdana" w:cs="Arial"/>
          <w:color w:val="1F1F1F"/>
          <w:sz w:val="20"/>
          <w:szCs w:val="20"/>
          <w:shd w:val="clear" w:color="auto" w:fill="FFFFFF"/>
        </w:rPr>
      </w:pPr>
      <w:r w:rsidRPr="00141C2E">
        <w:rPr>
          <w:rFonts w:ascii="Verdana" w:hAnsi="Verdana"/>
          <w:sz w:val="20"/>
          <w:szCs w:val="20"/>
        </w:rPr>
        <w:t>The weighted average cost of capital</w:t>
      </w:r>
      <w:r w:rsidR="00D37463" w:rsidRPr="00141C2E">
        <w:rPr>
          <w:rFonts w:ascii="Verdana" w:hAnsi="Verdana"/>
          <w:sz w:val="20"/>
          <w:szCs w:val="20"/>
        </w:rPr>
        <w:t xml:space="preserve"> is brought by i</w:t>
      </w:r>
      <w:r w:rsidR="00B5754F" w:rsidRPr="00141C2E">
        <w:rPr>
          <w:rFonts w:ascii="Verdana" w:hAnsi="Verdana" w:cs="Arial"/>
          <w:color w:val="1F1F1F"/>
          <w:sz w:val="20"/>
          <w:szCs w:val="20"/>
          <w:shd w:val="clear" w:color="auto" w:fill="FFFFFF"/>
        </w:rPr>
        <w:t xml:space="preserve">nvestors to </w:t>
      </w:r>
      <w:proofErr w:type="spellStart"/>
      <w:r w:rsidR="00B5754F" w:rsidRPr="00141C2E">
        <w:rPr>
          <w:rFonts w:ascii="Verdana" w:hAnsi="Verdana" w:cs="Arial"/>
          <w:color w:val="1F1F1F"/>
          <w:sz w:val="20"/>
          <w:szCs w:val="20"/>
          <w:shd w:val="clear" w:color="auto" w:fill="FFFFFF"/>
        </w:rPr>
        <w:t>analyze</w:t>
      </w:r>
      <w:proofErr w:type="spellEnd"/>
      <w:r w:rsidR="00B5754F" w:rsidRPr="00141C2E">
        <w:rPr>
          <w:rFonts w:ascii="Verdana" w:hAnsi="Verdana" w:cs="Arial"/>
          <w:color w:val="1F1F1F"/>
          <w:sz w:val="20"/>
          <w:szCs w:val="20"/>
          <w:shd w:val="clear" w:color="auto" w:fill="FFFFFF"/>
        </w:rPr>
        <w:t xml:space="preserve"> profitability, value creation potential, and risk profiles of companies and investments.</w:t>
      </w:r>
      <w:r w:rsidR="00D37463" w:rsidRPr="00141C2E">
        <w:rPr>
          <w:rFonts w:ascii="Verdana" w:hAnsi="Verdana" w:cs="Arial"/>
          <w:color w:val="1F1F1F"/>
          <w:sz w:val="20"/>
          <w:szCs w:val="20"/>
          <w:shd w:val="clear" w:color="auto" w:fill="FFFFFF"/>
        </w:rPr>
        <w:t xml:space="preserve"> Cost of capital for </w:t>
      </w:r>
      <w:proofErr w:type="spellStart"/>
      <w:r w:rsidR="00D37463" w:rsidRPr="00141C2E">
        <w:rPr>
          <w:rFonts w:ascii="Verdana" w:hAnsi="Verdana" w:cs="Arial"/>
          <w:color w:val="1F1F1F"/>
          <w:sz w:val="20"/>
          <w:szCs w:val="20"/>
          <w:shd w:val="clear" w:color="auto" w:fill="FFFFFF"/>
        </w:rPr>
        <w:t>ncc</w:t>
      </w:r>
      <w:proofErr w:type="spellEnd"/>
      <w:r w:rsidR="00D37463" w:rsidRPr="00141C2E">
        <w:rPr>
          <w:rFonts w:ascii="Verdana" w:hAnsi="Verdana" w:cs="Arial"/>
          <w:color w:val="1F1F1F"/>
          <w:sz w:val="20"/>
          <w:szCs w:val="20"/>
          <w:shd w:val="clear" w:color="auto" w:fill="FFFFFF"/>
        </w:rPr>
        <w:t xml:space="preserve"> group is 9.10 </w:t>
      </w:r>
      <w:r w:rsidR="00C3639F" w:rsidRPr="00141C2E">
        <w:rPr>
          <w:rFonts w:ascii="Verdana" w:hAnsi="Verdana" w:cs="Arial"/>
          <w:color w:val="1F1F1F"/>
          <w:sz w:val="20"/>
          <w:szCs w:val="20"/>
          <w:shd w:val="clear" w:color="auto" w:fill="FFFFFF"/>
        </w:rPr>
        <w:t>%.</w:t>
      </w:r>
      <w:r w:rsidR="00D37463" w:rsidRPr="00141C2E">
        <w:rPr>
          <w:rFonts w:ascii="Verdana" w:hAnsi="Verdana" w:cs="Arial"/>
          <w:color w:val="1F1F1F"/>
          <w:sz w:val="20"/>
          <w:szCs w:val="20"/>
          <w:shd w:val="clear" w:color="auto" w:fill="FFFFFF"/>
        </w:rPr>
        <w:t xml:space="preserve"> </w:t>
      </w:r>
      <w:r w:rsidR="00E154F8" w:rsidRPr="00141C2E">
        <w:rPr>
          <w:rFonts w:ascii="Verdana" w:hAnsi="Verdana" w:cs="Arial"/>
          <w:color w:val="1F1F1F"/>
          <w:sz w:val="20"/>
          <w:szCs w:val="20"/>
          <w:shd w:val="clear" w:color="auto" w:fill="FFFFFF"/>
        </w:rPr>
        <w:t xml:space="preserve">the </w:t>
      </w:r>
      <w:r w:rsidR="00C3639F" w:rsidRPr="00141C2E">
        <w:rPr>
          <w:rFonts w:ascii="Verdana" w:hAnsi="Verdana" w:cs="Arial"/>
          <w:color w:val="1F1F1F"/>
          <w:sz w:val="20"/>
          <w:szCs w:val="20"/>
          <w:shd w:val="clear" w:color="auto" w:fill="FFFFFF"/>
        </w:rPr>
        <w:t>calculation</w:t>
      </w:r>
      <w:r w:rsidR="00E154F8" w:rsidRPr="00141C2E">
        <w:rPr>
          <w:rFonts w:ascii="Verdana" w:hAnsi="Verdana" w:cs="Arial"/>
          <w:color w:val="1F1F1F"/>
          <w:sz w:val="20"/>
          <w:szCs w:val="20"/>
          <w:shd w:val="clear" w:color="auto" w:fill="FFFFFF"/>
        </w:rPr>
        <w:t xml:space="preserve"> of WACC and it</w:t>
      </w:r>
      <w:r w:rsidR="00646A0A" w:rsidRPr="00141C2E">
        <w:rPr>
          <w:rFonts w:ascii="Verdana" w:hAnsi="Verdana" w:cs="Arial"/>
          <w:color w:val="1F1F1F"/>
          <w:sz w:val="20"/>
          <w:szCs w:val="20"/>
          <w:shd w:val="clear" w:color="auto" w:fill="FFFFFF"/>
        </w:rPr>
        <w:t xml:space="preserve">s variable is shown this below </w:t>
      </w:r>
      <w:r w:rsidR="00C3639F" w:rsidRPr="00141C2E">
        <w:rPr>
          <w:rFonts w:ascii="Verdana" w:hAnsi="Verdana" w:cs="Arial"/>
          <w:color w:val="1F1F1F"/>
          <w:sz w:val="20"/>
          <w:szCs w:val="20"/>
          <w:shd w:val="clear" w:color="auto" w:fill="FFFFFF"/>
        </w:rPr>
        <w:t>image.</w:t>
      </w:r>
      <w:r w:rsidR="00646A0A" w:rsidRPr="00141C2E">
        <w:rPr>
          <w:rFonts w:ascii="Verdana" w:hAnsi="Verdana" w:cs="Arial"/>
          <w:color w:val="1F1F1F"/>
          <w:sz w:val="20"/>
          <w:szCs w:val="20"/>
          <w:shd w:val="clear" w:color="auto" w:fill="FFFFFF"/>
        </w:rPr>
        <w:t xml:space="preserve"> </w:t>
      </w:r>
    </w:p>
    <w:p w14:paraId="741AE55C" w14:textId="26A37279" w:rsidR="005465F5" w:rsidRPr="00141C2E" w:rsidRDefault="00264C58" w:rsidP="003722FE">
      <w:pPr>
        <w:spacing w:line="360" w:lineRule="auto"/>
        <w:rPr>
          <w:rFonts w:ascii="Verdana" w:hAnsi="Verdana" w:cs="Arial"/>
          <w:color w:val="1F1F1F"/>
          <w:sz w:val="20"/>
          <w:szCs w:val="20"/>
          <w:shd w:val="clear" w:color="auto" w:fill="FFFFFF"/>
        </w:rPr>
      </w:pPr>
      <w:r>
        <w:rPr>
          <w:rFonts w:ascii="Verdana" w:hAnsi="Verdana" w:cs="Arial"/>
          <w:noProof/>
          <w:color w:val="1F1F1F"/>
          <w:sz w:val="20"/>
          <w:szCs w:val="20"/>
          <w:shd w:val="clear" w:color="auto" w:fill="FFFFFF"/>
        </w:rPr>
        <w:drawing>
          <wp:inline distT="0" distB="0" distL="0" distR="0" wp14:anchorId="367D9CC0" wp14:editId="4AC15D4C">
            <wp:extent cx="5451676" cy="1567372"/>
            <wp:effectExtent l="0" t="0" r="0" b="0"/>
            <wp:docPr id="5" name="Picture 5"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aper with writing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63782" cy="1570852"/>
                    </a:xfrm>
                    <a:prstGeom prst="rect">
                      <a:avLst/>
                    </a:prstGeom>
                  </pic:spPr>
                </pic:pic>
              </a:graphicData>
            </a:graphic>
          </wp:inline>
        </w:drawing>
      </w:r>
    </w:p>
    <w:p w14:paraId="497DA4FB" w14:textId="5102BAE5" w:rsidR="005465F5" w:rsidRPr="00141C2E" w:rsidRDefault="00182D27" w:rsidP="003722FE">
      <w:pPr>
        <w:spacing w:line="360" w:lineRule="auto"/>
        <w:rPr>
          <w:rFonts w:ascii="Verdana" w:hAnsi="Verdana" w:cs="Arial"/>
          <w:color w:val="1F1F1F"/>
          <w:sz w:val="20"/>
          <w:szCs w:val="20"/>
          <w:shd w:val="clear" w:color="auto" w:fill="FFFFFF"/>
        </w:rPr>
      </w:pPr>
      <w:r w:rsidRPr="00141C2E">
        <w:rPr>
          <w:rFonts w:ascii="Verdana" w:hAnsi="Verdana" w:cs="Arial"/>
          <w:color w:val="1F1F1F"/>
          <w:sz w:val="20"/>
          <w:szCs w:val="20"/>
          <w:shd w:val="clear" w:color="auto" w:fill="FFFFFF"/>
        </w:rPr>
        <w:t>The comparatively high Ke of 10.8</w:t>
      </w:r>
      <w:r w:rsidR="00B74916">
        <w:rPr>
          <w:rFonts w:ascii="Verdana" w:hAnsi="Verdana" w:cs="Arial"/>
          <w:color w:val="1F1F1F"/>
          <w:sz w:val="20"/>
          <w:szCs w:val="20"/>
          <w:shd w:val="clear" w:color="auto" w:fill="FFFFFF"/>
        </w:rPr>
        <w:t>2</w:t>
      </w:r>
      <w:r w:rsidRPr="00141C2E">
        <w:rPr>
          <w:rFonts w:ascii="Verdana" w:hAnsi="Verdana" w:cs="Arial"/>
          <w:color w:val="1F1F1F"/>
          <w:sz w:val="20"/>
          <w:szCs w:val="20"/>
          <w:shd w:val="clear" w:color="auto" w:fill="FFFFFF"/>
        </w:rPr>
        <w:t xml:space="preserve">% in relation to the average Ke for </w:t>
      </w:r>
      <w:r w:rsidR="00C3639F" w:rsidRPr="00141C2E">
        <w:rPr>
          <w:rFonts w:ascii="Verdana" w:hAnsi="Verdana" w:cs="Arial"/>
          <w:color w:val="1F1F1F"/>
          <w:sz w:val="20"/>
          <w:szCs w:val="20"/>
          <w:shd w:val="clear" w:color="auto" w:fill="FFFFFF"/>
        </w:rPr>
        <w:t>competitor’s</w:t>
      </w:r>
      <w:r w:rsidRPr="00141C2E">
        <w:rPr>
          <w:rFonts w:ascii="Verdana" w:hAnsi="Verdana" w:cs="Arial"/>
          <w:color w:val="1F1F1F"/>
          <w:sz w:val="20"/>
          <w:szCs w:val="20"/>
          <w:shd w:val="clear" w:color="auto" w:fill="FFFFFF"/>
        </w:rPr>
        <w:t xml:space="preserve"> businesses may be attributed to investors' perception of increased </w:t>
      </w:r>
      <w:r w:rsidR="00C3639F" w:rsidRPr="00141C2E">
        <w:rPr>
          <w:rFonts w:ascii="Verdana" w:hAnsi="Verdana" w:cs="Arial"/>
          <w:color w:val="1F1F1F"/>
          <w:sz w:val="20"/>
          <w:szCs w:val="20"/>
          <w:shd w:val="clear" w:color="auto" w:fill="FFFFFF"/>
        </w:rPr>
        <w:t>risk. Given</w:t>
      </w:r>
      <w:r w:rsidRPr="00141C2E">
        <w:rPr>
          <w:rFonts w:ascii="Verdana" w:hAnsi="Verdana" w:cs="Arial"/>
          <w:color w:val="1F1F1F"/>
          <w:sz w:val="20"/>
          <w:szCs w:val="20"/>
          <w:shd w:val="clear" w:color="auto" w:fill="FFFFFF"/>
        </w:rPr>
        <w:t xml:space="preserve"> the company's modest debt-to-equity ratio (24%/76%), both debt and equity are important components of its capital structure.</w:t>
      </w:r>
      <w:r w:rsidR="00C3639F">
        <w:rPr>
          <w:rFonts w:ascii="Verdana" w:hAnsi="Verdana" w:cs="Arial"/>
          <w:color w:val="1F1F1F"/>
          <w:sz w:val="20"/>
          <w:szCs w:val="20"/>
          <w:shd w:val="clear" w:color="auto" w:fill="FFFFFF"/>
        </w:rPr>
        <w:t xml:space="preserve"> </w:t>
      </w:r>
      <w:r w:rsidRPr="00141C2E">
        <w:rPr>
          <w:rFonts w:ascii="Verdana" w:hAnsi="Verdana" w:cs="Arial"/>
          <w:color w:val="1F1F1F"/>
          <w:sz w:val="20"/>
          <w:szCs w:val="20"/>
          <w:shd w:val="clear" w:color="auto" w:fill="FFFFFF"/>
        </w:rPr>
        <w:t xml:space="preserve">The high Ke is somewhat countered by the 25% tax rate, which lowers the effective cost of debt. A higher WACC suggests that future investment minimum bearable returns will also be higher. This suggests that </w:t>
      </w:r>
      <w:r w:rsidR="00F7680F" w:rsidRPr="00141C2E">
        <w:rPr>
          <w:rFonts w:ascii="Verdana" w:hAnsi="Verdana" w:cs="Arial"/>
          <w:color w:val="1F1F1F"/>
          <w:sz w:val="20"/>
          <w:szCs w:val="20"/>
          <w:shd w:val="clear" w:color="auto" w:fill="FFFFFF"/>
        </w:rPr>
        <w:t>for</w:t>
      </w:r>
      <w:r w:rsidRPr="00141C2E">
        <w:rPr>
          <w:rFonts w:ascii="Verdana" w:hAnsi="Verdana" w:cs="Arial"/>
          <w:color w:val="1F1F1F"/>
          <w:sz w:val="20"/>
          <w:szCs w:val="20"/>
          <w:shd w:val="clear" w:color="auto" w:fill="FFFFFF"/>
        </w:rPr>
        <w:t xml:space="preserve"> the company's cost of capital to be justified, returns must be above 9.10</w:t>
      </w:r>
      <w:r w:rsidR="00F7680F" w:rsidRPr="00141C2E">
        <w:rPr>
          <w:rFonts w:ascii="Verdana" w:hAnsi="Verdana" w:cs="Arial"/>
          <w:color w:val="1F1F1F"/>
          <w:sz w:val="20"/>
          <w:szCs w:val="20"/>
          <w:shd w:val="clear" w:color="auto" w:fill="FFFFFF"/>
        </w:rPr>
        <w:t>%. Future</w:t>
      </w:r>
      <w:r w:rsidRPr="00141C2E">
        <w:rPr>
          <w:rFonts w:ascii="Verdana" w:hAnsi="Verdana" w:cs="Arial"/>
          <w:color w:val="1F1F1F"/>
          <w:sz w:val="20"/>
          <w:szCs w:val="20"/>
          <w:shd w:val="clear" w:color="auto" w:fill="FFFFFF"/>
        </w:rPr>
        <w:t xml:space="preserve"> cash flows are discounted using WACC in order to value a company. Stock prices may be impacted by a lower present value estimate caused by a greater WACC.</w:t>
      </w:r>
    </w:p>
    <w:p w14:paraId="5CE0C3A3" w14:textId="77777777" w:rsidR="00B566FC" w:rsidRPr="00141C2E" w:rsidRDefault="00B566FC" w:rsidP="00182D27">
      <w:pPr>
        <w:rPr>
          <w:rFonts w:ascii="Verdana" w:hAnsi="Verdana" w:cs="Arial"/>
          <w:color w:val="1F1F1F"/>
          <w:sz w:val="20"/>
          <w:szCs w:val="20"/>
          <w:shd w:val="clear" w:color="auto" w:fill="FFFFFF"/>
        </w:rPr>
      </w:pPr>
    </w:p>
    <w:p w14:paraId="7014BB31" w14:textId="7FA9EA9C" w:rsidR="00473124" w:rsidRPr="00473124" w:rsidRDefault="00473124" w:rsidP="00473124">
      <w:pPr>
        <w:rPr>
          <w:rFonts w:ascii="Verdana" w:hAnsi="Verdana"/>
          <w:b/>
          <w:sz w:val="20"/>
          <w:szCs w:val="20"/>
          <w:lang w:val="en-AU"/>
        </w:rPr>
      </w:pPr>
      <w:bookmarkStart w:id="0" w:name="_Toc102976526"/>
      <w:r w:rsidRPr="00473124">
        <w:rPr>
          <w:rFonts w:ascii="Verdana" w:hAnsi="Verdana"/>
          <w:b/>
          <w:sz w:val="20"/>
          <w:szCs w:val="20"/>
          <w:lang w:val="en-AU"/>
        </w:rPr>
        <w:t>Task 4: SVA model</w:t>
      </w:r>
      <w:bookmarkEnd w:id="0"/>
    </w:p>
    <w:p w14:paraId="665E3219" w14:textId="77777777" w:rsidR="00473124" w:rsidRPr="00473124" w:rsidRDefault="00473124" w:rsidP="00473124">
      <w:pPr>
        <w:rPr>
          <w:rFonts w:ascii="Verdana" w:hAnsi="Verdana"/>
          <w:b/>
          <w:sz w:val="20"/>
          <w:szCs w:val="20"/>
          <w:lang w:val="en-AU"/>
        </w:rPr>
      </w:pPr>
      <w:bookmarkStart w:id="1" w:name="_Toc102976527"/>
      <w:r w:rsidRPr="00473124">
        <w:rPr>
          <w:rFonts w:ascii="Verdana" w:hAnsi="Verdana"/>
          <w:b/>
          <w:sz w:val="20"/>
          <w:szCs w:val="20"/>
          <w:lang w:val="en-AU"/>
        </w:rPr>
        <w:t>a. Part A</w:t>
      </w:r>
      <w:bookmarkEnd w:id="1"/>
    </w:p>
    <w:p w14:paraId="3B0D5CA9" w14:textId="685A312E" w:rsidR="00811A0C" w:rsidRPr="00811A0C" w:rsidRDefault="00814795" w:rsidP="003722FE">
      <w:pPr>
        <w:spacing w:before="240" w:after="240" w:line="360" w:lineRule="auto"/>
        <w:jc w:val="both"/>
        <w:rPr>
          <w:rFonts w:ascii="Verdana" w:eastAsia="Times New Roman" w:hAnsi="Verdana" w:cs="Times New Roman"/>
          <w:sz w:val="20"/>
          <w:szCs w:val="20"/>
          <w:lang w:val="en-AU"/>
        </w:rPr>
      </w:pPr>
      <w:r w:rsidRPr="00141C2E">
        <w:rPr>
          <w:rFonts w:ascii="Verdana" w:eastAsia="Times New Roman" w:hAnsi="Verdana" w:cs="Times New Roman"/>
          <w:sz w:val="20"/>
          <w:szCs w:val="20"/>
          <w:lang w:val="en-AU"/>
        </w:rPr>
        <w:t xml:space="preserve">The SVA is 63 million when seven factors are </w:t>
      </w:r>
      <w:r w:rsidR="00F7680F" w:rsidRPr="00141C2E">
        <w:rPr>
          <w:rFonts w:ascii="Verdana" w:eastAsia="Times New Roman" w:hAnsi="Verdana" w:cs="Times New Roman"/>
          <w:sz w:val="20"/>
          <w:szCs w:val="20"/>
          <w:lang w:val="en-AU"/>
        </w:rPr>
        <w:t>considered</w:t>
      </w:r>
      <w:r w:rsidRPr="00141C2E">
        <w:rPr>
          <w:rFonts w:ascii="Verdana" w:eastAsia="Times New Roman" w:hAnsi="Verdana" w:cs="Times New Roman"/>
          <w:sz w:val="20"/>
          <w:szCs w:val="20"/>
          <w:lang w:val="en-AU"/>
        </w:rPr>
        <w:t>, including sales growth, operating profit margin, tax rate, increase capital investment (ICI), increase working capital investment (IWCI), require rate of return (WACC), and planning horizon.</w:t>
      </w:r>
    </w:p>
    <w:p w14:paraId="0B3EC32F" w14:textId="0EADB2A9" w:rsidR="00811A0C" w:rsidRDefault="00811A0C" w:rsidP="00811A0C">
      <w:pPr>
        <w:rPr>
          <w:rFonts w:ascii="Verdana" w:eastAsia="Times New Roman" w:hAnsi="Verdana" w:cs="Times New Roman"/>
          <w:b/>
          <w:bCs/>
          <w:sz w:val="20"/>
          <w:szCs w:val="20"/>
          <w:lang w:val="en-AU"/>
        </w:rPr>
      </w:pPr>
      <w:r>
        <w:rPr>
          <w:rFonts w:ascii="Verdana" w:eastAsia="Times New Roman" w:hAnsi="Verdana" w:cs="Times New Roman"/>
          <w:b/>
          <w:bCs/>
          <w:noProof/>
          <w:sz w:val="20"/>
          <w:szCs w:val="20"/>
          <w:lang w:val="en-AU"/>
        </w:rPr>
        <w:lastRenderedPageBreak/>
        <w:drawing>
          <wp:inline distT="0" distB="0" distL="0" distR="0" wp14:anchorId="71BE63CA" wp14:editId="3C3623EE">
            <wp:extent cx="4307950" cy="2749623"/>
            <wp:effectExtent l="0" t="0" r="0" b="0"/>
            <wp:docPr id="2"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4359" cy="2760096"/>
                    </a:xfrm>
                    <a:prstGeom prst="rect">
                      <a:avLst/>
                    </a:prstGeom>
                  </pic:spPr>
                </pic:pic>
              </a:graphicData>
            </a:graphic>
          </wp:inline>
        </w:drawing>
      </w:r>
    </w:p>
    <w:p w14:paraId="48AF96F0" w14:textId="77777777" w:rsidR="00811A0C" w:rsidRDefault="00811A0C" w:rsidP="006E3298">
      <w:pPr>
        <w:rPr>
          <w:rFonts w:ascii="Verdana" w:eastAsia="Times New Roman" w:hAnsi="Verdana" w:cs="Times New Roman"/>
          <w:b/>
          <w:bCs/>
          <w:sz w:val="20"/>
          <w:szCs w:val="20"/>
          <w:lang w:val="en-AU"/>
        </w:rPr>
      </w:pPr>
    </w:p>
    <w:p w14:paraId="7DC93E00" w14:textId="54E0A1E4" w:rsidR="00F7680F" w:rsidRDefault="009E3B6E" w:rsidP="003722FE">
      <w:pPr>
        <w:spacing w:line="360" w:lineRule="auto"/>
        <w:rPr>
          <w:rFonts w:ascii="Verdana" w:eastAsia="Times New Roman" w:hAnsi="Verdana" w:cs="Times New Roman"/>
          <w:sz w:val="20"/>
          <w:szCs w:val="20"/>
          <w:lang w:val="en-AU"/>
        </w:rPr>
      </w:pPr>
      <w:r w:rsidRPr="00141C2E">
        <w:rPr>
          <w:rFonts w:ascii="Verdana" w:eastAsia="Times New Roman" w:hAnsi="Verdana" w:cs="Times New Roman"/>
          <w:b/>
          <w:bCs/>
          <w:sz w:val="20"/>
          <w:szCs w:val="20"/>
          <w:lang w:val="en-AU"/>
        </w:rPr>
        <w:t>Sales Growth</w:t>
      </w:r>
    </w:p>
    <w:p w14:paraId="63ECFAB2" w14:textId="68A4D360" w:rsidR="006E3298" w:rsidRPr="00141C2E" w:rsidRDefault="003B08A1" w:rsidP="003722FE">
      <w:pPr>
        <w:spacing w:line="360" w:lineRule="auto"/>
        <w:rPr>
          <w:rFonts w:ascii="Verdana" w:eastAsia="Times New Roman" w:hAnsi="Verdana" w:cs="Times New Roman"/>
          <w:sz w:val="20"/>
          <w:szCs w:val="20"/>
          <w:lang w:val="en-AU"/>
        </w:rPr>
      </w:pPr>
      <w:r w:rsidRPr="00141C2E">
        <w:rPr>
          <w:rFonts w:ascii="Verdana" w:eastAsia="Times New Roman" w:hAnsi="Verdana" w:cs="Times New Roman"/>
          <w:sz w:val="20"/>
          <w:szCs w:val="20"/>
          <w:lang w:val="en-AU"/>
        </w:rPr>
        <w:t xml:space="preserve">The geometric mean method was applied to determine the growth rate between 2019 and 2023. </w:t>
      </w:r>
      <w:r w:rsidR="00E7502B" w:rsidRPr="00141C2E">
        <w:rPr>
          <w:rFonts w:ascii="Verdana" w:eastAsia="Times New Roman" w:hAnsi="Verdana" w:cs="Times New Roman"/>
          <w:sz w:val="20"/>
          <w:szCs w:val="20"/>
          <w:lang w:val="en-AU"/>
        </w:rPr>
        <w:t>Nonetheless, the company's worth would vary in terms of its profitability and growth if one were to apply the average arithmetic growth rate of 7.65%</w:t>
      </w:r>
      <w:r w:rsidR="002E10A2" w:rsidRPr="00141C2E">
        <w:rPr>
          <w:rFonts w:ascii="Verdana" w:hAnsi="Verdana"/>
          <w:sz w:val="20"/>
          <w:szCs w:val="20"/>
        </w:rPr>
        <w:t xml:space="preserve"> </w:t>
      </w:r>
      <w:r w:rsidR="002E10A2" w:rsidRPr="00141C2E">
        <w:rPr>
          <w:rFonts w:ascii="Verdana" w:eastAsia="Times New Roman" w:hAnsi="Verdana" w:cs="Times New Roman"/>
          <w:sz w:val="20"/>
          <w:szCs w:val="20"/>
          <w:lang w:val="en-AU"/>
        </w:rPr>
        <w:t>In contrast to arithmetic growth, geometric growth might project a more ambitious growth trajectory, attracting investors looking for high-potential businesses in attractive industries.</w:t>
      </w:r>
      <w:r w:rsidR="003A72A6" w:rsidRPr="00141C2E">
        <w:rPr>
          <w:rFonts w:ascii="Verdana" w:eastAsia="Times New Roman" w:hAnsi="Verdana" w:cs="Times New Roman"/>
          <w:sz w:val="20"/>
          <w:szCs w:val="20"/>
          <w:lang w:val="en-AU"/>
        </w:rPr>
        <w:t xml:space="preserve"> </w:t>
      </w:r>
      <w:r w:rsidR="0016009A" w:rsidRPr="00141C2E">
        <w:rPr>
          <w:rFonts w:ascii="Verdana" w:eastAsia="Times New Roman" w:hAnsi="Verdana" w:cs="Times New Roman"/>
          <w:sz w:val="20"/>
          <w:szCs w:val="20"/>
          <w:lang w:val="en-AU"/>
        </w:rPr>
        <w:t xml:space="preserve">This market expansion is rapid and fits with geometric </w:t>
      </w:r>
      <w:r w:rsidR="0067350D" w:rsidRPr="00141C2E">
        <w:rPr>
          <w:rFonts w:ascii="Verdana" w:eastAsia="Times New Roman" w:hAnsi="Verdana" w:cs="Times New Roman"/>
          <w:sz w:val="20"/>
          <w:szCs w:val="20"/>
          <w:lang w:val="en-AU"/>
        </w:rPr>
        <w:t xml:space="preserve">growth. </w:t>
      </w:r>
      <w:r w:rsidR="0016009A" w:rsidRPr="00141C2E">
        <w:rPr>
          <w:rFonts w:ascii="Verdana" w:eastAsia="Times New Roman" w:hAnsi="Verdana" w:cs="Times New Roman"/>
          <w:sz w:val="20"/>
          <w:szCs w:val="20"/>
          <w:lang w:val="en-AU"/>
        </w:rPr>
        <w:t xml:space="preserve">Geometric growth better captures quick growth spikes than arithmetic growth because it is </w:t>
      </w:r>
      <w:r w:rsidR="00F7680F" w:rsidRPr="00141C2E">
        <w:rPr>
          <w:rFonts w:ascii="Verdana" w:eastAsia="Times New Roman" w:hAnsi="Verdana" w:cs="Times New Roman"/>
          <w:sz w:val="20"/>
          <w:szCs w:val="20"/>
          <w:lang w:val="en-AU"/>
        </w:rPr>
        <w:t>fuelled</w:t>
      </w:r>
      <w:r w:rsidR="0016009A" w:rsidRPr="00141C2E">
        <w:rPr>
          <w:rFonts w:ascii="Verdana" w:eastAsia="Times New Roman" w:hAnsi="Verdana" w:cs="Times New Roman"/>
          <w:sz w:val="20"/>
          <w:szCs w:val="20"/>
          <w:lang w:val="en-AU"/>
        </w:rPr>
        <w:t xml:space="preserve"> by ongoing innovation and creative remedies.</w:t>
      </w:r>
      <w:r w:rsidR="00804BE4" w:rsidRPr="00141C2E">
        <w:rPr>
          <w:rFonts w:ascii="Verdana" w:hAnsi="Verdana"/>
          <w:sz w:val="20"/>
          <w:szCs w:val="20"/>
        </w:rPr>
        <w:t xml:space="preserve"> </w:t>
      </w:r>
      <w:r w:rsidR="00804BE4" w:rsidRPr="00141C2E">
        <w:rPr>
          <w:rFonts w:ascii="Verdana" w:eastAsia="Times New Roman" w:hAnsi="Verdana" w:cs="Times New Roman"/>
          <w:sz w:val="20"/>
          <w:szCs w:val="20"/>
          <w:lang w:val="en-AU"/>
        </w:rPr>
        <w:t>Given that NCC Group has recently had double-digit revenue growth, geometric growth appears to be a more accurate representation of their direction.</w:t>
      </w:r>
    </w:p>
    <w:p w14:paraId="0A62AE39" w14:textId="4837BFC8" w:rsidR="006841B4" w:rsidRPr="006841B4" w:rsidRDefault="00436659" w:rsidP="003722FE">
      <w:pPr>
        <w:spacing w:line="360" w:lineRule="auto"/>
        <w:rPr>
          <w:rFonts w:ascii="Verdana" w:hAnsi="Verdana"/>
          <w:sz w:val="20"/>
          <w:szCs w:val="20"/>
        </w:rPr>
      </w:pPr>
      <w:r w:rsidRPr="00141C2E">
        <w:rPr>
          <w:rFonts w:ascii="Verdana" w:hAnsi="Verdana"/>
          <w:b/>
          <w:bCs/>
          <w:sz w:val="20"/>
          <w:szCs w:val="20"/>
        </w:rPr>
        <w:t xml:space="preserve">Operating profit </w:t>
      </w:r>
      <w:r w:rsidR="001C1E7D" w:rsidRPr="00141C2E">
        <w:rPr>
          <w:rFonts w:ascii="Verdana" w:hAnsi="Verdana"/>
          <w:b/>
          <w:bCs/>
          <w:sz w:val="20"/>
          <w:szCs w:val="20"/>
        </w:rPr>
        <w:t>margin.</w:t>
      </w:r>
      <w:r w:rsidR="00745F6D" w:rsidRPr="00141C2E">
        <w:rPr>
          <w:rFonts w:ascii="Verdana" w:hAnsi="Verdana"/>
          <w:sz w:val="20"/>
          <w:szCs w:val="20"/>
        </w:rPr>
        <w:t xml:space="preserve"> </w:t>
      </w:r>
      <w:r w:rsidR="00B64273" w:rsidRPr="00141C2E">
        <w:rPr>
          <w:rFonts w:ascii="Verdana" w:hAnsi="Verdana"/>
          <w:sz w:val="20"/>
          <w:szCs w:val="20"/>
        </w:rPr>
        <w:t xml:space="preserve">                                                                                 </w:t>
      </w:r>
      <w:r w:rsidR="00745F6D" w:rsidRPr="00141C2E">
        <w:rPr>
          <w:rFonts w:ascii="Verdana" w:hAnsi="Verdana"/>
          <w:sz w:val="20"/>
          <w:szCs w:val="20"/>
        </w:rPr>
        <w:t>operating profit margin is 0.57</w:t>
      </w:r>
      <w:r w:rsidR="00B64273" w:rsidRPr="00141C2E">
        <w:rPr>
          <w:rFonts w:ascii="Verdana" w:hAnsi="Verdana"/>
          <w:sz w:val="20"/>
          <w:szCs w:val="20"/>
        </w:rPr>
        <w:t>%</w:t>
      </w:r>
      <w:r w:rsidR="00745F6D" w:rsidRPr="00141C2E">
        <w:rPr>
          <w:rFonts w:ascii="Verdana" w:hAnsi="Verdana"/>
          <w:sz w:val="20"/>
          <w:szCs w:val="20"/>
        </w:rPr>
        <w:t xml:space="preserve"> in 2023, 11.02</w:t>
      </w:r>
      <w:r w:rsidR="00B64273" w:rsidRPr="00141C2E">
        <w:rPr>
          <w:rFonts w:ascii="Verdana" w:hAnsi="Verdana"/>
          <w:sz w:val="20"/>
          <w:szCs w:val="20"/>
        </w:rPr>
        <w:t>%</w:t>
      </w:r>
      <w:r w:rsidR="00745F6D" w:rsidRPr="00141C2E">
        <w:rPr>
          <w:rFonts w:ascii="Verdana" w:hAnsi="Verdana"/>
          <w:sz w:val="20"/>
          <w:szCs w:val="20"/>
        </w:rPr>
        <w:t xml:space="preserve"> in 2022, 6.40</w:t>
      </w:r>
      <w:r w:rsidR="00B64273" w:rsidRPr="00141C2E">
        <w:rPr>
          <w:rFonts w:ascii="Verdana" w:hAnsi="Verdana"/>
          <w:sz w:val="20"/>
          <w:szCs w:val="20"/>
        </w:rPr>
        <w:t>%</w:t>
      </w:r>
      <w:r w:rsidR="00745F6D" w:rsidRPr="00141C2E">
        <w:rPr>
          <w:rFonts w:ascii="Verdana" w:hAnsi="Verdana"/>
          <w:sz w:val="20"/>
          <w:szCs w:val="20"/>
        </w:rPr>
        <w:t xml:space="preserve"> in 2021, 7.36</w:t>
      </w:r>
      <w:r w:rsidR="00B64273" w:rsidRPr="00141C2E">
        <w:rPr>
          <w:rFonts w:ascii="Verdana" w:hAnsi="Verdana"/>
          <w:sz w:val="20"/>
          <w:szCs w:val="20"/>
        </w:rPr>
        <w:t>%</w:t>
      </w:r>
      <w:r w:rsidR="00745F6D" w:rsidRPr="00141C2E">
        <w:rPr>
          <w:rFonts w:ascii="Verdana" w:hAnsi="Verdana"/>
          <w:sz w:val="20"/>
          <w:szCs w:val="20"/>
        </w:rPr>
        <w:t xml:space="preserve"> in </w:t>
      </w:r>
      <w:r w:rsidR="001C1E7D" w:rsidRPr="00141C2E">
        <w:rPr>
          <w:rFonts w:ascii="Verdana" w:hAnsi="Verdana"/>
          <w:sz w:val="20"/>
          <w:szCs w:val="20"/>
        </w:rPr>
        <w:t>2020,</w:t>
      </w:r>
      <w:r w:rsidR="00745F6D" w:rsidRPr="00141C2E">
        <w:rPr>
          <w:rFonts w:ascii="Verdana" w:hAnsi="Verdana"/>
          <w:sz w:val="20"/>
          <w:szCs w:val="20"/>
        </w:rPr>
        <w:t xml:space="preserve"> 7.78</w:t>
      </w:r>
      <w:r w:rsidR="00B64273" w:rsidRPr="00141C2E">
        <w:rPr>
          <w:rFonts w:ascii="Verdana" w:hAnsi="Verdana"/>
          <w:sz w:val="20"/>
          <w:szCs w:val="20"/>
        </w:rPr>
        <w:t>%</w:t>
      </w:r>
      <w:r w:rsidR="00745F6D" w:rsidRPr="00141C2E">
        <w:rPr>
          <w:rFonts w:ascii="Verdana" w:hAnsi="Verdana"/>
          <w:sz w:val="20"/>
          <w:szCs w:val="20"/>
        </w:rPr>
        <w:t xml:space="preserve"> in 2019.</w:t>
      </w:r>
      <w:r w:rsidR="004616ED" w:rsidRPr="00141C2E">
        <w:rPr>
          <w:rFonts w:ascii="Verdana" w:hAnsi="Verdana"/>
          <w:sz w:val="20"/>
          <w:szCs w:val="20"/>
        </w:rPr>
        <w:t>The average operational profit from 2023 to 2020 and 2022 to 2019 would be 6.34% and 8.14%, respectively. Due to a decline in sales and operating profit, the highest operating profit, which was 11.02 percent in 2022, dropped to 0.57% in 2023.As a result of this decline, the SVA value is 63 million in 2023</w:t>
      </w:r>
      <w:r w:rsidR="00A66FE2" w:rsidRPr="00141C2E">
        <w:rPr>
          <w:rFonts w:ascii="Verdana" w:hAnsi="Verdana"/>
          <w:sz w:val="20"/>
          <w:szCs w:val="20"/>
        </w:rPr>
        <w:t>.</w:t>
      </w:r>
      <w:r w:rsidR="00F42C81" w:rsidRPr="00141C2E">
        <w:rPr>
          <w:rFonts w:ascii="Verdana" w:hAnsi="Verdana"/>
          <w:sz w:val="20"/>
          <w:szCs w:val="20"/>
        </w:rPr>
        <w:t xml:space="preserve"> The gross margin in FY22 was positively boosted by the acquisition of IPM. However, reduced cyber security business utilisation rates in FY23 resulted in a decline in gross </w:t>
      </w:r>
      <w:r w:rsidR="00F7680F" w:rsidRPr="00141C2E">
        <w:rPr>
          <w:rFonts w:ascii="Verdana" w:hAnsi="Verdana"/>
          <w:sz w:val="20"/>
          <w:szCs w:val="20"/>
        </w:rPr>
        <w:t>margin. (</w:t>
      </w:r>
      <w:r w:rsidR="00A66FE2" w:rsidRPr="00141C2E">
        <w:rPr>
          <w:rFonts w:ascii="Verdana" w:hAnsi="Verdana"/>
          <w:sz w:val="20"/>
          <w:szCs w:val="20"/>
        </w:rPr>
        <w:t xml:space="preserve">Annual </w:t>
      </w:r>
      <w:proofErr w:type="gramStart"/>
      <w:r w:rsidR="00A66FE2" w:rsidRPr="00141C2E">
        <w:rPr>
          <w:rFonts w:ascii="Verdana" w:hAnsi="Verdana"/>
          <w:sz w:val="20"/>
          <w:szCs w:val="20"/>
        </w:rPr>
        <w:t>report ,</w:t>
      </w:r>
      <w:proofErr w:type="gramEnd"/>
      <w:r w:rsidR="00A66FE2" w:rsidRPr="00141C2E">
        <w:rPr>
          <w:rFonts w:ascii="Verdana" w:hAnsi="Verdana"/>
          <w:sz w:val="20"/>
          <w:szCs w:val="20"/>
        </w:rPr>
        <w:t xml:space="preserve"> 23)</w:t>
      </w:r>
      <w:r w:rsidR="00101FE7" w:rsidRPr="00141C2E">
        <w:rPr>
          <w:rFonts w:ascii="Verdana" w:hAnsi="Verdana"/>
          <w:sz w:val="20"/>
          <w:szCs w:val="20"/>
        </w:rPr>
        <w:t xml:space="preserve">. </w:t>
      </w:r>
      <w:r w:rsidR="00430BB8" w:rsidRPr="00141C2E">
        <w:rPr>
          <w:rFonts w:ascii="Verdana" w:hAnsi="Verdana"/>
          <w:sz w:val="20"/>
          <w:szCs w:val="20"/>
        </w:rPr>
        <w:t xml:space="preserve">The operational profit margin for 2019 was 0.42% greater than for 2020, according to a comparison. It has decreased by 6.40% in 2021.Because to the acquisition project, the operating margin grew to a maximum of 11.02% in 2022 compared to 2021. </w:t>
      </w:r>
    </w:p>
    <w:p w14:paraId="34C030A3" w14:textId="42D1EC4A" w:rsidR="00F7680F" w:rsidRDefault="00020E9A" w:rsidP="003722FE">
      <w:pPr>
        <w:spacing w:line="360" w:lineRule="auto"/>
        <w:rPr>
          <w:rFonts w:ascii="Verdana" w:hAnsi="Verdana"/>
          <w:sz w:val="20"/>
          <w:szCs w:val="20"/>
        </w:rPr>
      </w:pPr>
      <w:r w:rsidRPr="00141C2E">
        <w:rPr>
          <w:rFonts w:ascii="Verdana" w:hAnsi="Verdana"/>
          <w:b/>
          <w:bCs/>
          <w:sz w:val="20"/>
          <w:szCs w:val="20"/>
        </w:rPr>
        <w:lastRenderedPageBreak/>
        <w:t>Tax rate</w:t>
      </w:r>
      <w:r w:rsidRPr="00141C2E">
        <w:rPr>
          <w:rFonts w:ascii="Verdana" w:hAnsi="Verdana"/>
          <w:sz w:val="20"/>
          <w:szCs w:val="20"/>
        </w:rPr>
        <w:t xml:space="preserve"> </w:t>
      </w:r>
    </w:p>
    <w:p w14:paraId="557A62B0" w14:textId="77777777" w:rsidR="00125647" w:rsidRDefault="00020E9A" w:rsidP="003722FE">
      <w:pPr>
        <w:spacing w:line="360" w:lineRule="auto"/>
        <w:rPr>
          <w:rFonts w:ascii="Verdana" w:hAnsi="Verdana"/>
          <w:sz w:val="20"/>
          <w:szCs w:val="20"/>
        </w:rPr>
      </w:pPr>
      <w:r w:rsidRPr="00141C2E">
        <w:rPr>
          <w:rFonts w:ascii="Verdana" w:hAnsi="Verdana"/>
          <w:sz w:val="20"/>
          <w:szCs w:val="20"/>
        </w:rPr>
        <w:t xml:space="preserve"> </w:t>
      </w:r>
      <w:r w:rsidR="00CD2D6C" w:rsidRPr="00141C2E">
        <w:rPr>
          <w:rFonts w:ascii="Verdana" w:hAnsi="Verdana"/>
          <w:sz w:val="20"/>
          <w:szCs w:val="20"/>
        </w:rPr>
        <w:t xml:space="preserve">The Finance Bill 2021, which was introduced by the UK government, increased the main corporation tax rate in the country from 19% to 25%, effective April 1, 2023. Since the legislation was implemented on May 24, 2021, UK deferred tax balances as of May 31, 2022, and May 31, </w:t>
      </w:r>
      <w:r w:rsidR="0094618B" w:rsidRPr="00141C2E">
        <w:rPr>
          <w:rFonts w:ascii="Verdana" w:hAnsi="Verdana"/>
          <w:sz w:val="20"/>
          <w:szCs w:val="20"/>
        </w:rPr>
        <w:t>2023,</w:t>
      </w:r>
      <w:r w:rsidR="00CD2D6C" w:rsidRPr="00141C2E">
        <w:rPr>
          <w:rFonts w:ascii="Verdana" w:hAnsi="Verdana"/>
          <w:sz w:val="20"/>
          <w:szCs w:val="20"/>
        </w:rPr>
        <w:t xml:space="preserve"> </w:t>
      </w:r>
    </w:p>
    <w:p w14:paraId="41975416" w14:textId="1B819694" w:rsidR="00CD2D6C" w:rsidRPr="00141C2E" w:rsidRDefault="00CD2D6C" w:rsidP="003722FE">
      <w:pPr>
        <w:spacing w:line="360" w:lineRule="auto"/>
        <w:rPr>
          <w:rFonts w:ascii="Verdana" w:hAnsi="Verdana"/>
          <w:sz w:val="20"/>
          <w:szCs w:val="20"/>
        </w:rPr>
      </w:pPr>
      <w:r w:rsidRPr="00141C2E">
        <w:rPr>
          <w:rFonts w:ascii="Verdana" w:hAnsi="Verdana"/>
          <w:sz w:val="20"/>
          <w:szCs w:val="20"/>
        </w:rPr>
        <w:t>are typically calculated at a rate of 25</w:t>
      </w:r>
      <w:r w:rsidR="00F7680F" w:rsidRPr="00141C2E">
        <w:rPr>
          <w:rFonts w:ascii="Verdana" w:hAnsi="Verdana"/>
          <w:sz w:val="20"/>
          <w:szCs w:val="20"/>
        </w:rPr>
        <w:t>%. (</w:t>
      </w:r>
      <w:r w:rsidR="0094618B" w:rsidRPr="00141C2E">
        <w:rPr>
          <w:rFonts w:ascii="Verdana" w:hAnsi="Verdana"/>
          <w:sz w:val="20"/>
          <w:szCs w:val="20"/>
        </w:rPr>
        <w:t>Annual</w:t>
      </w:r>
      <w:r w:rsidRPr="00141C2E">
        <w:rPr>
          <w:rFonts w:ascii="Verdana" w:hAnsi="Verdana"/>
          <w:sz w:val="20"/>
          <w:szCs w:val="20"/>
        </w:rPr>
        <w:t xml:space="preserve"> report 23, Pg 186)</w:t>
      </w:r>
      <w:r w:rsidR="00584F7D" w:rsidRPr="00141C2E">
        <w:rPr>
          <w:rFonts w:ascii="Verdana" w:hAnsi="Verdana"/>
          <w:sz w:val="20"/>
          <w:szCs w:val="20"/>
        </w:rPr>
        <w:t xml:space="preserve"> The SVA has implemented a new tax rate of 25%, as the remaining figures related to the financial year 2023. Using the previous tax rate on inaccurate information would be worthless.  </w:t>
      </w:r>
    </w:p>
    <w:p w14:paraId="0FA35814" w14:textId="246F66BD" w:rsidR="00F7680F" w:rsidRDefault="00500D7B" w:rsidP="003722FE">
      <w:pPr>
        <w:spacing w:line="360" w:lineRule="auto"/>
        <w:rPr>
          <w:rFonts w:ascii="Verdana" w:hAnsi="Verdana"/>
          <w:sz w:val="20"/>
          <w:szCs w:val="20"/>
        </w:rPr>
      </w:pPr>
      <w:r w:rsidRPr="00141C2E">
        <w:rPr>
          <w:rFonts w:ascii="Verdana" w:hAnsi="Verdana"/>
          <w:b/>
          <w:bCs/>
          <w:sz w:val="20"/>
          <w:szCs w:val="20"/>
        </w:rPr>
        <w:t>ICI &amp; IWCI</w:t>
      </w:r>
    </w:p>
    <w:p w14:paraId="121A86EE" w14:textId="5EAF8C39" w:rsidR="00185859" w:rsidRPr="00141C2E" w:rsidRDefault="009413D9" w:rsidP="003722FE">
      <w:pPr>
        <w:spacing w:line="360" w:lineRule="auto"/>
        <w:rPr>
          <w:rFonts w:ascii="Verdana" w:hAnsi="Verdana"/>
          <w:sz w:val="20"/>
          <w:szCs w:val="20"/>
        </w:rPr>
      </w:pPr>
      <w:r w:rsidRPr="00141C2E">
        <w:rPr>
          <w:rFonts w:ascii="Verdana" w:hAnsi="Verdana"/>
          <w:sz w:val="20"/>
          <w:szCs w:val="20"/>
        </w:rPr>
        <w:t xml:space="preserve">These drivers are based on an average value, whereas the drivers mentioned before were taken as an average figure over </w:t>
      </w:r>
      <w:r w:rsidR="00F7680F" w:rsidRPr="00141C2E">
        <w:rPr>
          <w:rFonts w:ascii="Verdana" w:hAnsi="Verdana"/>
          <w:sz w:val="20"/>
          <w:szCs w:val="20"/>
        </w:rPr>
        <w:t>a period</w:t>
      </w:r>
      <w:r w:rsidRPr="00141C2E">
        <w:rPr>
          <w:rFonts w:ascii="Verdana" w:hAnsi="Verdana"/>
          <w:sz w:val="20"/>
          <w:szCs w:val="20"/>
        </w:rPr>
        <w:t xml:space="preserve">. For instance, if the average value of ICI for the years 2019–23 is 98.5%, the SVA value is 63 million; but, if ICI is only </w:t>
      </w:r>
      <w:r w:rsidR="00F7680F" w:rsidRPr="00141C2E">
        <w:rPr>
          <w:rFonts w:ascii="Verdana" w:hAnsi="Verdana"/>
          <w:sz w:val="20"/>
          <w:szCs w:val="20"/>
        </w:rPr>
        <w:t>considered</w:t>
      </w:r>
      <w:r w:rsidRPr="00141C2E">
        <w:rPr>
          <w:rFonts w:ascii="Verdana" w:hAnsi="Verdana"/>
          <w:sz w:val="20"/>
          <w:szCs w:val="20"/>
        </w:rPr>
        <w:t xml:space="preserve"> for the year 2023, its average value is -39.5%, the SVA value is 219 million. it is quite close to market capitalization. </w:t>
      </w:r>
      <w:r w:rsidR="003A3D66" w:rsidRPr="00141C2E">
        <w:rPr>
          <w:rFonts w:ascii="Verdana" w:hAnsi="Verdana"/>
          <w:sz w:val="20"/>
          <w:szCs w:val="20"/>
        </w:rPr>
        <w:t>In the same way, if we averaged the IWCI from 2019 to 2023, we would get 19.19%, and SVA of 63 million. However, if we averaged the IWCI for a single year (2023), we would get -79.31%, and SVA of 131 million, which is once again closer to the market value.</w:t>
      </w:r>
      <w:r w:rsidR="00FB518A" w:rsidRPr="00141C2E">
        <w:rPr>
          <w:rFonts w:ascii="Verdana" w:hAnsi="Verdana"/>
          <w:sz w:val="20"/>
          <w:szCs w:val="20"/>
        </w:rPr>
        <w:t xml:space="preserve"> The long-term impact on valuation may be favourable if the ICI increase is the result of strategies such as entering new markets with higher expenses but also greater growth potential. Analogously, if a decline in IWCI indicates less opportunities for expansion, it may not result in a higher valuation owing to increasing manufacturing in low-cost </w:t>
      </w:r>
      <w:r w:rsidR="00F7680F" w:rsidRPr="00141C2E">
        <w:rPr>
          <w:rFonts w:ascii="Verdana" w:hAnsi="Verdana"/>
          <w:sz w:val="20"/>
          <w:szCs w:val="20"/>
        </w:rPr>
        <w:t>locales. A</w:t>
      </w:r>
      <w:r w:rsidR="00FB518A" w:rsidRPr="00141C2E">
        <w:rPr>
          <w:rFonts w:ascii="Verdana" w:hAnsi="Verdana"/>
          <w:sz w:val="20"/>
          <w:szCs w:val="20"/>
        </w:rPr>
        <w:t xml:space="preserve"> company's valuation may decline if there is an unexpected increase in ICI. This is because it could raise questions about future profitability and cost management. A detailed review of the company's cost structure, revenue potential, and investor sentiment is necessary to determine the impact of an ICI decrease.</w:t>
      </w:r>
      <w:r w:rsidR="003A3D66" w:rsidRPr="00141C2E">
        <w:rPr>
          <w:rFonts w:ascii="Verdana" w:hAnsi="Verdana"/>
          <w:sz w:val="20"/>
          <w:szCs w:val="20"/>
        </w:rPr>
        <w:t xml:space="preserve"> </w:t>
      </w:r>
      <w:r w:rsidR="00500D7B" w:rsidRPr="00141C2E">
        <w:rPr>
          <w:rFonts w:ascii="Verdana" w:hAnsi="Verdana"/>
          <w:sz w:val="20"/>
          <w:szCs w:val="20"/>
        </w:rPr>
        <w:t xml:space="preserve"> </w:t>
      </w:r>
    </w:p>
    <w:p w14:paraId="600E94F5" w14:textId="097618FB" w:rsidR="00823ABA" w:rsidRPr="00FD69DD" w:rsidRDefault="00AB66B4" w:rsidP="003722FE">
      <w:pPr>
        <w:spacing w:before="240" w:after="240" w:line="360" w:lineRule="auto"/>
        <w:rPr>
          <w:rFonts w:ascii="Verdana" w:hAnsi="Verdana"/>
          <w:sz w:val="20"/>
          <w:szCs w:val="20"/>
        </w:rPr>
      </w:pPr>
      <w:r w:rsidRPr="00141C2E">
        <w:rPr>
          <w:rFonts w:ascii="Verdana" w:eastAsia="Times New Roman" w:hAnsi="Verdana" w:cs="Times New Roman"/>
          <w:b/>
          <w:bCs/>
          <w:sz w:val="20"/>
          <w:szCs w:val="20"/>
          <w:lang w:val="en-AU"/>
        </w:rPr>
        <w:t>WACC</w:t>
      </w:r>
      <w:r w:rsidRPr="00141C2E">
        <w:rPr>
          <w:rFonts w:ascii="Verdana" w:hAnsi="Verdana"/>
          <w:sz w:val="20"/>
          <w:szCs w:val="20"/>
        </w:rPr>
        <w:t xml:space="preserve"> </w:t>
      </w:r>
      <w:r w:rsidR="003565E8" w:rsidRPr="00FD69DD">
        <w:rPr>
          <w:rFonts w:ascii="Verdana" w:hAnsi="Verdana"/>
          <w:sz w:val="20"/>
          <w:szCs w:val="20"/>
        </w:rPr>
        <w:t xml:space="preserve">The 9.10 </w:t>
      </w:r>
      <w:r w:rsidR="00BF5061" w:rsidRPr="00FD69DD">
        <w:rPr>
          <w:rFonts w:ascii="Verdana" w:hAnsi="Verdana"/>
          <w:sz w:val="20"/>
          <w:szCs w:val="20"/>
        </w:rPr>
        <w:t>WACC</w:t>
      </w:r>
      <w:r w:rsidR="003565E8" w:rsidRPr="00FD69DD">
        <w:rPr>
          <w:rFonts w:ascii="Verdana" w:hAnsi="Verdana"/>
          <w:sz w:val="20"/>
          <w:szCs w:val="20"/>
        </w:rPr>
        <w:t xml:space="preserve"> figure is derived from task 3. </w:t>
      </w:r>
      <w:r w:rsidRPr="00FD69DD">
        <w:rPr>
          <w:rFonts w:ascii="Verdana" w:hAnsi="Verdana"/>
          <w:sz w:val="20"/>
          <w:szCs w:val="20"/>
        </w:rPr>
        <w:t>It is the quantity of profit tha</w:t>
      </w:r>
      <w:r w:rsidR="00FD69DD" w:rsidRPr="00FD69DD">
        <w:rPr>
          <w:rFonts w:ascii="Verdana" w:hAnsi="Verdana"/>
          <w:sz w:val="20"/>
          <w:szCs w:val="20"/>
        </w:rPr>
        <w:t xml:space="preserve">t </w:t>
      </w:r>
      <w:r w:rsidRPr="00FD69DD">
        <w:rPr>
          <w:rFonts w:ascii="Verdana" w:hAnsi="Verdana"/>
          <w:sz w:val="20"/>
          <w:szCs w:val="20"/>
        </w:rPr>
        <w:t xml:space="preserve">business must make in order to justify the use of its financial </w:t>
      </w:r>
      <w:r w:rsidR="00601A5E" w:rsidRPr="00FD69DD">
        <w:rPr>
          <w:rFonts w:ascii="Verdana" w:hAnsi="Verdana"/>
          <w:sz w:val="20"/>
          <w:szCs w:val="20"/>
        </w:rPr>
        <w:t>resources. When</w:t>
      </w:r>
      <w:r w:rsidRPr="00FD69DD">
        <w:rPr>
          <w:rFonts w:ascii="Verdana" w:hAnsi="Verdana"/>
          <w:sz w:val="20"/>
          <w:szCs w:val="20"/>
        </w:rPr>
        <w:t xml:space="preserve"> evaluating possible investments, WACC is used as a hurdle rate. A project may not be beneficial owing to negative shareholder value if its estimated return is less than the WACC. Investors will remove their money from the company if the assets don't produce the necessary </w:t>
      </w:r>
      <w:proofErr w:type="spellStart"/>
      <w:proofErr w:type="gramStart"/>
      <w:r w:rsidRPr="00FD69DD">
        <w:rPr>
          <w:rFonts w:ascii="Verdana" w:hAnsi="Verdana"/>
          <w:sz w:val="20"/>
          <w:szCs w:val="20"/>
        </w:rPr>
        <w:t>return,as</w:t>
      </w:r>
      <w:proofErr w:type="spellEnd"/>
      <w:proofErr w:type="gramEnd"/>
      <w:r w:rsidRPr="00FD69DD">
        <w:rPr>
          <w:rFonts w:ascii="Verdana" w:hAnsi="Verdana"/>
          <w:sz w:val="20"/>
          <w:szCs w:val="20"/>
        </w:rPr>
        <w:t xml:space="preserve"> the WACC is entirely determined by the market.</w:t>
      </w:r>
    </w:p>
    <w:p w14:paraId="33F7F147" w14:textId="5DF5913B" w:rsidR="001947CA" w:rsidRDefault="009F5880" w:rsidP="003722FE">
      <w:pPr>
        <w:spacing w:line="360" w:lineRule="auto"/>
        <w:rPr>
          <w:rFonts w:ascii="Verdana" w:hAnsi="Verdana"/>
          <w:sz w:val="20"/>
          <w:szCs w:val="20"/>
        </w:rPr>
      </w:pPr>
      <w:r w:rsidRPr="00141C2E">
        <w:rPr>
          <w:rFonts w:ascii="Verdana" w:hAnsi="Verdana"/>
          <w:b/>
          <w:bCs/>
          <w:sz w:val="20"/>
          <w:szCs w:val="20"/>
        </w:rPr>
        <w:t>Planning Horizon</w:t>
      </w:r>
      <w:r w:rsidRPr="00141C2E">
        <w:rPr>
          <w:rFonts w:ascii="Verdana" w:hAnsi="Verdana"/>
          <w:sz w:val="20"/>
          <w:szCs w:val="20"/>
        </w:rPr>
        <w:t>-</w:t>
      </w:r>
      <w:r w:rsidR="00846630" w:rsidRPr="00141C2E">
        <w:rPr>
          <w:rFonts w:ascii="Verdana" w:hAnsi="Verdana"/>
          <w:sz w:val="20"/>
          <w:szCs w:val="20"/>
        </w:rPr>
        <w:t xml:space="preserve"> Five years usually correspond well with industry trends and available financial data. This makes it possible to project and analyse growth, profitability, and cash flow more precisely, which results in a valuation that is more believable. Forecasting </w:t>
      </w:r>
      <w:r w:rsidR="00846630" w:rsidRPr="00141C2E">
        <w:rPr>
          <w:rFonts w:ascii="Verdana" w:hAnsi="Verdana"/>
          <w:sz w:val="20"/>
          <w:szCs w:val="20"/>
        </w:rPr>
        <w:lastRenderedPageBreak/>
        <w:t>longer than five years becomes more difficult due to factors including economic cycles, technological advancements, and regulatory changes.</w:t>
      </w:r>
    </w:p>
    <w:p w14:paraId="1B00F201" w14:textId="77777777" w:rsidR="00FD69DD" w:rsidRPr="00141C2E" w:rsidRDefault="00FD69DD" w:rsidP="003722FE">
      <w:pPr>
        <w:spacing w:line="360" w:lineRule="auto"/>
        <w:rPr>
          <w:rFonts w:ascii="Verdana" w:hAnsi="Verdana"/>
          <w:sz w:val="20"/>
          <w:szCs w:val="20"/>
        </w:rPr>
      </w:pPr>
    </w:p>
    <w:p w14:paraId="0E98CA78" w14:textId="5C5F7DE7" w:rsidR="00F06740" w:rsidRPr="00FD69DD" w:rsidRDefault="00F06740" w:rsidP="003722FE">
      <w:pPr>
        <w:spacing w:line="360" w:lineRule="auto"/>
        <w:rPr>
          <w:rFonts w:ascii="Verdana" w:hAnsi="Verdana"/>
          <w:b/>
          <w:bCs/>
          <w:sz w:val="20"/>
          <w:szCs w:val="20"/>
        </w:rPr>
      </w:pPr>
      <w:r w:rsidRPr="00FD69DD">
        <w:rPr>
          <w:rFonts w:ascii="Verdana" w:hAnsi="Verdana"/>
          <w:b/>
          <w:bCs/>
          <w:sz w:val="20"/>
          <w:szCs w:val="20"/>
        </w:rPr>
        <w:t xml:space="preserve">Task 4 B </w:t>
      </w:r>
    </w:p>
    <w:p w14:paraId="06101DFF" w14:textId="611A1A72" w:rsidR="00D245B9" w:rsidRPr="00141C2E" w:rsidRDefault="00F5385A" w:rsidP="003722FE">
      <w:pPr>
        <w:spacing w:line="360" w:lineRule="auto"/>
        <w:rPr>
          <w:rFonts w:ascii="Verdana" w:hAnsi="Verdana"/>
          <w:sz w:val="20"/>
          <w:szCs w:val="20"/>
        </w:rPr>
      </w:pPr>
      <w:r w:rsidRPr="00141C2E">
        <w:rPr>
          <w:rFonts w:ascii="Verdana" w:hAnsi="Verdana"/>
          <w:sz w:val="20"/>
          <w:szCs w:val="20"/>
        </w:rPr>
        <w:t xml:space="preserve">By </w:t>
      </w:r>
      <w:r w:rsidR="00BC3B18" w:rsidRPr="00141C2E">
        <w:rPr>
          <w:rFonts w:ascii="Verdana" w:hAnsi="Verdana"/>
          <w:sz w:val="20"/>
          <w:szCs w:val="20"/>
        </w:rPr>
        <w:t xml:space="preserve">revised SVA market value reported to be </w:t>
      </w:r>
      <w:r w:rsidR="00FC1082" w:rsidRPr="00141C2E">
        <w:rPr>
          <w:rFonts w:ascii="Verdana" w:hAnsi="Verdana"/>
          <w:sz w:val="20"/>
          <w:szCs w:val="20"/>
        </w:rPr>
        <w:t>261</w:t>
      </w:r>
      <w:r w:rsidR="00BC3B18" w:rsidRPr="00141C2E">
        <w:rPr>
          <w:rFonts w:ascii="Verdana" w:hAnsi="Verdana"/>
          <w:sz w:val="20"/>
          <w:szCs w:val="20"/>
        </w:rPr>
        <w:t xml:space="preserve"> </w:t>
      </w:r>
      <w:r w:rsidR="00FD69DD" w:rsidRPr="00141C2E">
        <w:rPr>
          <w:rFonts w:ascii="Verdana" w:hAnsi="Verdana"/>
          <w:sz w:val="20"/>
          <w:szCs w:val="20"/>
        </w:rPr>
        <w:t>million.</w:t>
      </w:r>
      <w:r w:rsidR="00BC3B18" w:rsidRPr="00141C2E">
        <w:rPr>
          <w:rFonts w:ascii="Verdana" w:hAnsi="Verdana"/>
          <w:sz w:val="20"/>
          <w:szCs w:val="20"/>
        </w:rPr>
        <w:t xml:space="preserve"> which is differ from the actual SVA calculation. </w:t>
      </w:r>
      <w:r w:rsidR="00834370" w:rsidRPr="00141C2E">
        <w:rPr>
          <w:rFonts w:ascii="Verdana" w:hAnsi="Verdana"/>
          <w:sz w:val="20"/>
          <w:szCs w:val="20"/>
        </w:rPr>
        <w:t>operational profit and SVA value increase as a result of changes in ICI, IWC</w:t>
      </w:r>
      <w:r w:rsidR="00A41901">
        <w:rPr>
          <w:rFonts w:ascii="Verdana" w:hAnsi="Verdana"/>
          <w:sz w:val="20"/>
          <w:szCs w:val="20"/>
        </w:rPr>
        <w:t>I</w:t>
      </w:r>
      <w:r w:rsidR="00834370" w:rsidRPr="00141C2E">
        <w:rPr>
          <w:rFonts w:ascii="Verdana" w:hAnsi="Verdana"/>
          <w:sz w:val="20"/>
          <w:szCs w:val="20"/>
        </w:rPr>
        <w:t>, and operational profit that reflect market economic conditions and foster prosperity.</w:t>
      </w:r>
      <w:r w:rsidR="001912CF" w:rsidRPr="00141C2E">
        <w:rPr>
          <w:rFonts w:ascii="Verdana" w:hAnsi="Verdana"/>
          <w:sz w:val="20"/>
          <w:szCs w:val="20"/>
        </w:rPr>
        <w:t xml:space="preserve"> SVA models frequently </w:t>
      </w:r>
      <w:r w:rsidR="00FD69DD" w:rsidRPr="00141C2E">
        <w:rPr>
          <w:rFonts w:ascii="Verdana" w:hAnsi="Verdana"/>
          <w:sz w:val="20"/>
          <w:szCs w:val="20"/>
        </w:rPr>
        <w:t>assume</w:t>
      </w:r>
      <w:r w:rsidR="001912CF" w:rsidRPr="00141C2E">
        <w:rPr>
          <w:rFonts w:ascii="Verdana" w:hAnsi="Verdana"/>
          <w:sz w:val="20"/>
          <w:szCs w:val="20"/>
        </w:rPr>
        <w:t xml:space="preserve"> that growth will always be consistent, but they do not </w:t>
      </w:r>
      <w:r w:rsidR="003B66B4" w:rsidRPr="00141C2E">
        <w:rPr>
          <w:rFonts w:ascii="Verdana" w:hAnsi="Verdana"/>
          <w:sz w:val="20"/>
          <w:szCs w:val="20"/>
        </w:rPr>
        <w:t>consider</w:t>
      </w:r>
      <w:r w:rsidR="001912CF" w:rsidRPr="00141C2E">
        <w:rPr>
          <w:rFonts w:ascii="Verdana" w:hAnsi="Verdana"/>
          <w:sz w:val="20"/>
          <w:szCs w:val="20"/>
        </w:rPr>
        <w:t xml:space="preserve"> things like the potential impact of social responsibility projects, sustainability initiatives, or reputational threats on a business's long-term value proposition and stakeholder relationships.</w:t>
      </w:r>
      <w:r w:rsidR="005261C5" w:rsidRPr="00141C2E">
        <w:rPr>
          <w:rFonts w:ascii="Verdana" w:hAnsi="Verdana"/>
          <w:sz w:val="20"/>
          <w:szCs w:val="20"/>
        </w:rPr>
        <w:t xml:space="preserve"> Because market players don't always behave rationally, there is a risk of asset mispricing, bubbles, and collapses. This may cast doubt on the notion that SVA, which is based on efficient market prices, fairly represents the underlying value of a business.</w:t>
      </w:r>
      <w:r w:rsidR="00BB4D3D" w:rsidRPr="00141C2E">
        <w:rPr>
          <w:rFonts w:ascii="Verdana" w:hAnsi="Verdana"/>
          <w:sz w:val="20"/>
          <w:szCs w:val="20"/>
        </w:rPr>
        <w:t xml:space="preserve"> </w:t>
      </w:r>
    </w:p>
    <w:p w14:paraId="1981A1BA" w14:textId="0EEC4074" w:rsidR="00BB4D3D" w:rsidRPr="00141C2E" w:rsidRDefault="00BB4D3D" w:rsidP="003722FE">
      <w:pPr>
        <w:spacing w:line="360" w:lineRule="auto"/>
        <w:rPr>
          <w:rFonts w:ascii="Verdana" w:hAnsi="Verdana"/>
          <w:sz w:val="20"/>
          <w:szCs w:val="20"/>
        </w:rPr>
      </w:pPr>
      <w:r w:rsidRPr="00141C2E">
        <w:rPr>
          <w:rFonts w:ascii="Verdana" w:hAnsi="Verdana"/>
          <w:sz w:val="20"/>
          <w:szCs w:val="20"/>
        </w:rPr>
        <w:t>The recent data that is available to the market and could influence the share price is unaffected by the SVA mod</w:t>
      </w:r>
      <w:r w:rsidR="002B12BE" w:rsidRPr="00141C2E">
        <w:rPr>
          <w:rFonts w:ascii="Verdana" w:hAnsi="Verdana"/>
          <w:sz w:val="20"/>
          <w:szCs w:val="20"/>
        </w:rPr>
        <w:t>al</w:t>
      </w:r>
      <w:r w:rsidRPr="00141C2E">
        <w:rPr>
          <w:rFonts w:ascii="Verdana" w:hAnsi="Verdana"/>
          <w:sz w:val="20"/>
          <w:szCs w:val="20"/>
        </w:rPr>
        <w:t xml:space="preserve">. It mainly emphasises the </w:t>
      </w:r>
      <w:r w:rsidR="00FD69DD" w:rsidRPr="00141C2E">
        <w:rPr>
          <w:rFonts w:ascii="Verdana" w:hAnsi="Verdana"/>
          <w:sz w:val="20"/>
          <w:szCs w:val="20"/>
        </w:rPr>
        <w:t>average.</w:t>
      </w:r>
      <w:r w:rsidRPr="00141C2E">
        <w:rPr>
          <w:rFonts w:ascii="Verdana" w:hAnsi="Verdana"/>
          <w:sz w:val="20"/>
          <w:szCs w:val="20"/>
        </w:rPr>
        <w:t xml:space="preserve"> However, SVA modal is closely watched by investors who use it to analyse business success and future potential for profit.</w:t>
      </w:r>
    </w:p>
    <w:p w14:paraId="5CB6340D" w14:textId="10968E90" w:rsidR="00D245B9" w:rsidRPr="00141C2E" w:rsidRDefault="00D245B9" w:rsidP="003722FE">
      <w:pPr>
        <w:spacing w:line="360" w:lineRule="auto"/>
        <w:rPr>
          <w:rFonts w:ascii="Verdana" w:hAnsi="Verdana"/>
          <w:sz w:val="20"/>
          <w:szCs w:val="20"/>
        </w:rPr>
      </w:pPr>
      <w:r w:rsidRPr="00141C2E">
        <w:rPr>
          <w:rFonts w:ascii="Verdana" w:hAnsi="Verdana"/>
          <w:sz w:val="20"/>
          <w:szCs w:val="20"/>
        </w:rPr>
        <w:t xml:space="preserve">In the end, the share price </w:t>
      </w:r>
      <w:r w:rsidR="00FD69DD" w:rsidRPr="00141C2E">
        <w:rPr>
          <w:rFonts w:ascii="Verdana" w:hAnsi="Verdana"/>
          <w:sz w:val="20"/>
          <w:szCs w:val="20"/>
        </w:rPr>
        <w:t>reflects</w:t>
      </w:r>
      <w:r w:rsidRPr="00141C2E">
        <w:rPr>
          <w:rFonts w:ascii="Verdana" w:hAnsi="Verdana"/>
          <w:sz w:val="20"/>
          <w:szCs w:val="20"/>
        </w:rPr>
        <w:t xml:space="preserve"> the intricate relationship between perceptions of risk, future profits projections, and overall market sentiment. When making decisions, investors evaluate each of these variables, which results in a process known as collective price discovery that establishes a share's market value.</w:t>
      </w:r>
      <w:r w:rsidR="00157D50" w:rsidRPr="00141C2E">
        <w:rPr>
          <w:rFonts w:ascii="Verdana" w:hAnsi="Verdana"/>
          <w:sz w:val="20"/>
          <w:szCs w:val="20"/>
        </w:rPr>
        <w:t xml:space="preserve"> </w:t>
      </w:r>
      <w:r w:rsidR="00FD69DD" w:rsidRPr="00141C2E">
        <w:rPr>
          <w:rFonts w:ascii="Verdana" w:hAnsi="Verdana"/>
          <w:sz w:val="20"/>
          <w:szCs w:val="20"/>
        </w:rPr>
        <w:t>A</w:t>
      </w:r>
      <w:r w:rsidR="00157D50" w:rsidRPr="00141C2E">
        <w:rPr>
          <w:rFonts w:ascii="Verdana" w:hAnsi="Verdana"/>
          <w:sz w:val="20"/>
          <w:szCs w:val="20"/>
        </w:rPr>
        <w:t xml:space="preserve"> sudden rise in demand for a stock with a significant degree of short interest is what is causing these quick price rises. While emotions and biases can impact investor behaviour, attributing market movements only to "irrational" investors is typically simplistic and misleading.</w:t>
      </w:r>
    </w:p>
    <w:p w14:paraId="6B3439A0" w14:textId="48631597" w:rsidR="00617FB0" w:rsidRPr="00141C2E" w:rsidRDefault="00880939" w:rsidP="003722FE">
      <w:pPr>
        <w:spacing w:line="360" w:lineRule="auto"/>
        <w:rPr>
          <w:rFonts w:ascii="Verdana" w:hAnsi="Verdana"/>
          <w:sz w:val="20"/>
          <w:szCs w:val="20"/>
        </w:rPr>
      </w:pPr>
      <w:r w:rsidRPr="00141C2E">
        <w:rPr>
          <w:rFonts w:ascii="Verdana" w:hAnsi="Verdana"/>
          <w:sz w:val="20"/>
          <w:szCs w:val="20"/>
        </w:rPr>
        <w:t>Due to a projected personnel reduction in 2024, the company's operational profit is lowered from 6.9% to 7% in the revised SVA modal. We understood that we needed to change our worldwide delivery and operating model after putting the next phase of our growth strategy into action. As a result, we made the painful choice to lower our global staff by 7</w:t>
      </w:r>
      <w:r w:rsidR="00FD69DD" w:rsidRPr="00141C2E">
        <w:rPr>
          <w:rFonts w:ascii="Verdana" w:hAnsi="Verdana"/>
          <w:sz w:val="20"/>
          <w:szCs w:val="20"/>
        </w:rPr>
        <w:t>% (</w:t>
      </w:r>
      <w:r w:rsidR="00FD69DD">
        <w:rPr>
          <w:rFonts w:ascii="Verdana" w:hAnsi="Verdana"/>
          <w:sz w:val="20"/>
          <w:szCs w:val="20"/>
        </w:rPr>
        <w:t>A</w:t>
      </w:r>
      <w:r w:rsidR="00153549" w:rsidRPr="00141C2E">
        <w:rPr>
          <w:rFonts w:ascii="Verdana" w:hAnsi="Verdana"/>
          <w:sz w:val="20"/>
          <w:szCs w:val="20"/>
        </w:rPr>
        <w:t>nnual</w:t>
      </w:r>
      <w:r w:rsidR="00056972" w:rsidRPr="00141C2E">
        <w:rPr>
          <w:rFonts w:ascii="Verdana" w:hAnsi="Verdana"/>
          <w:sz w:val="20"/>
          <w:szCs w:val="20"/>
        </w:rPr>
        <w:t xml:space="preserve"> </w:t>
      </w:r>
      <w:r w:rsidR="00FD69DD" w:rsidRPr="00141C2E">
        <w:rPr>
          <w:rFonts w:ascii="Verdana" w:hAnsi="Verdana"/>
          <w:sz w:val="20"/>
          <w:szCs w:val="20"/>
        </w:rPr>
        <w:t>report,</w:t>
      </w:r>
      <w:r w:rsidR="00056972" w:rsidRPr="00141C2E">
        <w:rPr>
          <w:rFonts w:ascii="Verdana" w:hAnsi="Verdana"/>
          <w:sz w:val="20"/>
          <w:szCs w:val="20"/>
        </w:rPr>
        <w:t xml:space="preserve"> </w:t>
      </w:r>
      <w:r w:rsidR="003B66B4" w:rsidRPr="00141C2E">
        <w:rPr>
          <w:rFonts w:ascii="Verdana" w:hAnsi="Verdana"/>
          <w:sz w:val="20"/>
          <w:szCs w:val="20"/>
        </w:rPr>
        <w:t>24, pg.</w:t>
      </w:r>
      <w:r w:rsidR="00444D10" w:rsidRPr="00141C2E">
        <w:rPr>
          <w:rFonts w:ascii="Verdana" w:hAnsi="Verdana"/>
          <w:sz w:val="20"/>
          <w:szCs w:val="20"/>
        </w:rPr>
        <w:t xml:space="preserve"> 95)</w:t>
      </w:r>
      <w:r w:rsidR="004D3670" w:rsidRPr="00141C2E">
        <w:rPr>
          <w:rFonts w:ascii="Verdana" w:hAnsi="Verdana"/>
          <w:sz w:val="20"/>
          <w:szCs w:val="20"/>
        </w:rPr>
        <w:t xml:space="preserve"> Because they only </w:t>
      </w:r>
      <w:r w:rsidR="003B66B4" w:rsidRPr="00141C2E">
        <w:rPr>
          <w:rFonts w:ascii="Verdana" w:hAnsi="Verdana"/>
          <w:sz w:val="20"/>
          <w:szCs w:val="20"/>
        </w:rPr>
        <w:t>consider</w:t>
      </w:r>
      <w:r w:rsidR="004D3670" w:rsidRPr="00141C2E">
        <w:rPr>
          <w:rFonts w:ascii="Verdana" w:hAnsi="Verdana"/>
          <w:sz w:val="20"/>
          <w:szCs w:val="20"/>
        </w:rPr>
        <w:t xml:space="preserve"> past data or situations in which a firm does not pay dividends, traditional valuation techniques like the price-to-earnings (P/E) and price-to-book (P/B) ratios frequently fall short when applied to the SVA. </w:t>
      </w:r>
    </w:p>
    <w:p w14:paraId="0F631B53" w14:textId="3C3E59C2" w:rsidR="00141C2E" w:rsidRPr="00141C2E" w:rsidRDefault="004D3670" w:rsidP="003722FE">
      <w:pPr>
        <w:spacing w:line="360" w:lineRule="auto"/>
        <w:rPr>
          <w:rFonts w:ascii="Verdana" w:hAnsi="Verdana"/>
          <w:sz w:val="20"/>
          <w:szCs w:val="20"/>
        </w:rPr>
      </w:pPr>
      <w:r w:rsidRPr="00141C2E">
        <w:rPr>
          <w:rFonts w:ascii="Verdana" w:hAnsi="Verdana"/>
          <w:sz w:val="20"/>
          <w:szCs w:val="20"/>
        </w:rPr>
        <w:t>In contrast, the SVA makes use of discounted cash flow (DCF) analysis.</w:t>
      </w:r>
      <w:r w:rsidR="00D87F9F" w:rsidRPr="00141C2E">
        <w:rPr>
          <w:rFonts w:ascii="Verdana" w:hAnsi="Verdana"/>
          <w:sz w:val="20"/>
          <w:szCs w:val="20"/>
        </w:rPr>
        <w:t xml:space="preserve"> When performing DCF analysis for SVA, assumptions regarding operating margins, discount </w:t>
      </w:r>
      <w:r w:rsidR="00D87F9F" w:rsidRPr="00141C2E">
        <w:rPr>
          <w:rFonts w:ascii="Verdana" w:hAnsi="Verdana"/>
          <w:sz w:val="20"/>
          <w:szCs w:val="20"/>
        </w:rPr>
        <w:lastRenderedPageBreak/>
        <w:t>rates, and future growth rates are crucial.</w:t>
      </w:r>
      <w:r w:rsidR="00A87706" w:rsidRPr="00141C2E">
        <w:rPr>
          <w:rFonts w:ascii="Verdana" w:hAnsi="Verdana"/>
          <w:sz w:val="20"/>
          <w:szCs w:val="20"/>
        </w:rPr>
        <w:t xml:space="preserve"> Return on capital employed (ROCE), which calculates the total economic benefit from capital employed over a period of years, is preferred by certain managers. Because ROCE employs bottom-line data rather than operating profit, it is possible to analyse past capital investments historically."</w:t>
      </w:r>
      <w:r w:rsidR="00E048C9" w:rsidRPr="00141C2E">
        <w:rPr>
          <w:rFonts w:ascii="Verdana" w:hAnsi="Verdana"/>
          <w:sz w:val="20"/>
          <w:szCs w:val="20"/>
        </w:rPr>
        <w:t xml:space="preserve"> But depending just on future cash flow estimates in SVA can leave you open to errors and uncertainty in growth and discount rate assumptions."</w:t>
      </w:r>
      <w:r w:rsidR="003F6BF4" w:rsidRPr="00141C2E">
        <w:rPr>
          <w:rFonts w:ascii="Verdana" w:hAnsi="Verdana"/>
          <w:sz w:val="20"/>
          <w:szCs w:val="20"/>
        </w:rPr>
        <w:t xml:space="preserve"> SVA is a useful tool, but it's important to combine it with other approaches and take qualitative aspects into account. </w:t>
      </w:r>
      <w:r w:rsidR="006471F1" w:rsidRPr="00141C2E">
        <w:rPr>
          <w:rFonts w:ascii="Verdana" w:hAnsi="Verdana"/>
          <w:sz w:val="20"/>
          <w:szCs w:val="20"/>
        </w:rPr>
        <w:t>The SVA computes economic profit and net present value in order to assess shareholder value. Net present value must be greater than the discount rate, and positive economic profit must demonstrate that earnings exceed investment costs."</w:t>
      </w:r>
    </w:p>
    <w:p w14:paraId="418AD6F8" w14:textId="4A75419E" w:rsidR="00D06A20" w:rsidRPr="00141C2E" w:rsidRDefault="0019755E" w:rsidP="003722FE">
      <w:pPr>
        <w:spacing w:line="360" w:lineRule="auto"/>
        <w:rPr>
          <w:rFonts w:ascii="Verdana" w:hAnsi="Verdana"/>
          <w:b/>
          <w:bCs/>
          <w:sz w:val="20"/>
          <w:szCs w:val="20"/>
        </w:rPr>
      </w:pPr>
      <w:r w:rsidRPr="00141C2E">
        <w:rPr>
          <w:rFonts w:ascii="Verdana" w:hAnsi="Verdana"/>
          <w:b/>
          <w:bCs/>
          <w:sz w:val="20"/>
          <w:szCs w:val="20"/>
        </w:rPr>
        <w:t>Task 5</w:t>
      </w:r>
    </w:p>
    <w:p w14:paraId="36575A86" w14:textId="5547FA4B" w:rsidR="006969ED" w:rsidRPr="00141C2E" w:rsidRDefault="006969ED" w:rsidP="003722FE">
      <w:pPr>
        <w:spacing w:line="360" w:lineRule="auto"/>
        <w:rPr>
          <w:rFonts w:ascii="Verdana" w:hAnsi="Verdana"/>
          <w:b/>
          <w:bCs/>
          <w:sz w:val="20"/>
          <w:szCs w:val="20"/>
        </w:rPr>
      </w:pPr>
      <w:r w:rsidRPr="00141C2E">
        <w:rPr>
          <w:rFonts w:ascii="Verdana" w:hAnsi="Verdana"/>
          <w:b/>
          <w:bCs/>
          <w:sz w:val="20"/>
          <w:szCs w:val="20"/>
        </w:rPr>
        <w:t xml:space="preserve">Strategic </w:t>
      </w:r>
      <w:r w:rsidR="00037F9E" w:rsidRPr="00141C2E">
        <w:rPr>
          <w:rFonts w:ascii="Verdana" w:hAnsi="Verdana"/>
          <w:b/>
          <w:bCs/>
          <w:sz w:val="20"/>
          <w:szCs w:val="20"/>
        </w:rPr>
        <w:t>significance</w:t>
      </w:r>
      <w:r w:rsidRPr="00141C2E">
        <w:rPr>
          <w:rFonts w:ascii="Verdana" w:hAnsi="Verdana"/>
          <w:b/>
          <w:bCs/>
          <w:sz w:val="20"/>
          <w:szCs w:val="20"/>
        </w:rPr>
        <w:t xml:space="preserve"> </w:t>
      </w:r>
      <w:r w:rsidR="00037F9E" w:rsidRPr="00141C2E">
        <w:rPr>
          <w:rFonts w:ascii="Verdana" w:hAnsi="Verdana"/>
          <w:b/>
          <w:bCs/>
          <w:sz w:val="20"/>
          <w:szCs w:val="20"/>
        </w:rPr>
        <w:t>-</w:t>
      </w:r>
    </w:p>
    <w:p w14:paraId="03BD6475" w14:textId="5DBEB44E" w:rsidR="00D902D8" w:rsidRPr="00141C2E" w:rsidRDefault="00D06A20" w:rsidP="003722FE">
      <w:pPr>
        <w:spacing w:line="360" w:lineRule="auto"/>
        <w:rPr>
          <w:rFonts w:ascii="Verdana" w:hAnsi="Verdana"/>
          <w:sz w:val="20"/>
          <w:szCs w:val="20"/>
        </w:rPr>
      </w:pPr>
      <w:r w:rsidRPr="00141C2E">
        <w:rPr>
          <w:rFonts w:ascii="Verdana" w:hAnsi="Verdana"/>
          <w:sz w:val="20"/>
          <w:szCs w:val="20"/>
        </w:rPr>
        <w:t xml:space="preserve">NCC Group </w:t>
      </w:r>
      <w:r w:rsidR="001E67D9" w:rsidRPr="00141C2E">
        <w:rPr>
          <w:rFonts w:ascii="Verdana" w:hAnsi="Verdana"/>
          <w:sz w:val="20"/>
          <w:szCs w:val="20"/>
        </w:rPr>
        <w:t>has Acquired</w:t>
      </w:r>
      <w:r w:rsidR="008626D1" w:rsidRPr="00141C2E">
        <w:rPr>
          <w:rFonts w:ascii="Verdana" w:hAnsi="Verdana"/>
          <w:sz w:val="20"/>
          <w:szCs w:val="20"/>
        </w:rPr>
        <w:t xml:space="preserve"> </w:t>
      </w:r>
      <w:r w:rsidR="001E67D9" w:rsidRPr="00141C2E">
        <w:rPr>
          <w:rFonts w:ascii="Verdana" w:hAnsi="Verdana"/>
          <w:sz w:val="20"/>
          <w:szCs w:val="20"/>
        </w:rPr>
        <w:t xml:space="preserve">Iron Mountain Intellectual Property Management (IPM) (June 2021) – US based software resilience and escrow </w:t>
      </w:r>
      <w:r w:rsidR="00FD69DD" w:rsidRPr="00141C2E">
        <w:rPr>
          <w:rFonts w:ascii="Verdana" w:hAnsi="Verdana"/>
          <w:sz w:val="20"/>
          <w:szCs w:val="20"/>
        </w:rPr>
        <w:t>business.</w:t>
      </w:r>
      <w:r w:rsidR="00AC728C" w:rsidRPr="00141C2E">
        <w:rPr>
          <w:rFonts w:ascii="Verdana" w:hAnsi="Verdana"/>
          <w:sz w:val="20"/>
          <w:szCs w:val="20"/>
        </w:rPr>
        <w:t xml:space="preserve"> </w:t>
      </w:r>
      <w:r w:rsidR="00C75A5F" w:rsidRPr="00141C2E">
        <w:rPr>
          <w:rFonts w:ascii="Verdana" w:hAnsi="Verdana"/>
          <w:sz w:val="20"/>
          <w:szCs w:val="20"/>
        </w:rPr>
        <w:t>Since the goal of this takeover is to improve NCC Group's current capabilities in particular domains like cloud security, threat intelligence, or incident response, it is carried out horizontally.</w:t>
      </w:r>
      <w:r w:rsidR="00D902D8" w:rsidRPr="00141C2E">
        <w:rPr>
          <w:rFonts w:ascii="Verdana" w:hAnsi="Verdana"/>
          <w:sz w:val="20"/>
          <w:szCs w:val="20"/>
        </w:rPr>
        <w:t xml:space="preserve"> </w:t>
      </w:r>
      <w:r w:rsidR="00C75A5F" w:rsidRPr="00141C2E">
        <w:rPr>
          <w:rFonts w:ascii="Verdana" w:hAnsi="Verdana"/>
          <w:sz w:val="20"/>
          <w:szCs w:val="20"/>
        </w:rPr>
        <w:t>More price power and market dominance can be achieved by eliminating direct competition</w:t>
      </w:r>
      <w:r w:rsidR="0029713E" w:rsidRPr="00141C2E">
        <w:rPr>
          <w:rFonts w:ascii="Verdana" w:hAnsi="Verdana"/>
          <w:sz w:val="20"/>
          <w:szCs w:val="20"/>
        </w:rPr>
        <w:t xml:space="preserve"> </w:t>
      </w:r>
      <w:r w:rsidR="00FC196A" w:rsidRPr="00141C2E">
        <w:rPr>
          <w:rFonts w:ascii="Verdana" w:hAnsi="Verdana"/>
          <w:sz w:val="20"/>
          <w:szCs w:val="20"/>
        </w:rPr>
        <w:t>(Business leader</w:t>
      </w:r>
      <w:r w:rsidR="00FC196A">
        <w:rPr>
          <w:rFonts w:ascii="Verdana" w:hAnsi="Verdana"/>
          <w:sz w:val="20"/>
          <w:szCs w:val="20"/>
        </w:rPr>
        <w:t xml:space="preserve">, </w:t>
      </w:r>
      <w:r w:rsidR="00FC196A" w:rsidRPr="00141C2E">
        <w:rPr>
          <w:rFonts w:ascii="Verdana" w:hAnsi="Verdana"/>
          <w:sz w:val="20"/>
          <w:szCs w:val="20"/>
        </w:rPr>
        <w:t xml:space="preserve">oil </w:t>
      </w:r>
      <w:proofErr w:type="gramStart"/>
      <w:r w:rsidR="00FC196A" w:rsidRPr="00141C2E">
        <w:rPr>
          <w:rFonts w:ascii="Verdana" w:hAnsi="Verdana"/>
          <w:sz w:val="20"/>
          <w:szCs w:val="20"/>
        </w:rPr>
        <w:t>ballard</w:t>
      </w:r>
      <w:r w:rsidR="00FC196A">
        <w:rPr>
          <w:rFonts w:ascii="Verdana" w:hAnsi="Verdana"/>
          <w:sz w:val="20"/>
          <w:szCs w:val="20"/>
        </w:rPr>
        <w:t>:</w:t>
      </w:r>
      <w:r w:rsidR="00FC196A" w:rsidRPr="00141C2E">
        <w:rPr>
          <w:rFonts w:ascii="Verdana" w:hAnsi="Verdana"/>
          <w:sz w:val="20"/>
          <w:szCs w:val="20"/>
        </w:rPr>
        <w:t>june</w:t>
      </w:r>
      <w:proofErr w:type="gramEnd"/>
      <w:r w:rsidR="00FC196A" w:rsidRPr="00141C2E">
        <w:rPr>
          <w:rFonts w:ascii="Verdana" w:hAnsi="Verdana"/>
          <w:sz w:val="20"/>
          <w:szCs w:val="20"/>
        </w:rPr>
        <w:t>9</w:t>
      </w:r>
      <w:r w:rsidR="00FC196A">
        <w:rPr>
          <w:rFonts w:ascii="Verdana" w:hAnsi="Verdana"/>
          <w:sz w:val="20"/>
          <w:szCs w:val="20"/>
        </w:rPr>
        <w:t xml:space="preserve"> </w:t>
      </w:r>
      <w:r w:rsidR="00FC196A" w:rsidRPr="00141C2E">
        <w:rPr>
          <w:rFonts w:ascii="Verdana" w:hAnsi="Verdana"/>
          <w:sz w:val="20"/>
          <w:szCs w:val="20"/>
        </w:rPr>
        <w:t>2021)</w:t>
      </w:r>
    </w:p>
    <w:p w14:paraId="3AC1CACE" w14:textId="20FC393D" w:rsidR="0064523A" w:rsidRPr="00141C2E" w:rsidRDefault="006C1557" w:rsidP="003722FE">
      <w:pPr>
        <w:spacing w:line="360" w:lineRule="auto"/>
        <w:rPr>
          <w:rFonts w:ascii="Verdana" w:hAnsi="Verdana"/>
          <w:sz w:val="20"/>
          <w:szCs w:val="20"/>
        </w:rPr>
      </w:pPr>
      <w:r w:rsidRPr="00141C2E">
        <w:rPr>
          <w:rFonts w:ascii="Verdana" w:hAnsi="Verdana"/>
          <w:sz w:val="20"/>
          <w:szCs w:val="20"/>
        </w:rPr>
        <w:t xml:space="preserve">NCC group </w:t>
      </w:r>
      <w:r w:rsidR="00D06A20" w:rsidRPr="00141C2E">
        <w:rPr>
          <w:rFonts w:ascii="Verdana" w:hAnsi="Verdana"/>
          <w:sz w:val="20"/>
          <w:szCs w:val="20"/>
        </w:rPr>
        <w:t>made a calculated strategic decision in acquiring IPM Secure, which helped them to broaden their service offerings, improve their knowledge and technology, take advantage of cross-selling and synergy opportunities, fortify their position in the market, and unleash growth potential. Advanced DRM technologies for securing software and intellectual property.</w:t>
      </w:r>
      <w:r w:rsidR="009300D1" w:rsidRPr="00141C2E">
        <w:rPr>
          <w:rFonts w:ascii="Verdana" w:hAnsi="Verdana"/>
          <w:sz w:val="20"/>
          <w:szCs w:val="20"/>
        </w:rPr>
        <w:t xml:space="preserve"> The acquisition enhanced NCC Group's standing as a top worldwide supplier of DRM and software escrow services. </w:t>
      </w:r>
      <w:r w:rsidR="0064523A" w:rsidRPr="00141C2E">
        <w:rPr>
          <w:rFonts w:ascii="Verdana" w:hAnsi="Verdana"/>
          <w:sz w:val="20"/>
          <w:szCs w:val="20"/>
        </w:rPr>
        <w:t>We built our compensation strategy to suit the demands of an intricate global enterprise that has expanded via both organic growth and acquisitions.</w:t>
      </w:r>
      <w:r w:rsidR="00FC497A" w:rsidRPr="00141C2E">
        <w:rPr>
          <w:rFonts w:ascii="Verdana" w:hAnsi="Verdana"/>
          <w:sz w:val="20"/>
          <w:szCs w:val="20"/>
        </w:rPr>
        <w:t xml:space="preserve"> (Business leader</w:t>
      </w:r>
      <w:r w:rsidR="00141B78">
        <w:rPr>
          <w:rFonts w:ascii="Verdana" w:hAnsi="Verdana"/>
          <w:sz w:val="20"/>
          <w:szCs w:val="20"/>
        </w:rPr>
        <w:t>,</w:t>
      </w:r>
      <w:r w:rsidR="00FC196A">
        <w:rPr>
          <w:rFonts w:ascii="Verdana" w:hAnsi="Verdana"/>
          <w:sz w:val="20"/>
          <w:szCs w:val="20"/>
        </w:rPr>
        <w:t xml:space="preserve"> </w:t>
      </w:r>
      <w:r w:rsidR="00FC497A" w:rsidRPr="00141C2E">
        <w:rPr>
          <w:rFonts w:ascii="Verdana" w:hAnsi="Verdana"/>
          <w:sz w:val="20"/>
          <w:szCs w:val="20"/>
        </w:rPr>
        <w:t xml:space="preserve">oil </w:t>
      </w:r>
      <w:proofErr w:type="gramStart"/>
      <w:r w:rsidR="00FC497A" w:rsidRPr="00141C2E">
        <w:rPr>
          <w:rFonts w:ascii="Verdana" w:hAnsi="Verdana"/>
          <w:sz w:val="20"/>
          <w:szCs w:val="20"/>
        </w:rPr>
        <w:t>ballard</w:t>
      </w:r>
      <w:r w:rsidR="00141B78">
        <w:rPr>
          <w:rFonts w:ascii="Verdana" w:hAnsi="Verdana"/>
          <w:sz w:val="20"/>
          <w:szCs w:val="20"/>
        </w:rPr>
        <w:t>:</w:t>
      </w:r>
      <w:r w:rsidR="00FC497A" w:rsidRPr="00141C2E">
        <w:rPr>
          <w:rFonts w:ascii="Verdana" w:hAnsi="Verdana"/>
          <w:sz w:val="20"/>
          <w:szCs w:val="20"/>
        </w:rPr>
        <w:t>june</w:t>
      </w:r>
      <w:proofErr w:type="gramEnd"/>
      <w:r w:rsidR="00FC497A" w:rsidRPr="00141C2E">
        <w:rPr>
          <w:rFonts w:ascii="Verdana" w:hAnsi="Verdana"/>
          <w:sz w:val="20"/>
          <w:szCs w:val="20"/>
        </w:rPr>
        <w:t>9</w:t>
      </w:r>
      <w:r w:rsidR="00141B78">
        <w:rPr>
          <w:rFonts w:ascii="Verdana" w:hAnsi="Verdana"/>
          <w:sz w:val="20"/>
          <w:szCs w:val="20"/>
        </w:rPr>
        <w:t xml:space="preserve"> </w:t>
      </w:r>
      <w:r w:rsidR="00FC497A" w:rsidRPr="00141C2E">
        <w:rPr>
          <w:rFonts w:ascii="Verdana" w:hAnsi="Verdana"/>
          <w:sz w:val="20"/>
          <w:szCs w:val="20"/>
        </w:rPr>
        <w:t>2021)</w:t>
      </w:r>
    </w:p>
    <w:p w14:paraId="4C9D9A51" w14:textId="5E08FE40" w:rsidR="007801F3" w:rsidRPr="00141C2E" w:rsidRDefault="00594656" w:rsidP="003722FE">
      <w:pPr>
        <w:spacing w:line="360" w:lineRule="auto"/>
        <w:rPr>
          <w:rFonts w:ascii="Verdana" w:hAnsi="Verdana"/>
          <w:b/>
          <w:bCs/>
          <w:sz w:val="20"/>
          <w:szCs w:val="20"/>
        </w:rPr>
      </w:pPr>
      <w:r w:rsidRPr="00141C2E">
        <w:rPr>
          <w:rFonts w:ascii="Verdana" w:hAnsi="Verdana"/>
          <w:b/>
          <w:bCs/>
          <w:sz w:val="20"/>
          <w:szCs w:val="20"/>
        </w:rPr>
        <w:t>Potential sources of Syner</w:t>
      </w:r>
      <w:r w:rsidR="0050634A" w:rsidRPr="00141C2E">
        <w:rPr>
          <w:rFonts w:ascii="Verdana" w:hAnsi="Verdana"/>
          <w:b/>
          <w:bCs/>
          <w:sz w:val="20"/>
          <w:szCs w:val="20"/>
        </w:rPr>
        <w:t xml:space="preserve">gy – </w:t>
      </w:r>
    </w:p>
    <w:p w14:paraId="4C8D6B4B" w14:textId="6E8BDDBE" w:rsidR="0050634A" w:rsidRPr="00141C2E" w:rsidRDefault="0050634A" w:rsidP="003722FE">
      <w:pPr>
        <w:pStyle w:val="ListParagraph"/>
        <w:numPr>
          <w:ilvl w:val="0"/>
          <w:numId w:val="2"/>
        </w:numPr>
        <w:spacing w:line="360" w:lineRule="auto"/>
        <w:rPr>
          <w:rFonts w:ascii="Verdana" w:hAnsi="Verdana"/>
          <w:sz w:val="20"/>
          <w:szCs w:val="20"/>
        </w:rPr>
      </w:pPr>
      <w:r w:rsidRPr="00141C2E">
        <w:rPr>
          <w:rFonts w:ascii="Verdana" w:hAnsi="Verdana"/>
          <w:sz w:val="20"/>
          <w:szCs w:val="20"/>
        </w:rPr>
        <w:t xml:space="preserve">Operating Synergy- </w:t>
      </w:r>
      <w:r w:rsidR="00586571" w:rsidRPr="00141C2E">
        <w:rPr>
          <w:rFonts w:ascii="Verdana" w:hAnsi="Verdana"/>
          <w:sz w:val="20"/>
          <w:szCs w:val="20"/>
        </w:rPr>
        <w:t>By complementing NCC Group's current cyber security products with IPM's experience in software escrow and DRM, they were able to expand the client base and access new industries. Both NCC Group and IPM may see organic growth if they took advantage of existing customers to endorse IPM's offerings.</w:t>
      </w:r>
      <w:r w:rsidR="00BC5916" w:rsidRPr="00141C2E">
        <w:rPr>
          <w:rFonts w:ascii="Verdana" w:hAnsi="Verdana"/>
          <w:sz w:val="20"/>
          <w:szCs w:val="20"/>
        </w:rPr>
        <w:t xml:space="preserve"> </w:t>
      </w:r>
      <w:r w:rsidR="00586571" w:rsidRPr="00141C2E">
        <w:rPr>
          <w:rFonts w:ascii="Verdana" w:hAnsi="Verdana"/>
          <w:sz w:val="20"/>
          <w:szCs w:val="20"/>
        </w:rPr>
        <w:t>NCC Group's position as a major worldwide player in these expanding areas was cemented with the acquisition of IPM, which also increased its market share and influence.</w:t>
      </w:r>
      <w:r w:rsidR="007257F8" w:rsidRPr="00141C2E">
        <w:rPr>
          <w:rFonts w:ascii="Verdana" w:hAnsi="Verdana"/>
          <w:sz w:val="20"/>
          <w:szCs w:val="20"/>
        </w:rPr>
        <w:t xml:space="preserve"> </w:t>
      </w:r>
    </w:p>
    <w:p w14:paraId="4597B672" w14:textId="71E6E30B" w:rsidR="007257F8" w:rsidRPr="00141C2E" w:rsidRDefault="007C3ECD" w:rsidP="003722FE">
      <w:pPr>
        <w:pStyle w:val="ListParagraph"/>
        <w:numPr>
          <w:ilvl w:val="0"/>
          <w:numId w:val="2"/>
        </w:numPr>
        <w:spacing w:line="360" w:lineRule="auto"/>
        <w:rPr>
          <w:rFonts w:ascii="Verdana" w:hAnsi="Verdana"/>
          <w:sz w:val="20"/>
          <w:szCs w:val="20"/>
        </w:rPr>
      </w:pPr>
      <w:r w:rsidRPr="00141C2E">
        <w:rPr>
          <w:rFonts w:ascii="Verdana" w:hAnsi="Verdana"/>
          <w:sz w:val="20"/>
          <w:szCs w:val="20"/>
        </w:rPr>
        <w:lastRenderedPageBreak/>
        <w:t xml:space="preserve">Financial synergy - </w:t>
      </w:r>
      <w:r w:rsidR="00CB60CB" w:rsidRPr="00141C2E">
        <w:rPr>
          <w:rFonts w:ascii="Verdana" w:hAnsi="Verdana"/>
          <w:sz w:val="20"/>
          <w:szCs w:val="20"/>
        </w:rPr>
        <w:t>Following the acquisition of IPM in the prior period, goodwill and intangible assets were recognised amounting to £68.6m and £92.6m respectively. (</w:t>
      </w:r>
      <w:r w:rsidR="00FD69DD">
        <w:rPr>
          <w:rFonts w:ascii="Verdana" w:hAnsi="Verdana"/>
          <w:sz w:val="20"/>
          <w:szCs w:val="20"/>
        </w:rPr>
        <w:t>A</w:t>
      </w:r>
      <w:r w:rsidR="00CB60CB" w:rsidRPr="00141C2E">
        <w:rPr>
          <w:rFonts w:ascii="Verdana" w:hAnsi="Verdana"/>
          <w:sz w:val="20"/>
          <w:szCs w:val="20"/>
        </w:rPr>
        <w:t xml:space="preserve">nnual </w:t>
      </w:r>
      <w:r w:rsidR="00FD69DD" w:rsidRPr="00141C2E">
        <w:rPr>
          <w:rFonts w:ascii="Verdana" w:hAnsi="Verdana"/>
          <w:sz w:val="20"/>
          <w:szCs w:val="20"/>
        </w:rPr>
        <w:t>report,</w:t>
      </w:r>
      <w:r w:rsidR="00CB60CB" w:rsidRPr="00141C2E">
        <w:rPr>
          <w:rFonts w:ascii="Verdana" w:hAnsi="Verdana"/>
          <w:sz w:val="20"/>
          <w:szCs w:val="20"/>
        </w:rPr>
        <w:t xml:space="preserve"> 2024, </w:t>
      </w:r>
      <w:r w:rsidR="00FD69DD" w:rsidRPr="00141C2E">
        <w:rPr>
          <w:rFonts w:ascii="Verdana" w:hAnsi="Verdana"/>
          <w:sz w:val="20"/>
          <w:szCs w:val="20"/>
        </w:rPr>
        <w:t>pg.</w:t>
      </w:r>
      <w:r w:rsidR="00CB60CB" w:rsidRPr="00141C2E">
        <w:rPr>
          <w:rFonts w:ascii="Verdana" w:hAnsi="Verdana"/>
          <w:sz w:val="20"/>
          <w:szCs w:val="20"/>
        </w:rPr>
        <w:t xml:space="preserve"> 177) </w:t>
      </w:r>
      <w:r w:rsidR="00B10CC6" w:rsidRPr="00141C2E">
        <w:rPr>
          <w:rFonts w:ascii="Verdana" w:hAnsi="Verdana"/>
          <w:sz w:val="20"/>
          <w:szCs w:val="20"/>
        </w:rPr>
        <w:t xml:space="preserve">Meanwhile, we are now the biggest software escrow player in the world as our Software Resilience business expands and benefits from our acquisition of IPM last year. £4.3 million loss before taxes following £2.5 million in higher financing expenses as a result of higher borrowing after the IPM purchase and higher base interest rates. After the completion of the purchase of IPM in June 2021, </w:t>
      </w:r>
      <w:r w:rsidR="00FD69DD" w:rsidRPr="00141C2E">
        <w:rPr>
          <w:rFonts w:ascii="Verdana" w:hAnsi="Verdana"/>
          <w:sz w:val="20"/>
          <w:szCs w:val="20"/>
        </w:rPr>
        <w:t>all</w:t>
      </w:r>
      <w:r w:rsidR="00B10CC6" w:rsidRPr="00141C2E">
        <w:rPr>
          <w:rFonts w:ascii="Verdana" w:hAnsi="Verdana"/>
          <w:sz w:val="20"/>
          <w:szCs w:val="20"/>
        </w:rPr>
        <w:t xml:space="preserve"> the aforementioned factors led to an Adjusted Basic EPS1 of 6.1p (2022: 10.8p) and Basic EPS of (1.5p) (2022: 7.4p) in our Software Resilience business (</w:t>
      </w:r>
      <w:r w:rsidR="00BC5916" w:rsidRPr="00141C2E">
        <w:rPr>
          <w:rFonts w:ascii="Verdana" w:hAnsi="Verdana"/>
          <w:sz w:val="20"/>
          <w:szCs w:val="20"/>
        </w:rPr>
        <w:t>Annual report</w:t>
      </w:r>
      <w:r w:rsidR="00C635E7" w:rsidRPr="00141C2E">
        <w:rPr>
          <w:rFonts w:ascii="Verdana" w:hAnsi="Verdana"/>
          <w:sz w:val="20"/>
          <w:szCs w:val="20"/>
        </w:rPr>
        <w:t>,2023,</w:t>
      </w:r>
      <w:r w:rsidR="00B10CC6" w:rsidRPr="00141C2E">
        <w:rPr>
          <w:rFonts w:ascii="Verdana" w:hAnsi="Verdana"/>
          <w:sz w:val="20"/>
          <w:szCs w:val="20"/>
        </w:rPr>
        <w:t xml:space="preserve"> </w:t>
      </w:r>
      <w:r w:rsidR="00FD69DD" w:rsidRPr="00141C2E">
        <w:rPr>
          <w:rFonts w:ascii="Verdana" w:hAnsi="Verdana"/>
          <w:sz w:val="20"/>
          <w:szCs w:val="20"/>
        </w:rPr>
        <w:t>pg.</w:t>
      </w:r>
      <w:r w:rsidR="00B10CC6" w:rsidRPr="00141C2E">
        <w:rPr>
          <w:rFonts w:ascii="Verdana" w:hAnsi="Verdana"/>
          <w:sz w:val="20"/>
          <w:szCs w:val="20"/>
        </w:rPr>
        <w:t xml:space="preserve"> 7).</w:t>
      </w:r>
      <w:r w:rsidR="00E05DC5" w:rsidRPr="00141C2E">
        <w:rPr>
          <w:rFonts w:ascii="Verdana" w:hAnsi="Verdana"/>
          <w:sz w:val="20"/>
          <w:szCs w:val="20"/>
        </w:rPr>
        <w:t xml:space="preserve"> we saw the renewal of our IPM contracts for the first time in full, which helped the division grow by +7.5% on a constant currency basis1 to £64.3m (+14.2% at real rates). On an unaudited pro forma basis 2, total Software Resilience revenue experienced a drop of -0.5% at constant currency1 (+5.9% at real rates) after </w:t>
      </w:r>
      <w:r w:rsidR="00FD69DD" w:rsidRPr="00141C2E">
        <w:rPr>
          <w:rFonts w:ascii="Verdana" w:hAnsi="Verdana"/>
          <w:sz w:val="20"/>
          <w:szCs w:val="20"/>
        </w:rPr>
        <w:t>considering</w:t>
      </w:r>
      <w:r w:rsidR="00E05DC5" w:rsidRPr="00141C2E">
        <w:rPr>
          <w:rFonts w:ascii="Verdana" w:hAnsi="Verdana"/>
          <w:sz w:val="20"/>
          <w:szCs w:val="20"/>
        </w:rPr>
        <w:t xml:space="preserve"> the fair value revenue adjustment of £4.4 million from the previous year. Sales orders for our cloud-based escrow solution, Escrow-as-a-Service (EaaS), </w:t>
      </w:r>
      <w:r w:rsidR="00C635E7" w:rsidRPr="00141C2E">
        <w:rPr>
          <w:rFonts w:ascii="Verdana" w:hAnsi="Verdana"/>
          <w:sz w:val="20"/>
          <w:szCs w:val="20"/>
        </w:rPr>
        <w:t>totalled</w:t>
      </w:r>
      <w:r w:rsidR="00E05DC5" w:rsidRPr="00141C2E">
        <w:rPr>
          <w:rFonts w:ascii="Verdana" w:hAnsi="Verdana"/>
          <w:sz w:val="20"/>
          <w:szCs w:val="20"/>
        </w:rPr>
        <w:t xml:space="preserve"> £4.8 million, up 38% from the previous year (2022: £3.4 million). Consequently, it is encouraging to observe that our newly appointed leadership team, which was chosen in November 2022, is beginning to bring about momentum, steady quarterly growth, price increases, and the realisation of the efficiency contribution that was intended at the time of the May 2022</w:t>
      </w:r>
      <w:r w:rsidR="00C635E7" w:rsidRPr="00141C2E">
        <w:rPr>
          <w:rFonts w:ascii="Verdana" w:hAnsi="Verdana"/>
          <w:sz w:val="20"/>
          <w:szCs w:val="20"/>
        </w:rPr>
        <w:t xml:space="preserve"> </w:t>
      </w:r>
      <w:r w:rsidR="00C15CCA" w:rsidRPr="00141C2E">
        <w:rPr>
          <w:rFonts w:ascii="Verdana" w:hAnsi="Verdana"/>
          <w:sz w:val="20"/>
          <w:szCs w:val="20"/>
        </w:rPr>
        <w:t>(Annual</w:t>
      </w:r>
      <w:r w:rsidR="00420FB0" w:rsidRPr="00141C2E">
        <w:rPr>
          <w:rFonts w:ascii="Verdana" w:hAnsi="Verdana"/>
          <w:sz w:val="20"/>
          <w:szCs w:val="20"/>
        </w:rPr>
        <w:t xml:space="preserve"> report </w:t>
      </w:r>
      <w:r w:rsidR="005A2BEA" w:rsidRPr="00141C2E">
        <w:rPr>
          <w:rFonts w:ascii="Verdana" w:hAnsi="Verdana"/>
          <w:sz w:val="20"/>
          <w:szCs w:val="20"/>
        </w:rPr>
        <w:t>pg.</w:t>
      </w:r>
      <w:r w:rsidR="00420FB0" w:rsidRPr="00141C2E">
        <w:rPr>
          <w:rFonts w:ascii="Verdana" w:hAnsi="Verdana"/>
          <w:sz w:val="20"/>
          <w:szCs w:val="20"/>
        </w:rPr>
        <w:t xml:space="preserve"> 11)</w:t>
      </w:r>
    </w:p>
    <w:p w14:paraId="4BAC771F" w14:textId="209EF1C1" w:rsidR="005E3B39" w:rsidRPr="00141C2E" w:rsidRDefault="005E3B39" w:rsidP="003722FE">
      <w:pPr>
        <w:pStyle w:val="ListParagraph"/>
        <w:numPr>
          <w:ilvl w:val="0"/>
          <w:numId w:val="2"/>
        </w:numPr>
        <w:spacing w:line="360" w:lineRule="auto"/>
        <w:rPr>
          <w:rFonts w:ascii="Verdana" w:hAnsi="Verdana"/>
          <w:sz w:val="20"/>
          <w:szCs w:val="20"/>
        </w:rPr>
      </w:pPr>
      <w:r w:rsidRPr="00141C2E">
        <w:rPr>
          <w:rFonts w:ascii="Verdana" w:hAnsi="Verdana"/>
          <w:sz w:val="20"/>
          <w:szCs w:val="20"/>
        </w:rPr>
        <w:t xml:space="preserve">Non </w:t>
      </w:r>
      <w:r w:rsidR="005F2831" w:rsidRPr="00141C2E">
        <w:rPr>
          <w:rFonts w:ascii="Verdana" w:hAnsi="Verdana"/>
          <w:sz w:val="20"/>
          <w:szCs w:val="20"/>
        </w:rPr>
        <w:t>–</w:t>
      </w:r>
      <w:r w:rsidRPr="00141C2E">
        <w:rPr>
          <w:rFonts w:ascii="Verdana" w:hAnsi="Verdana"/>
          <w:sz w:val="20"/>
          <w:szCs w:val="20"/>
        </w:rPr>
        <w:t xml:space="preserve"> </w:t>
      </w:r>
      <w:r w:rsidR="005F2831" w:rsidRPr="00141C2E">
        <w:rPr>
          <w:rFonts w:ascii="Verdana" w:hAnsi="Verdana"/>
          <w:sz w:val="20"/>
          <w:szCs w:val="20"/>
        </w:rPr>
        <w:t xml:space="preserve">value enhancing motives / managerial </w:t>
      </w:r>
      <w:r w:rsidR="00FC4562" w:rsidRPr="00141C2E">
        <w:rPr>
          <w:rFonts w:ascii="Verdana" w:hAnsi="Verdana"/>
          <w:sz w:val="20"/>
          <w:szCs w:val="20"/>
        </w:rPr>
        <w:t>–</w:t>
      </w:r>
      <w:r w:rsidR="005F2831" w:rsidRPr="00141C2E">
        <w:rPr>
          <w:rFonts w:ascii="Verdana" w:hAnsi="Verdana"/>
          <w:sz w:val="20"/>
          <w:szCs w:val="20"/>
        </w:rPr>
        <w:t xml:space="preserve"> </w:t>
      </w:r>
    </w:p>
    <w:p w14:paraId="48842C14" w14:textId="4E5260C9" w:rsidR="00FC4562" w:rsidRPr="00141C2E" w:rsidRDefault="00C15CCA" w:rsidP="003722FE">
      <w:pPr>
        <w:pStyle w:val="ListParagraph"/>
        <w:spacing w:line="360" w:lineRule="auto"/>
        <w:rPr>
          <w:rFonts w:ascii="Verdana" w:hAnsi="Verdana"/>
          <w:sz w:val="20"/>
          <w:szCs w:val="20"/>
        </w:rPr>
      </w:pPr>
      <w:r w:rsidRPr="00141C2E">
        <w:rPr>
          <w:rFonts w:ascii="Verdana" w:hAnsi="Verdana"/>
          <w:sz w:val="20"/>
          <w:szCs w:val="20"/>
        </w:rPr>
        <w:t>Overseeing</w:t>
      </w:r>
      <w:r w:rsidR="00372081" w:rsidRPr="00141C2E">
        <w:rPr>
          <w:rFonts w:ascii="Verdana" w:hAnsi="Verdana"/>
          <w:sz w:val="20"/>
          <w:szCs w:val="20"/>
        </w:rPr>
        <w:t xml:space="preserve"> a bigger, more varied organisation may boost the CEO's reputation and possibly improve pay. The CEO may have had more negotiating leverage with suppliers, customers, and even the board of directors in a larger business.</w:t>
      </w:r>
    </w:p>
    <w:p w14:paraId="44811CDD" w14:textId="77777777" w:rsidR="00141C2E" w:rsidRDefault="00141C2E" w:rsidP="003722FE">
      <w:pPr>
        <w:pStyle w:val="ListParagraph"/>
        <w:spacing w:line="360" w:lineRule="auto"/>
        <w:rPr>
          <w:rFonts w:ascii="Verdana" w:hAnsi="Verdana"/>
          <w:b/>
          <w:bCs/>
          <w:sz w:val="20"/>
          <w:szCs w:val="20"/>
        </w:rPr>
      </w:pPr>
    </w:p>
    <w:p w14:paraId="4B3A4D30" w14:textId="0AA9A17E" w:rsidR="00372081" w:rsidRDefault="008B44E0" w:rsidP="003722FE">
      <w:pPr>
        <w:pStyle w:val="ListParagraph"/>
        <w:spacing w:line="360" w:lineRule="auto"/>
        <w:rPr>
          <w:rFonts w:ascii="Verdana" w:hAnsi="Verdana" w:cs="Arial"/>
          <w:color w:val="1F1F1F"/>
          <w:sz w:val="20"/>
          <w:szCs w:val="20"/>
          <w:shd w:val="clear" w:color="auto" w:fill="FFFFFF"/>
        </w:rPr>
      </w:pPr>
      <w:r w:rsidRPr="00141C2E">
        <w:rPr>
          <w:rFonts w:ascii="Verdana" w:hAnsi="Verdana"/>
          <w:b/>
          <w:bCs/>
          <w:sz w:val="20"/>
          <w:szCs w:val="20"/>
        </w:rPr>
        <w:t>Premium paid to company</w:t>
      </w:r>
      <w:r w:rsidR="00C635E7" w:rsidRPr="00141C2E">
        <w:rPr>
          <w:rFonts w:ascii="Verdana" w:hAnsi="Verdana"/>
          <w:sz w:val="20"/>
          <w:szCs w:val="20"/>
        </w:rPr>
        <w:t>-</w:t>
      </w:r>
      <w:r w:rsidR="00AB3992" w:rsidRPr="00141C2E">
        <w:rPr>
          <w:rFonts w:ascii="Verdana" w:hAnsi="Verdana"/>
          <w:sz w:val="20"/>
          <w:szCs w:val="20"/>
        </w:rPr>
        <w:t xml:space="preserve"> The proposed acquisition of IPM US by NCC Group was formally announced on April 5, 2021, for a consideration of £156 million, or about $220 million at the </w:t>
      </w:r>
      <w:r w:rsidR="00C15CCA" w:rsidRPr="00141C2E">
        <w:rPr>
          <w:rFonts w:ascii="Verdana" w:hAnsi="Verdana"/>
          <w:sz w:val="20"/>
          <w:szCs w:val="20"/>
        </w:rPr>
        <w:t>time. (</w:t>
      </w:r>
      <w:r w:rsidR="00FD69DD" w:rsidRPr="00141C2E">
        <w:rPr>
          <w:rFonts w:ascii="Verdana" w:hAnsi="Verdana"/>
          <w:sz w:val="20"/>
          <w:szCs w:val="20"/>
        </w:rPr>
        <w:t>Annual</w:t>
      </w:r>
      <w:r w:rsidR="00665C30" w:rsidRPr="00141C2E">
        <w:rPr>
          <w:rFonts w:ascii="Verdana" w:hAnsi="Verdana"/>
          <w:sz w:val="20"/>
          <w:szCs w:val="20"/>
        </w:rPr>
        <w:t xml:space="preserve"> </w:t>
      </w:r>
      <w:r w:rsidR="005A2BEA" w:rsidRPr="00141C2E">
        <w:rPr>
          <w:rFonts w:ascii="Verdana" w:hAnsi="Verdana"/>
          <w:sz w:val="20"/>
          <w:szCs w:val="20"/>
        </w:rPr>
        <w:t>report,</w:t>
      </w:r>
      <w:r w:rsidR="00665C30" w:rsidRPr="00141C2E">
        <w:rPr>
          <w:rFonts w:ascii="Verdana" w:hAnsi="Verdana"/>
          <w:sz w:val="20"/>
          <w:szCs w:val="20"/>
        </w:rPr>
        <w:t xml:space="preserve"> </w:t>
      </w:r>
      <w:r w:rsidR="00FD69DD" w:rsidRPr="00141C2E">
        <w:rPr>
          <w:rFonts w:ascii="Verdana" w:hAnsi="Verdana"/>
          <w:sz w:val="20"/>
          <w:szCs w:val="20"/>
        </w:rPr>
        <w:t>2023,</w:t>
      </w:r>
      <w:r w:rsidR="00665C30" w:rsidRPr="00141C2E">
        <w:rPr>
          <w:rFonts w:ascii="Verdana" w:hAnsi="Verdana"/>
          <w:sz w:val="20"/>
          <w:szCs w:val="20"/>
        </w:rPr>
        <w:t xml:space="preserve"> </w:t>
      </w:r>
      <w:r w:rsidR="00C15CCA" w:rsidRPr="00141C2E">
        <w:rPr>
          <w:rFonts w:ascii="Verdana" w:hAnsi="Verdana"/>
          <w:sz w:val="20"/>
          <w:szCs w:val="20"/>
        </w:rPr>
        <w:t>pg.</w:t>
      </w:r>
      <w:r w:rsidR="00665C30" w:rsidRPr="00141C2E">
        <w:rPr>
          <w:rFonts w:ascii="Verdana" w:hAnsi="Verdana"/>
          <w:sz w:val="20"/>
          <w:szCs w:val="20"/>
        </w:rPr>
        <w:t xml:space="preserve"> </w:t>
      </w:r>
      <w:r w:rsidR="00C15CCA" w:rsidRPr="00141C2E">
        <w:rPr>
          <w:rFonts w:ascii="Verdana" w:hAnsi="Verdana"/>
          <w:sz w:val="20"/>
          <w:szCs w:val="20"/>
        </w:rPr>
        <w:t>213).</w:t>
      </w:r>
      <w:r w:rsidR="00AB3992" w:rsidRPr="00141C2E">
        <w:rPr>
          <w:rFonts w:ascii="Verdana" w:hAnsi="Verdana"/>
          <w:sz w:val="20"/>
          <w:szCs w:val="20"/>
        </w:rPr>
        <w:t xml:space="preserve"> On June 1, 2021, the deal was finalised, verifying the £156 million purchase price. Funds from both current and new debt were used to finance the transaction. For NCC Group, the acquisition was anticipated to result in an immediate increase in earnings. NCC Group benefited from IPM US's complementing software resilience services, which increased their footprint in North America.</w:t>
      </w:r>
      <w:r w:rsidR="00FE74B3" w:rsidRPr="00141C2E">
        <w:rPr>
          <w:rFonts w:ascii="Verdana" w:hAnsi="Verdana"/>
          <w:sz w:val="20"/>
          <w:szCs w:val="20"/>
        </w:rPr>
        <w:t xml:space="preserve"> </w:t>
      </w:r>
      <w:r w:rsidR="002F268C" w:rsidRPr="00141C2E">
        <w:rPr>
          <w:rFonts w:ascii="Verdana" w:hAnsi="Verdana"/>
          <w:sz w:val="20"/>
          <w:szCs w:val="20"/>
        </w:rPr>
        <w:t xml:space="preserve">The long-term effects on the share price may differ from the immediate ones.  the acquisition was effective, the </w:t>
      </w:r>
      <w:r w:rsidR="005A2BEA" w:rsidRPr="00141C2E">
        <w:rPr>
          <w:rFonts w:ascii="Verdana" w:hAnsi="Verdana"/>
          <w:sz w:val="20"/>
          <w:szCs w:val="20"/>
        </w:rPr>
        <w:t>price riser</w:t>
      </w:r>
      <w:r w:rsidR="002F268C" w:rsidRPr="00141C2E">
        <w:rPr>
          <w:rFonts w:ascii="Verdana" w:hAnsi="Verdana"/>
          <w:sz w:val="20"/>
          <w:szCs w:val="20"/>
        </w:rPr>
        <w:t> and even reach its pre-acquisition levels, even though it may initially decline.</w:t>
      </w:r>
      <w:r w:rsidR="00974593" w:rsidRPr="00141C2E">
        <w:rPr>
          <w:rFonts w:ascii="Verdana" w:hAnsi="Verdana" w:cs="Arial"/>
          <w:color w:val="1F1F1F"/>
          <w:sz w:val="20"/>
          <w:szCs w:val="20"/>
          <w:shd w:val="clear" w:color="auto" w:fill="FFFFFF"/>
        </w:rPr>
        <w:t xml:space="preserve">  </w:t>
      </w:r>
      <w:r w:rsidR="004F3381" w:rsidRPr="00141C2E">
        <w:rPr>
          <w:rFonts w:ascii="Verdana" w:hAnsi="Verdana" w:cs="Arial"/>
          <w:color w:val="1F1F1F"/>
          <w:sz w:val="20"/>
          <w:szCs w:val="20"/>
          <w:shd w:val="clear" w:color="auto" w:fill="FFFFFF"/>
        </w:rPr>
        <w:t xml:space="preserve">There may be differences in the short- and long-term impacts on the share </w:t>
      </w:r>
      <w:r w:rsidR="005A2BEA" w:rsidRPr="00141C2E">
        <w:rPr>
          <w:rFonts w:ascii="Verdana" w:hAnsi="Verdana" w:cs="Arial"/>
          <w:color w:val="1F1F1F"/>
          <w:sz w:val="20"/>
          <w:szCs w:val="20"/>
          <w:shd w:val="clear" w:color="auto" w:fill="FFFFFF"/>
        </w:rPr>
        <w:t>price. Despite</w:t>
      </w:r>
      <w:r w:rsidR="004F3381" w:rsidRPr="00141C2E">
        <w:rPr>
          <w:rFonts w:ascii="Verdana" w:hAnsi="Verdana" w:cs="Arial"/>
          <w:color w:val="1F1F1F"/>
          <w:sz w:val="20"/>
          <w:szCs w:val="20"/>
          <w:shd w:val="clear" w:color="auto" w:fill="FFFFFF"/>
        </w:rPr>
        <w:t xml:space="preserve"> an initial decrease, the acquisition proved to be effective, as </w:t>
      </w:r>
      <w:r w:rsidR="004F3381" w:rsidRPr="00141C2E">
        <w:rPr>
          <w:rFonts w:ascii="Verdana" w:hAnsi="Verdana" w:cs="Arial"/>
          <w:color w:val="1F1F1F"/>
          <w:sz w:val="20"/>
          <w:szCs w:val="20"/>
          <w:shd w:val="clear" w:color="auto" w:fill="FFFFFF"/>
        </w:rPr>
        <w:lastRenderedPageBreak/>
        <w:t xml:space="preserve">seen by the price rising to even pre-acquisition levels.  Revenue may have been impacted in 2023 by any major shifts in strategic direction or leadership that resulted in brief uncertainty or strained client relations. The </w:t>
      </w:r>
      <w:r w:rsidR="005A2BEA" w:rsidRPr="00141C2E">
        <w:rPr>
          <w:rFonts w:ascii="Verdana" w:hAnsi="Verdana" w:cs="Arial"/>
          <w:color w:val="1F1F1F"/>
          <w:sz w:val="20"/>
          <w:szCs w:val="20"/>
          <w:shd w:val="clear" w:color="auto" w:fill="FFFFFF"/>
        </w:rPr>
        <w:t>near stagnation</w:t>
      </w:r>
      <w:r w:rsidR="004F3381" w:rsidRPr="00141C2E">
        <w:rPr>
          <w:rFonts w:ascii="Verdana" w:hAnsi="Verdana" w:cs="Arial"/>
          <w:color w:val="1F1F1F"/>
          <w:sz w:val="20"/>
          <w:szCs w:val="20"/>
          <w:shd w:val="clear" w:color="auto" w:fill="FFFFFF"/>
        </w:rPr>
        <w:t xml:space="preserve"> of Software Resilience (Escrow) revenue (-0.5%) may suggest limited growth in this area or possible market saturation for 2023, </w:t>
      </w:r>
      <w:r w:rsidR="00FD69DD" w:rsidRPr="00141C2E">
        <w:rPr>
          <w:rFonts w:ascii="Verdana" w:hAnsi="Verdana" w:cs="Arial"/>
          <w:color w:val="1F1F1F"/>
          <w:sz w:val="20"/>
          <w:szCs w:val="20"/>
          <w:shd w:val="clear" w:color="auto" w:fill="FFFFFF"/>
        </w:rPr>
        <w:t>even though</w:t>
      </w:r>
      <w:r w:rsidR="004F3381" w:rsidRPr="00141C2E">
        <w:rPr>
          <w:rFonts w:ascii="Verdana" w:hAnsi="Verdana" w:cs="Arial"/>
          <w:color w:val="1F1F1F"/>
          <w:sz w:val="20"/>
          <w:szCs w:val="20"/>
          <w:shd w:val="clear" w:color="auto" w:fill="FFFFFF"/>
        </w:rPr>
        <w:t xml:space="preserve"> it is not a big revenue </w:t>
      </w:r>
      <w:r w:rsidR="005A2BEA" w:rsidRPr="00141C2E">
        <w:rPr>
          <w:rFonts w:ascii="Verdana" w:hAnsi="Verdana" w:cs="Arial"/>
          <w:color w:val="1F1F1F"/>
          <w:sz w:val="20"/>
          <w:szCs w:val="20"/>
          <w:shd w:val="clear" w:color="auto" w:fill="FFFFFF"/>
        </w:rPr>
        <w:t>generator.</w:t>
      </w:r>
    </w:p>
    <w:p w14:paraId="4C945A21" w14:textId="43561181" w:rsidR="00F0218D" w:rsidRPr="00E96373" w:rsidRDefault="00F0218D" w:rsidP="003722FE">
      <w:pPr>
        <w:spacing w:line="360" w:lineRule="auto"/>
        <w:rPr>
          <w:rFonts w:ascii="Verdana" w:hAnsi="Verdana"/>
          <w:b/>
          <w:bCs/>
          <w:sz w:val="20"/>
          <w:szCs w:val="20"/>
        </w:rPr>
      </w:pPr>
      <w:r w:rsidRPr="00E96373">
        <w:rPr>
          <w:rFonts w:ascii="Verdana" w:hAnsi="Verdana"/>
          <w:b/>
          <w:bCs/>
          <w:sz w:val="20"/>
          <w:szCs w:val="20"/>
        </w:rPr>
        <w:t>Conclusion</w:t>
      </w:r>
    </w:p>
    <w:p w14:paraId="20EA037B" w14:textId="312714CF" w:rsidR="00F0218D" w:rsidRPr="00873192" w:rsidRDefault="00F0218D" w:rsidP="003722FE">
      <w:pPr>
        <w:spacing w:line="360" w:lineRule="auto"/>
        <w:rPr>
          <w:rFonts w:ascii="Verdana" w:hAnsi="Verdana"/>
          <w:sz w:val="20"/>
          <w:szCs w:val="20"/>
        </w:rPr>
      </w:pPr>
      <w:r w:rsidRPr="00987226">
        <w:rPr>
          <w:rFonts w:ascii="Verdana" w:hAnsi="Verdana"/>
          <w:sz w:val="20"/>
          <w:szCs w:val="20"/>
        </w:rPr>
        <w:t>In conclusion, NCC Group's emphasis on cybersecurity services generates recurring income, which helps to stabilise and predict future cash flows and improves SVA estimates.</w:t>
      </w:r>
      <w:r>
        <w:rPr>
          <w:rFonts w:ascii="Verdana" w:hAnsi="Verdana"/>
          <w:sz w:val="20"/>
          <w:szCs w:val="20"/>
        </w:rPr>
        <w:t xml:space="preserve"> </w:t>
      </w:r>
      <w:r w:rsidRPr="00987226">
        <w:rPr>
          <w:rFonts w:ascii="Verdana" w:hAnsi="Verdana"/>
          <w:sz w:val="20"/>
          <w:szCs w:val="20"/>
        </w:rPr>
        <w:t>NCC Group's business is in a moderately risky, high-growth industry, which indicates a lower KE than other industries. Because NCC Group keeps a high credit rating, they may obtain financing at favourable rates, which lowers their KD. The capital structure may be impacted by future M&amp;A or share repurchase actions, thus they must be carefully considered. The NCC Group has clearly improved its service offerings and broadened its market reach through strategic acquisitions like IPM US.</w:t>
      </w:r>
    </w:p>
    <w:p w14:paraId="7A6A45E5" w14:textId="77777777" w:rsidR="00176A56" w:rsidRDefault="00176A56" w:rsidP="003722FE">
      <w:pPr>
        <w:spacing w:line="360" w:lineRule="auto"/>
        <w:rPr>
          <w:rFonts w:ascii="Verdana" w:hAnsi="Verdana"/>
          <w:b/>
          <w:bCs/>
          <w:sz w:val="20"/>
          <w:szCs w:val="20"/>
        </w:rPr>
      </w:pPr>
      <w:r w:rsidRPr="00E96373">
        <w:rPr>
          <w:rFonts w:ascii="Verdana" w:hAnsi="Verdana"/>
          <w:b/>
          <w:bCs/>
          <w:sz w:val="20"/>
          <w:szCs w:val="20"/>
        </w:rPr>
        <w:t xml:space="preserve">Reference </w:t>
      </w:r>
    </w:p>
    <w:p w14:paraId="5A08537B" w14:textId="77777777" w:rsidR="00176A56" w:rsidRDefault="00176A56" w:rsidP="003722FE">
      <w:pPr>
        <w:tabs>
          <w:tab w:val="left" w:pos="1212"/>
        </w:tabs>
        <w:spacing w:line="360" w:lineRule="auto"/>
        <w:rPr>
          <w:rFonts w:ascii="Verdana" w:hAnsi="Verdana"/>
          <w:sz w:val="20"/>
          <w:szCs w:val="20"/>
        </w:rPr>
      </w:pPr>
      <w:r>
        <w:rPr>
          <w:rFonts w:ascii="Verdana" w:hAnsi="Verdana"/>
          <w:sz w:val="20"/>
          <w:szCs w:val="20"/>
        </w:rPr>
        <w:t xml:space="preserve"> NCC group Annual </w:t>
      </w:r>
      <w:proofErr w:type="gramStart"/>
      <w:r>
        <w:rPr>
          <w:rFonts w:ascii="Verdana" w:hAnsi="Verdana"/>
          <w:sz w:val="20"/>
          <w:szCs w:val="20"/>
        </w:rPr>
        <w:t>report ,</w:t>
      </w:r>
      <w:proofErr w:type="gramEnd"/>
      <w:r>
        <w:rPr>
          <w:rFonts w:ascii="Verdana" w:hAnsi="Verdana"/>
          <w:sz w:val="20"/>
          <w:szCs w:val="20"/>
        </w:rPr>
        <w:t xml:space="preserve"> 2023 to 2019 </w:t>
      </w:r>
    </w:p>
    <w:p w14:paraId="0C77881A" w14:textId="77777777" w:rsidR="00176A56" w:rsidRDefault="00176A56" w:rsidP="003722FE">
      <w:pPr>
        <w:pStyle w:val="NormalWeb"/>
        <w:spacing w:line="360" w:lineRule="auto"/>
        <w:ind w:left="567" w:hanging="567"/>
      </w:pPr>
      <w:r>
        <w:t xml:space="preserve">Riding, M. (2023) </w:t>
      </w:r>
      <w:r>
        <w:rPr>
          <w:i/>
          <w:iCs/>
        </w:rPr>
        <w:t>Companies</w:t>
      </w:r>
      <w:r>
        <w:t xml:space="preserve">, </w:t>
      </w:r>
      <w:r>
        <w:rPr>
          <w:i/>
          <w:iCs/>
        </w:rPr>
        <w:t>Dividend Max</w:t>
      </w:r>
      <w:r>
        <w:t xml:space="preserve">. Available at: https://www.dividendmax.com/united-kingdom/london-stock-exchange/software-and-computer-services/ncc-group/dividends (Accessed: 14 January 2024). </w:t>
      </w:r>
    </w:p>
    <w:p w14:paraId="60AD0EEE" w14:textId="77777777" w:rsidR="00176A56" w:rsidRDefault="00176A56" w:rsidP="003722FE">
      <w:pPr>
        <w:pStyle w:val="NormalWeb"/>
        <w:spacing w:line="360" w:lineRule="auto"/>
        <w:ind w:left="567" w:hanging="567"/>
      </w:pPr>
      <w:r>
        <w:rPr>
          <w:i/>
          <w:iCs/>
        </w:rPr>
        <w:t>London Stock Exchange: London Stock Exchange</w:t>
      </w:r>
      <w:r>
        <w:t xml:space="preserve"> </w:t>
      </w:r>
      <w:r>
        <w:rPr>
          <w:i/>
          <w:iCs/>
        </w:rPr>
        <w:t>London Stock Exchange | London Stock Exchange</w:t>
      </w:r>
      <w:r>
        <w:t xml:space="preserve">. Available at: https://www.londonstockexchange.com/stock/LSEG/london-stock-exchange-group-plc/company-page (Accessed: 14 January 2024). </w:t>
      </w:r>
    </w:p>
    <w:p w14:paraId="6A22B738" w14:textId="77777777" w:rsidR="00176A56" w:rsidRDefault="00176A56" w:rsidP="003722FE">
      <w:pPr>
        <w:pStyle w:val="NormalWeb"/>
        <w:spacing w:line="360" w:lineRule="auto"/>
        <w:ind w:left="567" w:hanging="567"/>
      </w:pPr>
      <w:r>
        <w:rPr>
          <w:i/>
          <w:iCs/>
        </w:rPr>
        <w:t>London Stock Exchange: London Stock Exchange</w:t>
      </w:r>
      <w:r>
        <w:t xml:space="preserve"> (no date a) </w:t>
      </w:r>
      <w:r>
        <w:rPr>
          <w:i/>
          <w:iCs/>
        </w:rPr>
        <w:t>London Stock Exchange | London Stock Exchange</w:t>
      </w:r>
      <w:r>
        <w:t xml:space="preserve">. Available at: https://www.londonstockexchange.com/stock/RCN/redcentric-plc/company-page (Accessed: 14 January 2024). </w:t>
      </w:r>
    </w:p>
    <w:p w14:paraId="50DBDBB9" w14:textId="77777777" w:rsidR="00176A56" w:rsidRDefault="00176A56" w:rsidP="003722FE">
      <w:pPr>
        <w:pStyle w:val="NormalWeb"/>
        <w:spacing w:line="360" w:lineRule="auto"/>
        <w:ind w:left="567" w:hanging="567"/>
      </w:pPr>
      <w:r>
        <w:rPr>
          <w:i/>
          <w:iCs/>
        </w:rPr>
        <w:t>News and insights</w:t>
      </w:r>
      <w:r>
        <w:t xml:space="preserve"> (2024a) </w:t>
      </w:r>
      <w:r>
        <w:rPr>
          <w:i/>
          <w:iCs/>
        </w:rPr>
        <w:t>Nasdaq</w:t>
      </w:r>
      <w:r>
        <w:t xml:space="preserve">. Available at: https://www.nasdaq.com/market-activity/s (Accessed: 14 January 2024). </w:t>
      </w:r>
    </w:p>
    <w:p w14:paraId="1D893621" w14:textId="77777777" w:rsidR="00176A56" w:rsidRDefault="00176A56" w:rsidP="003722FE">
      <w:pPr>
        <w:pStyle w:val="NormalWeb"/>
        <w:spacing w:line="360" w:lineRule="auto"/>
        <w:ind w:left="567" w:hanging="567"/>
      </w:pPr>
      <w:r>
        <w:rPr>
          <w:i/>
          <w:iCs/>
        </w:rPr>
        <w:t>Damodaran online: Home page for Aswath Damodaran</w:t>
      </w:r>
      <w:r>
        <w:t xml:space="preserve">. Available at: https://pages.stern.nyu.edu/~adamodar (Accessed: 14 January 2024). </w:t>
      </w:r>
    </w:p>
    <w:p w14:paraId="33EE555F" w14:textId="77777777" w:rsidR="00176A56" w:rsidRDefault="00176A56" w:rsidP="003722FE">
      <w:pPr>
        <w:pStyle w:val="NormalWeb"/>
        <w:spacing w:line="360" w:lineRule="auto"/>
        <w:ind w:left="567" w:hanging="567"/>
      </w:pPr>
      <w:r>
        <w:lastRenderedPageBreak/>
        <w:t xml:space="preserve">(2012) </w:t>
      </w:r>
      <w:r>
        <w:rPr>
          <w:i/>
          <w:iCs/>
        </w:rPr>
        <w:t>Damodaran on valuation</w:t>
      </w:r>
      <w:r>
        <w:t xml:space="preserve"> [Preprint]. doi:10.1002/9781119201786. </w:t>
      </w:r>
    </w:p>
    <w:p w14:paraId="594DFEFE" w14:textId="77777777" w:rsidR="00176A56" w:rsidRDefault="00176A56" w:rsidP="003722FE">
      <w:pPr>
        <w:pStyle w:val="NormalWeb"/>
        <w:spacing w:line="360" w:lineRule="auto"/>
        <w:ind w:left="567" w:hanging="567"/>
      </w:pPr>
      <w:r>
        <w:t xml:space="preserve"> D.H. (1985) ‘A review of: Edited by Richard H. Bernhard, North Carolina State    University “</w:t>
      </w:r>
      <w:r>
        <w:rPr>
          <w:i/>
          <w:iCs/>
        </w:rPr>
        <w:t>principles of corporate finance</w:t>
      </w:r>
      <w:r>
        <w:t xml:space="preserve">” by Richard Brealey and Stewart Myers, McGraw-Hill Book Company, Inc., New York, 1984, 2nd ed., XXIV + 847 pp., list $29.95.’, </w:t>
      </w:r>
      <w:r>
        <w:rPr>
          <w:i/>
          <w:iCs/>
        </w:rPr>
        <w:t>The Engineering Economist</w:t>
      </w:r>
      <w:r>
        <w:t xml:space="preserve">, 30(3), pp. 303–303. doi:10.1080/00137918508902917. </w:t>
      </w:r>
    </w:p>
    <w:p w14:paraId="203C3C2E" w14:textId="77777777" w:rsidR="00176A56" w:rsidRDefault="00176A56" w:rsidP="003722FE">
      <w:pPr>
        <w:pStyle w:val="NormalWeb"/>
        <w:spacing w:line="360" w:lineRule="auto"/>
        <w:ind w:left="567" w:hanging="567"/>
      </w:pPr>
      <w:r>
        <w:t>Annual report Kiva Technology Group, 2023</w:t>
      </w:r>
    </w:p>
    <w:p w14:paraId="41DD6563" w14:textId="77777777" w:rsidR="00176A56" w:rsidRDefault="00176A56" w:rsidP="003722FE">
      <w:pPr>
        <w:pStyle w:val="NormalWeb"/>
        <w:spacing w:line="360" w:lineRule="auto"/>
        <w:ind w:left="567" w:hanging="567"/>
      </w:pPr>
      <w:r>
        <w:t xml:space="preserve">Annual report </w:t>
      </w:r>
      <w:proofErr w:type="spellStart"/>
      <w:r>
        <w:t>Redcentric</w:t>
      </w:r>
      <w:proofErr w:type="spellEnd"/>
      <w:r>
        <w:t xml:space="preserve"> PLC, 2023</w:t>
      </w:r>
    </w:p>
    <w:p w14:paraId="6587550A" w14:textId="77777777" w:rsidR="00176A56" w:rsidRDefault="00176A56" w:rsidP="003722FE">
      <w:pPr>
        <w:pStyle w:val="NormalWeb"/>
        <w:spacing w:line="360" w:lineRule="auto"/>
        <w:ind w:left="567" w:hanging="567"/>
      </w:pPr>
      <w:r>
        <w:t>Annual report Tesca Technologies Inc,2023</w:t>
      </w:r>
    </w:p>
    <w:p w14:paraId="13D644D1" w14:textId="77777777" w:rsidR="00176A56" w:rsidRDefault="00176A56" w:rsidP="003722FE">
      <w:pPr>
        <w:pStyle w:val="NormalWeb"/>
        <w:spacing w:line="360" w:lineRule="auto"/>
        <w:ind w:left="567" w:hanging="567"/>
      </w:pPr>
      <w:proofErr w:type="spellStart"/>
      <w:r>
        <w:t>Symcox</w:t>
      </w:r>
      <w:proofErr w:type="spellEnd"/>
      <w:r>
        <w:t xml:space="preserve">, J. (2021) </w:t>
      </w:r>
      <w:r>
        <w:rPr>
          <w:i/>
          <w:iCs/>
        </w:rPr>
        <w:t>NCC Group makes £156m acquisition</w:t>
      </w:r>
      <w:r>
        <w:t xml:space="preserve">, </w:t>
      </w:r>
      <w:r>
        <w:rPr>
          <w:i/>
          <w:iCs/>
        </w:rPr>
        <w:t>Business Cloud</w:t>
      </w:r>
      <w:r>
        <w:t xml:space="preserve">. Available at: https://businesscloud.co.uk/news/ncc-group-makes-156m-acquisition/ (Accessed: 14 January 2024). </w:t>
      </w:r>
    </w:p>
    <w:p w14:paraId="0B3B15A4" w14:textId="77777777" w:rsidR="009B241F" w:rsidRPr="00141C2E" w:rsidRDefault="009B241F" w:rsidP="00B11C38">
      <w:pPr>
        <w:pStyle w:val="ListParagraph"/>
        <w:rPr>
          <w:rFonts w:ascii="Verdana" w:hAnsi="Verdana"/>
          <w:sz w:val="20"/>
          <w:szCs w:val="20"/>
        </w:rPr>
      </w:pPr>
    </w:p>
    <w:p w14:paraId="11726515" w14:textId="77777777" w:rsidR="00372081" w:rsidRPr="00141C2E" w:rsidRDefault="00372081" w:rsidP="00B11C38">
      <w:pPr>
        <w:pStyle w:val="ListParagraph"/>
        <w:rPr>
          <w:rFonts w:ascii="Verdana" w:hAnsi="Verdana"/>
          <w:sz w:val="20"/>
          <w:szCs w:val="20"/>
        </w:rPr>
      </w:pPr>
    </w:p>
    <w:p w14:paraId="3D413435" w14:textId="77777777" w:rsidR="00372081" w:rsidRPr="00141C2E" w:rsidRDefault="00372081" w:rsidP="00B11C38">
      <w:pPr>
        <w:pStyle w:val="ListParagraph"/>
        <w:rPr>
          <w:rFonts w:ascii="Verdana" w:hAnsi="Verdana"/>
          <w:sz w:val="20"/>
          <w:szCs w:val="20"/>
        </w:rPr>
      </w:pPr>
    </w:p>
    <w:p w14:paraId="10A29E4C" w14:textId="77777777" w:rsidR="00420FB0" w:rsidRPr="00141C2E" w:rsidRDefault="00420FB0" w:rsidP="00420FB0">
      <w:pPr>
        <w:pStyle w:val="ListParagraph"/>
        <w:rPr>
          <w:rFonts w:ascii="Verdana" w:hAnsi="Verdana"/>
          <w:sz w:val="20"/>
          <w:szCs w:val="20"/>
        </w:rPr>
      </w:pPr>
    </w:p>
    <w:p w14:paraId="262FF894" w14:textId="77777777" w:rsidR="00037F9E" w:rsidRPr="00141C2E" w:rsidRDefault="00037F9E" w:rsidP="002A2A50">
      <w:pPr>
        <w:rPr>
          <w:rFonts w:ascii="Verdana" w:hAnsi="Verdana"/>
          <w:sz w:val="20"/>
          <w:szCs w:val="20"/>
        </w:rPr>
      </w:pPr>
    </w:p>
    <w:p w14:paraId="12D98831" w14:textId="77777777" w:rsidR="00D06A20" w:rsidRPr="00141C2E" w:rsidRDefault="00D06A20" w:rsidP="00AA5396">
      <w:pPr>
        <w:rPr>
          <w:rFonts w:ascii="Verdana" w:hAnsi="Verdana"/>
          <w:sz w:val="20"/>
          <w:szCs w:val="20"/>
        </w:rPr>
      </w:pPr>
    </w:p>
    <w:p w14:paraId="19F50402" w14:textId="77777777" w:rsidR="000977AE" w:rsidRPr="00141C2E" w:rsidRDefault="000977AE" w:rsidP="009F3B67">
      <w:pPr>
        <w:rPr>
          <w:rFonts w:ascii="Verdana" w:hAnsi="Verdana"/>
          <w:sz w:val="20"/>
          <w:szCs w:val="20"/>
        </w:rPr>
      </w:pPr>
    </w:p>
    <w:p w14:paraId="51730C5E" w14:textId="77777777" w:rsidR="009F39EE" w:rsidRPr="00141C2E" w:rsidRDefault="009F39EE" w:rsidP="009F3B67">
      <w:pPr>
        <w:rPr>
          <w:rFonts w:ascii="Verdana" w:hAnsi="Verdana"/>
          <w:sz w:val="20"/>
          <w:szCs w:val="20"/>
        </w:rPr>
      </w:pPr>
    </w:p>
    <w:p w14:paraId="013F0394" w14:textId="77777777" w:rsidR="00336016" w:rsidRPr="00141C2E" w:rsidRDefault="00336016" w:rsidP="009F3B67">
      <w:pPr>
        <w:rPr>
          <w:rFonts w:ascii="Verdana" w:hAnsi="Verdana"/>
          <w:sz w:val="20"/>
          <w:szCs w:val="20"/>
        </w:rPr>
      </w:pPr>
    </w:p>
    <w:p w14:paraId="623124AD" w14:textId="77777777" w:rsidR="00336016" w:rsidRPr="00141C2E" w:rsidRDefault="00336016" w:rsidP="009F3B67">
      <w:pPr>
        <w:rPr>
          <w:rFonts w:ascii="Verdana" w:hAnsi="Verdana"/>
          <w:sz w:val="20"/>
          <w:szCs w:val="20"/>
        </w:rPr>
      </w:pPr>
    </w:p>
    <w:p w14:paraId="135188EF" w14:textId="77777777" w:rsidR="003B1030" w:rsidRPr="00141C2E" w:rsidRDefault="003B1030" w:rsidP="009F3B67">
      <w:pPr>
        <w:rPr>
          <w:rFonts w:ascii="Verdana" w:hAnsi="Verdana"/>
          <w:sz w:val="20"/>
          <w:szCs w:val="20"/>
        </w:rPr>
      </w:pPr>
    </w:p>
    <w:p w14:paraId="5B1986DB" w14:textId="77777777" w:rsidR="0071451E" w:rsidRPr="00141C2E" w:rsidRDefault="0071451E" w:rsidP="009F3B67">
      <w:pPr>
        <w:rPr>
          <w:rFonts w:ascii="Verdana" w:hAnsi="Verdana"/>
          <w:sz w:val="20"/>
          <w:szCs w:val="20"/>
        </w:rPr>
      </w:pPr>
    </w:p>
    <w:p w14:paraId="2F8B37CF" w14:textId="77777777" w:rsidR="00A242F7" w:rsidRPr="00141C2E" w:rsidRDefault="00A242F7">
      <w:pPr>
        <w:rPr>
          <w:rFonts w:ascii="Verdana" w:hAnsi="Verdana"/>
          <w:sz w:val="20"/>
          <w:szCs w:val="20"/>
        </w:rPr>
      </w:pPr>
    </w:p>
    <w:p w14:paraId="213E0C1A" w14:textId="77777777" w:rsidR="00A242F7" w:rsidRPr="00141C2E" w:rsidRDefault="00A242F7">
      <w:pPr>
        <w:rPr>
          <w:rFonts w:ascii="Verdana" w:hAnsi="Verdana"/>
          <w:sz w:val="20"/>
          <w:szCs w:val="20"/>
        </w:rPr>
      </w:pPr>
    </w:p>
    <w:p w14:paraId="450A0002" w14:textId="77777777" w:rsidR="00A242F7" w:rsidRPr="00141C2E" w:rsidRDefault="00A242F7">
      <w:pPr>
        <w:rPr>
          <w:rFonts w:ascii="Verdana" w:hAnsi="Verdana"/>
          <w:sz w:val="20"/>
          <w:szCs w:val="20"/>
        </w:rPr>
      </w:pPr>
    </w:p>
    <w:p w14:paraId="78AF629F" w14:textId="77777777" w:rsidR="00A242F7" w:rsidRPr="00141C2E" w:rsidRDefault="00A242F7">
      <w:pPr>
        <w:rPr>
          <w:rFonts w:ascii="Verdana" w:hAnsi="Verdana"/>
          <w:sz w:val="20"/>
          <w:szCs w:val="20"/>
        </w:rPr>
      </w:pPr>
    </w:p>
    <w:p w14:paraId="49293788" w14:textId="77777777" w:rsidR="00A242F7" w:rsidRPr="00141C2E" w:rsidRDefault="00A242F7">
      <w:pPr>
        <w:rPr>
          <w:rFonts w:ascii="Verdana" w:hAnsi="Verdana"/>
          <w:sz w:val="20"/>
          <w:szCs w:val="20"/>
        </w:rPr>
      </w:pPr>
    </w:p>
    <w:p w14:paraId="4B1BB4FE" w14:textId="77777777" w:rsidR="00A242F7" w:rsidRPr="00141C2E" w:rsidRDefault="00A242F7">
      <w:pPr>
        <w:rPr>
          <w:rFonts w:ascii="Verdana" w:hAnsi="Verdana"/>
          <w:sz w:val="20"/>
          <w:szCs w:val="20"/>
        </w:rPr>
      </w:pPr>
    </w:p>
    <w:p w14:paraId="43B702CB" w14:textId="77777777" w:rsidR="00A242F7" w:rsidRPr="00141C2E" w:rsidRDefault="00A242F7">
      <w:pPr>
        <w:rPr>
          <w:rFonts w:ascii="Verdana" w:hAnsi="Verdana"/>
          <w:sz w:val="20"/>
          <w:szCs w:val="20"/>
        </w:rPr>
      </w:pPr>
    </w:p>
    <w:p w14:paraId="2C0D3194" w14:textId="77777777" w:rsidR="00A242F7" w:rsidRPr="00141C2E" w:rsidRDefault="00A242F7">
      <w:pPr>
        <w:rPr>
          <w:rFonts w:ascii="Verdana" w:hAnsi="Verdana"/>
          <w:sz w:val="20"/>
          <w:szCs w:val="20"/>
        </w:rPr>
      </w:pPr>
    </w:p>
    <w:p w14:paraId="082EA100" w14:textId="77777777" w:rsidR="00A242F7" w:rsidRPr="00141C2E" w:rsidRDefault="00A242F7">
      <w:pPr>
        <w:rPr>
          <w:rFonts w:ascii="Verdana" w:hAnsi="Verdana"/>
          <w:sz w:val="20"/>
          <w:szCs w:val="20"/>
        </w:rPr>
      </w:pPr>
    </w:p>
    <w:p w14:paraId="480FBDC7" w14:textId="77777777" w:rsidR="00A242F7" w:rsidRPr="00141C2E" w:rsidRDefault="00A242F7">
      <w:pPr>
        <w:rPr>
          <w:rFonts w:ascii="Verdana" w:hAnsi="Verdana"/>
          <w:sz w:val="20"/>
          <w:szCs w:val="20"/>
        </w:rPr>
      </w:pPr>
    </w:p>
    <w:p w14:paraId="07716ED6" w14:textId="77777777" w:rsidR="00A242F7" w:rsidRPr="00141C2E" w:rsidRDefault="00A242F7">
      <w:pPr>
        <w:rPr>
          <w:rFonts w:ascii="Verdana" w:hAnsi="Verdana"/>
          <w:sz w:val="20"/>
          <w:szCs w:val="20"/>
        </w:rPr>
      </w:pPr>
    </w:p>
    <w:p w14:paraId="506CDD4C" w14:textId="77777777" w:rsidR="000325B9" w:rsidRPr="00141C2E" w:rsidRDefault="000325B9">
      <w:pPr>
        <w:rPr>
          <w:rFonts w:ascii="Verdana" w:hAnsi="Verdana"/>
          <w:sz w:val="20"/>
          <w:szCs w:val="20"/>
        </w:rPr>
      </w:pPr>
    </w:p>
    <w:sectPr w:rsidR="000325B9" w:rsidRPr="00141C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2AF63" w14:textId="77777777" w:rsidR="008A2DAC" w:rsidRDefault="008A2DAC" w:rsidP="00A242F7">
      <w:pPr>
        <w:spacing w:after="0" w:line="240" w:lineRule="auto"/>
      </w:pPr>
      <w:r>
        <w:separator/>
      </w:r>
    </w:p>
  </w:endnote>
  <w:endnote w:type="continuationSeparator" w:id="0">
    <w:p w14:paraId="0A83314B" w14:textId="77777777" w:rsidR="008A2DAC" w:rsidRDefault="008A2DAC" w:rsidP="00A242F7">
      <w:pPr>
        <w:spacing w:after="0" w:line="240" w:lineRule="auto"/>
      </w:pPr>
      <w:r>
        <w:continuationSeparator/>
      </w:r>
    </w:p>
  </w:endnote>
  <w:endnote w:type="continuationNotice" w:id="1">
    <w:p w14:paraId="2BE5912A" w14:textId="77777777" w:rsidR="008A2DAC" w:rsidRDefault="008A2D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F2308" w14:textId="77777777" w:rsidR="00FA6691" w:rsidRDefault="00FA6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190807"/>
      <w:docPartObj>
        <w:docPartGallery w:val="Page Numbers (Bottom of Page)"/>
        <w:docPartUnique/>
      </w:docPartObj>
    </w:sdtPr>
    <w:sdtEndPr>
      <w:rPr>
        <w:noProof/>
      </w:rPr>
    </w:sdtEndPr>
    <w:sdtContent>
      <w:p w14:paraId="74030821" w14:textId="228BF5F0" w:rsidR="001D01C7" w:rsidRDefault="001D0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453EB" w14:textId="5386C366" w:rsidR="00432817" w:rsidRDefault="004328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7B86A" w14:textId="77777777" w:rsidR="00FA6691" w:rsidRDefault="00FA6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A90B2" w14:textId="77777777" w:rsidR="008A2DAC" w:rsidRDefault="008A2DAC" w:rsidP="00A242F7">
      <w:pPr>
        <w:spacing w:after="0" w:line="240" w:lineRule="auto"/>
      </w:pPr>
      <w:r>
        <w:separator/>
      </w:r>
    </w:p>
  </w:footnote>
  <w:footnote w:type="continuationSeparator" w:id="0">
    <w:p w14:paraId="6CEEB703" w14:textId="77777777" w:rsidR="008A2DAC" w:rsidRDefault="008A2DAC" w:rsidP="00A242F7">
      <w:pPr>
        <w:spacing w:after="0" w:line="240" w:lineRule="auto"/>
      </w:pPr>
      <w:r>
        <w:continuationSeparator/>
      </w:r>
    </w:p>
  </w:footnote>
  <w:footnote w:type="continuationNotice" w:id="1">
    <w:p w14:paraId="36D87B92" w14:textId="77777777" w:rsidR="008A2DAC" w:rsidRDefault="008A2D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275CF" w14:textId="77777777" w:rsidR="00FA6691" w:rsidRDefault="00FA6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EFAA" w14:textId="2CEA867D" w:rsidR="00D32181" w:rsidRPr="00D32181" w:rsidRDefault="00D32181" w:rsidP="00603CC1">
    <w:pPr>
      <w:spacing w:line="240" w:lineRule="auto"/>
      <w:rPr>
        <w:rFonts w:eastAsia="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C385E" w14:textId="77777777" w:rsidR="00FA6691" w:rsidRDefault="00FA6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10955"/>
    <w:multiLevelType w:val="hybridMultilevel"/>
    <w:tmpl w:val="761A2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B5756E"/>
    <w:multiLevelType w:val="hybridMultilevel"/>
    <w:tmpl w:val="B430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A4486E"/>
    <w:multiLevelType w:val="hybridMultilevel"/>
    <w:tmpl w:val="1BDE6FFE"/>
    <w:lvl w:ilvl="0" w:tplc="B19094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162528"/>
    <w:multiLevelType w:val="multilevel"/>
    <w:tmpl w:val="2FD0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5270B"/>
    <w:multiLevelType w:val="multilevel"/>
    <w:tmpl w:val="187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245974">
    <w:abstractNumId w:val="3"/>
  </w:num>
  <w:num w:numId="2" w16cid:durableId="1663585363">
    <w:abstractNumId w:val="2"/>
  </w:num>
  <w:num w:numId="3" w16cid:durableId="2031494606">
    <w:abstractNumId w:val="4"/>
  </w:num>
  <w:num w:numId="4" w16cid:durableId="1242376180">
    <w:abstractNumId w:val="0"/>
  </w:num>
  <w:num w:numId="5" w16cid:durableId="177041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B9"/>
    <w:rsid w:val="00012BDC"/>
    <w:rsid w:val="00013720"/>
    <w:rsid w:val="0001429D"/>
    <w:rsid w:val="0001485F"/>
    <w:rsid w:val="000172D0"/>
    <w:rsid w:val="00017F3F"/>
    <w:rsid w:val="00020383"/>
    <w:rsid w:val="000203E7"/>
    <w:rsid w:val="00020E9A"/>
    <w:rsid w:val="000325B9"/>
    <w:rsid w:val="00037F9E"/>
    <w:rsid w:val="000406FF"/>
    <w:rsid w:val="00043217"/>
    <w:rsid w:val="00046D93"/>
    <w:rsid w:val="00051CF0"/>
    <w:rsid w:val="00056972"/>
    <w:rsid w:val="000577A7"/>
    <w:rsid w:val="0006664E"/>
    <w:rsid w:val="00066D17"/>
    <w:rsid w:val="0007442F"/>
    <w:rsid w:val="00077E37"/>
    <w:rsid w:val="000837AF"/>
    <w:rsid w:val="00086580"/>
    <w:rsid w:val="0009488D"/>
    <w:rsid w:val="0009643F"/>
    <w:rsid w:val="000977AE"/>
    <w:rsid w:val="000A30EF"/>
    <w:rsid w:val="000A357E"/>
    <w:rsid w:val="000B3A75"/>
    <w:rsid w:val="000B419F"/>
    <w:rsid w:val="000B61DA"/>
    <w:rsid w:val="000B6BEE"/>
    <w:rsid w:val="000D1242"/>
    <w:rsid w:val="000D12B8"/>
    <w:rsid w:val="000D7974"/>
    <w:rsid w:val="000E1364"/>
    <w:rsid w:val="000F194D"/>
    <w:rsid w:val="000F3213"/>
    <w:rsid w:val="00101FE7"/>
    <w:rsid w:val="0010574C"/>
    <w:rsid w:val="00125647"/>
    <w:rsid w:val="0013760B"/>
    <w:rsid w:val="001416A8"/>
    <w:rsid w:val="00141B78"/>
    <w:rsid w:val="00141C2E"/>
    <w:rsid w:val="00153549"/>
    <w:rsid w:val="00155C69"/>
    <w:rsid w:val="00157D50"/>
    <w:rsid w:val="0016009A"/>
    <w:rsid w:val="001741D6"/>
    <w:rsid w:val="00176A56"/>
    <w:rsid w:val="001810AF"/>
    <w:rsid w:val="00182D27"/>
    <w:rsid w:val="00185686"/>
    <w:rsid w:val="00185859"/>
    <w:rsid w:val="00186150"/>
    <w:rsid w:val="001912CF"/>
    <w:rsid w:val="001947CA"/>
    <w:rsid w:val="00196AEE"/>
    <w:rsid w:val="0019755E"/>
    <w:rsid w:val="001B5940"/>
    <w:rsid w:val="001C0C74"/>
    <w:rsid w:val="001C1E7D"/>
    <w:rsid w:val="001D01C7"/>
    <w:rsid w:val="001E20F1"/>
    <w:rsid w:val="001E67D9"/>
    <w:rsid w:val="001F69A0"/>
    <w:rsid w:val="00200219"/>
    <w:rsid w:val="002004E1"/>
    <w:rsid w:val="00202FC6"/>
    <w:rsid w:val="002128D0"/>
    <w:rsid w:val="00216BC7"/>
    <w:rsid w:val="00217CCC"/>
    <w:rsid w:val="00224E72"/>
    <w:rsid w:val="002329C0"/>
    <w:rsid w:val="0023442A"/>
    <w:rsid w:val="002415F8"/>
    <w:rsid w:val="0024767A"/>
    <w:rsid w:val="00247DE9"/>
    <w:rsid w:val="00255B32"/>
    <w:rsid w:val="00264C58"/>
    <w:rsid w:val="00271768"/>
    <w:rsid w:val="00280ECB"/>
    <w:rsid w:val="00286AE5"/>
    <w:rsid w:val="00290385"/>
    <w:rsid w:val="00293F2E"/>
    <w:rsid w:val="002958DD"/>
    <w:rsid w:val="0029713E"/>
    <w:rsid w:val="002A2A50"/>
    <w:rsid w:val="002B0E11"/>
    <w:rsid w:val="002B12BE"/>
    <w:rsid w:val="002B5EA0"/>
    <w:rsid w:val="002C071E"/>
    <w:rsid w:val="002C31B7"/>
    <w:rsid w:val="002C781F"/>
    <w:rsid w:val="002E10A2"/>
    <w:rsid w:val="002F268C"/>
    <w:rsid w:val="0030135D"/>
    <w:rsid w:val="003018E8"/>
    <w:rsid w:val="00336016"/>
    <w:rsid w:val="003362E0"/>
    <w:rsid w:val="00346F13"/>
    <w:rsid w:val="00350870"/>
    <w:rsid w:val="00354C71"/>
    <w:rsid w:val="003565E8"/>
    <w:rsid w:val="00356CDE"/>
    <w:rsid w:val="00372081"/>
    <w:rsid w:val="003722FE"/>
    <w:rsid w:val="00377138"/>
    <w:rsid w:val="0038104A"/>
    <w:rsid w:val="0038173D"/>
    <w:rsid w:val="003A2376"/>
    <w:rsid w:val="003A3D66"/>
    <w:rsid w:val="003A72A6"/>
    <w:rsid w:val="003B0572"/>
    <w:rsid w:val="003B08A1"/>
    <w:rsid w:val="003B1030"/>
    <w:rsid w:val="003B66B4"/>
    <w:rsid w:val="003C27D7"/>
    <w:rsid w:val="003D4AD1"/>
    <w:rsid w:val="003D710C"/>
    <w:rsid w:val="003E7387"/>
    <w:rsid w:val="003F0303"/>
    <w:rsid w:val="003F4AF5"/>
    <w:rsid w:val="003F6BF4"/>
    <w:rsid w:val="004040DB"/>
    <w:rsid w:val="00413BDA"/>
    <w:rsid w:val="004175D3"/>
    <w:rsid w:val="00420FB0"/>
    <w:rsid w:val="004240F1"/>
    <w:rsid w:val="00425149"/>
    <w:rsid w:val="00430BB8"/>
    <w:rsid w:val="00432817"/>
    <w:rsid w:val="00432B20"/>
    <w:rsid w:val="00436659"/>
    <w:rsid w:val="00441D51"/>
    <w:rsid w:val="00443FDF"/>
    <w:rsid w:val="00444D10"/>
    <w:rsid w:val="00446BC2"/>
    <w:rsid w:val="00451B83"/>
    <w:rsid w:val="00460409"/>
    <w:rsid w:val="004616ED"/>
    <w:rsid w:val="0046624A"/>
    <w:rsid w:val="00473124"/>
    <w:rsid w:val="00473173"/>
    <w:rsid w:val="00475184"/>
    <w:rsid w:val="00480171"/>
    <w:rsid w:val="00486AD0"/>
    <w:rsid w:val="00487E08"/>
    <w:rsid w:val="00495C78"/>
    <w:rsid w:val="004968B4"/>
    <w:rsid w:val="004A41CC"/>
    <w:rsid w:val="004B0BD7"/>
    <w:rsid w:val="004B0D86"/>
    <w:rsid w:val="004B3EEA"/>
    <w:rsid w:val="004C4870"/>
    <w:rsid w:val="004C55DD"/>
    <w:rsid w:val="004C638D"/>
    <w:rsid w:val="004D0517"/>
    <w:rsid w:val="004D3670"/>
    <w:rsid w:val="004D42B9"/>
    <w:rsid w:val="004E32BF"/>
    <w:rsid w:val="004E4EE2"/>
    <w:rsid w:val="004F3381"/>
    <w:rsid w:val="004F506A"/>
    <w:rsid w:val="00500D7B"/>
    <w:rsid w:val="00500EF5"/>
    <w:rsid w:val="00505445"/>
    <w:rsid w:val="0050634A"/>
    <w:rsid w:val="00516D54"/>
    <w:rsid w:val="00525C59"/>
    <w:rsid w:val="005261C5"/>
    <w:rsid w:val="00533573"/>
    <w:rsid w:val="005465F5"/>
    <w:rsid w:val="00567D9D"/>
    <w:rsid w:val="005746DF"/>
    <w:rsid w:val="00576792"/>
    <w:rsid w:val="00584F7D"/>
    <w:rsid w:val="00586571"/>
    <w:rsid w:val="0058712B"/>
    <w:rsid w:val="00593D4D"/>
    <w:rsid w:val="00594656"/>
    <w:rsid w:val="005A2BEA"/>
    <w:rsid w:val="005A57BC"/>
    <w:rsid w:val="005C39C1"/>
    <w:rsid w:val="005E3B39"/>
    <w:rsid w:val="005F2831"/>
    <w:rsid w:val="00600FBF"/>
    <w:rsid w:val="00601A5E"/>
    <w:rsid w:val="00603CC1"/>
    <w:rsid w:val="00611065"/>
    <w:rsid w:val="0061778C"/>
    <w:rsid w:val="00617FB0"/>
    <w:rsid w:val="006203E8"/>
    <w:rsid w:val="00625256"/>
    <w:rsid w:val="0062676B"/>
    <w:rsid w:val="00630AF4"/>
    <w:rsid w:val="006323D5"/>
    <w:rsid w:val="0063297D"/>
    <w:rsid w:val="00633038"/>
    <w:rsid w:val="0064523A"/>
    <w:rsid w:val="00646A0A"/>
    <w:rsid w:val="006471F1"/>
    <w:rsid w:val="00651B4D"/>
    <w:rsid w:val="0065268B"/>
    <w:rsid w:val="00655A51"/>
    <w:rsid w:val="00662EE6"/>
    <w:rsid w:val="00663AD3"/>
    <w:rsid w:val="00665C30"/>
    <w:rsid w:val="00670491"/>
    <w:rsid w:val="0067350D"/>
    <w:rsid w:val="006841B4"/>
    <w:rsid w:val="0068677F"/>
    <w:rsid w:val="006969ED"/>
    <w:rsid w:val="006A1345"/>
    <w:rsid w:val="006B3FE6"/>
    <w:rsid w:val="006B4CDC"/>
    <w:rsid w:val="006B6BEC"/>
    <w:rsid w:val="006B71FD"/>
    <w:rsid w:val="006C1557"/>
    <w:rsid w:val="006C2659"/>
    <w:rsid w:val="006C2E8C"/>
    <w:rsid w:val="006C42F9"/>
    <w:rsid w:val="006D6195"/>
    <w:rsid w:val="006D6A73"/>
    <w:rsid w:val="006E2E75"/>
    <w:rsid w:val="006E3298"/>
    <w:rsid w:val="006E371E"/>
    <w:rsid w:val="006F1692"/>
    <w:rsid w:val="00702BD2"/>
    <w:rsid w:val="00706F69"/>
    <w:rsid w:val="0071451E"/>
    <w:rsid w:val="007257F8"/>
    <w:rsid w:val="00730FCD"/>
    <w:rsid w:val="0073331F"/>
    <w:rsid w:val="007368CD"/>
    <w:rsid w:val="00745F6D"/>
    <w:rsid w:val="007505C6"/>
    <w:rsid w:val="0075792A"/>
    <w:rsid w:val="007701CC"/>
    <w:rsid w:val="00773C97"/>
    <w:rsid w:val="007801F3"/>
    <w:rsid w:val="00785B31"/>
    <w:rsid w:val="00786CA9"/>
    <w:rsid w:val="0078720B"/>
    <w:rsid w:val="00795582"/>
    <w:rsid w:val="007A21A6"/>
    <w:rsid w:val="007B10DA"/>
    <w:rsid w:val="007B5D6B"/>
    <w:rsid w:val="007B7686"/>
    <w:rsid w:val="007C3ECD"/>
    <w:rsid w:val="007C5DBF"/>
    <w:rsid w:val="007C6274"/>
    <w:rsid w:val="007D2569"/>
    <w:rsid w:val="007D3FD4"/>
    <w:rsid w:val="007D7EC5"/>
    <w:rsid w:val="007E1339"/>
    <w:rsid w:val="007E1DB7"/>
    <w:rsid w:val="007E6EC1"/>
    <w:rsid w:val="007E7853"/>
    <w:rsid w:val="007F39C9"/>
    <w:rsid w:val="007F3DCF"/>
    <w:rsid w:val="00802C31"/>
    <w:rsid w:val="00804BE4"/>
    <w:rsid w:val="0081012A"/>
    <w:rsid w:val="00811A0C"/>
    <w:rsid w:val="00814795"/>
    <w:rsid w:val="00817B8A"/>
    <w:rsid w:val="00823A66"/>
    <w:rsid w:val="00823ABA"/>
    <w:rsid w:val="00824103"/>
    <w:rsid w:val="00825483"/>
    <w:rsid w:val="00834370"/>
    <w:rsid w:val="00846630"/>
    <w:rsid w:val="008563BC"/>
    <w:rsid w:val="008626D1"/>
    <w:rsid w:val="00873192"/>
    <w:rsid w:val="00880939"/>
    <w:rsid w:val="00886F5F"/>
    <w:rsid w:val="0089453C"/>
    <w:rsid w:val="008A2DAC"/>
    <w:rsid w:val="008B3060"/>
    <w:rsid w:val="008B44E0"/>
    <w:rsid w:val="008B65A4"/>
    <w:rsid w:val="008B794D"/>
    <w:rsid w:val="008C6B2C"/>
    <w:rsid w:val="008C74A8"/>
    <w:rsid w:val="008E3F67"/>
    <w:rsid w:val="0090317D"/>
    <w:rsid w:val="00903FC7"/>
    <w:rsid w:val="00924B3B"/>
    <w:rsid w:val="009273B3"/>
    <w:rsid w:val="009300D1"/>
    <w:rsid w:val="009413D9"/>
    <w:rsid w:val="0094618B"/>
    <w:rsid w:val="00953CC2"/>
    <w:rsid w:val="00956589"/>
    <w:rsid w:val="00970558"/>
    <w:rsid w:val="00974593"/>
    <w:rsid w:val="00981028"/>
    <w:rsid w:val="00987226"/>
    <w:rsid w:val="009A4838"/>
    <w:rsid w:val="009A7C9B"/>
    <w:rsid w:val="009B241F"/>
    <w:rsid w:val="009B45D4"/>
    <w:rsid w:val="009C62CB"/>
    <w:rsid w:val="009D0647"/>
    <w:rsid w:val="009D4C7A"/>
    <w:rsid w:val="009D7061"/>
    <w:rsid w:val="009E3B6E"/>
    <w:rsid w:val="009E416D"/>
    <w:rsid w:val="009E54E2"/>
    <w:rsid w:val="009F078F"/>
    <w:rsid w:val="009F17C8"/>
    <w:rsid w:val="009F39EE"/>
    <w:rsid w:val="009F3B67"/>
    <w:rsid w:val="009F5880"/>
    <w:rsid w:val="009F7014"/>
    <w:rsid w:val="009F7AC2"/>
    <w:rsid w:val="00A050A7"/>
    <w:rsid w:val="00A11227"/>
    <w:rsid w:val="00A114A8"/>
    <w:rsid w:val="00A12E1D"/>
    <w:rsid w:val="00A1394C"/>
    <w:rsid w:val="00A13D77"/>
    <w:rsid w:val="00A1464B"/>
    <w:rsid w:val="00A1663B"/>
    <w:rsid w:val="00A22682"/>
    <w:rsid w:val="00A24074"/>
    <w:rsid w:val="00A242F7"/>
    <w:rsid w:val="00A414BB"/>
    <w:rsid w:val="00A41901"/>
    <w:rsid w:val="00A42292"/>
    <w:rsid w:val="00A57044"/>
    <w:rsid w:val="00A613AA"/>
    <w:rsid w:val="00A637D6"/>
    <w:rsid w:val="00A66FE2"/>
    <w:rsid w:val="00A81C12"/>
    <w:rsid w:val="00A86763"/>
    <w:rsid w:val="00A87706"/>
    <w:rsid w:val="00A91EE9"/>
    <w:rsid w:val="00A953D4"/>
    <w:rsid w:val="00A95856"/>
    <w:rsid w:val="00AA5396"/>
    <w:rsid w:val="00AB3992"/>
    <w:rsid w:val="00AB66B4"/>
    <w:rsid w:val="00AB6952"/>
    <w:rsid w:val="00AC062F"/>
    <w:rsid w:val="00AC1762"/>
    <w:rsid w:val="00AC669E"/>
    <w:rsid w:val="00AC728C"/>
    <w:rsid w:val="00AD099C"/>
    <w:rsid w:val="00AD12CF"/>
    <w:rsid w:val="00AD7A88"/>
    <w:rsid w:val="00AE35EB"/>
    <w:rsid w:val="00AF31C6"/>
    <w:rsid w:val="00B03B91"/>
    <w:rsid w:val="00B06F67"/>
    <w:rsid w:val="00B10CC6"/>
    <w:rsid w:val="00B11C38"/>
    <w:rsid w:val="00B2088D"/>
    <w:rsid w:val="00B20C5A"/>
    <w:rsid w:val="00B21857"/>
    <w:rsid w:val="00B251DE"/>
    <w:rsid w:val="00B2680B"/>
    <w:rsid w:val="00B325A5"/>
    <w:rsid w:val="00B3721A"/>
    <w:rsid w:val="00B417DF"/>
    <w:rsid w:val="00B55A42"/>
    <w:rsid w:val="00B566FC"/>
    <w:rsid w:val="00B5754F"/>
    <w:rsid w:val="00B60D9C"/>
    <w:rsid w:val="00B60F7F"/>
    <w:rsid w:val="00B64273"/>
    <w:rsid w:val="00B658BA"/>
    <w:rsid w:val="00B67326"/>
    <w:rsid w:val="00B7005C"/>
    <w:rsid w:val="00B71592"/>
    <w:rsid w:val="00B71AB6"/>
    <w:rsid w:val="00B74916"/>
    <w:rsid w:val="00B80469"/>
    <w:rsid w:val="00B8417A"/>
    <w:rsid w:val="00B934A5"/>
    <w:rsid w:val="00BB4D3D"/>
    <w:rsid w:val="00BB7198"/>
    <w:rsid w:val="00BB7F3F"/>
    <w:rsid w:val="00BC3286"/>
    <w:rsid w:val="00BC3B18"/>
    <w:rsid w:val="00BC5916"/>
    <w:rsid w:val="00BD06DB"/>
    <w:rsid w:val="00BD33B0"/>
    <w:rsid w:val="00BE190E"/>
    <w:rsid w:val="00BF5061"/>
    <w:rsid w:val="00C01360"/>
    <w:rsid w:val="00C01B05"/>
    <w:rsid w:val="00C05BCF"/>
    <w:rsid w:val="00C1360A"/>
    <w:rsid w:val="00C15CCA"/>
    <w:rsid w:val="00C17ACF"/>
    <w:rsid w:val="00C2354E"/>
    <w:rsid w:val="00C27940"/>
    <w:rsid w:val="00C33EFD"/>
    <w:rsid w:val="00C3639F"/>
    <w:rsid w:val="00C36F68"/>
    <w:rsid w:val="00C42F46"/>
    <w:rsid w:val="00C46520"/>
    <w:rsid w:val="00C50AC0"/>
    <w:rsid w:val="00C55F68"/>
    <w:rsid w:val="00C62F62"/>
    <w:rsid w:val="00C635E7"/>
    <w:rsid w:val="00C63AA9"/>
    <w:rsid w:val="00C752F0"/>
    <w:rsid w:val="00C75A5F"/>
    <w:rsid w:val="00C81034"/>
    <w:rsid w:val="00C83956"/>
    <w:rsid w:val="00C875C9"/>
    <w:rsid w:val="00C924DB"/>
    <w:rsid w:val="00C96A00"/>
    <w:rsid w:val="00CA2012"/>
    <w:rsid w:val="00CA2DC3"/>
    <w:rsid w:val="00CA6E78"/>
    <w:rsid w:val="00CA6EEE"/>
    <w:rsid w:val="00CB2AFC"/>
    <w:rsid w:val="00CB5808"/>
    <w:rsid w:val="00CB60CB"/>
    <w:rsid w:val="00CC3280"/>
    <w:rsid w:val="00CC6A8D"/>
    <w:rsid w:val="00CD2D6C"/>
    <w:rsid w:val="00CD4387"/>
    <w:rsid w:val="00CD5030"/>
    <w:rsid w:val="00D06A20"/>
    <w:rsid w:val="00D110E4"/>
    <w:rsid w:val="00D1643B"/>
    <w:rsid w:val="00D21367"/>
    <w:rsid w:val="00D245B9"/>
    <w:rsid w:val="00D32181"/>
    <w:rsid w:val="00D33126"/>
    <w:rsid w:val="00D340E9"/>
    <w:rsid w:val="00D3486B"/>
    <w:rsid w:val="00D367EB"/>
    <w:rsid w:val="00D37463"/>
    <w:rsid w:val="00D42C63"/>
    <w:rsid w:val="00D44E90"/>
    <w:rsid w:val="00D64328"/>
    <w:rsid w:val="00D6445F"/>
    <w:rsid w:val="00D75D7C"/>
    <w:rsid w:val="00D8351A"/>
    <w:rsid w:val="00D86F7E"/>
    <w:rsid w:val="00D87F9F"/>
    <w:rsid w:val="00D902D8"/>
    <w:rsid w:val="00D9320E"/>
    <w:rsid w:val="00DA1867"/>
    <w:rsid w:val="00DA6161"/>
    <w:rsid w:val="00DC136B"/>
    <w:rsid w:val="00DC1C32"/>
    <w:rsid w:val="00DD0DF0"/>
    <w:rsid w:val="00DF016F"/>
    <w:rsid w:val="00DF3453"/>
    <w:rsid w:val="00DF4B9C"/>
    <w:rsid w:val="00E01C9B"/>
    <w:rsid w:val="00E048C9"/>
    <w:rsid w:val="00E05DC5"/>
    <w:rsid w:val="00E06AC6"/>
    <w:rsid w:val="00E154F8"/>
    <w:rsid w:val="00E24038"/>
    <w:rsid w:val="00E26E10"/>
    <w:rsid w:val="00E41DBD"/>
    <w:rsid w:val="00E42556"/>
    <w:rsid w:val="00E4779F"/>
    <w:rsid w:val="00E51A0D"/>
    <w:rsid w:val="00E54AC1"/>
    <w:rsid w:val="00E641F6"/>
    <w:rsid w:val="00E66A3D"/>
    <w:rsid w:val="00E7502B"/>
    <w:rsid w:val="00E75BE4"/>
    <w:rsid w:val="00E763EB"/>
    <w:rsid w:val="00E935EC"/>
    <w:rsid w:val="00E96373"/>
    <w:rsid w:val="00E97A0B"/>
    <w:rsid w:val="00EA384F"/>
    <w:rsid w:val="00EA4CC1"/>
    <w:rsid w:val="00EB7715"/>
    <w:rsid w:val="00EC0B59"/>
    <w:rsid w:val="00ED2367"/>
    <w:rsid w:val="00ED6359"/>
    <w:rsid w:val="00EF0221"/>
    <w:rsid w:val="00EF63B6"/>
    <w:rsid w:val="00F02001"/>
    <w:rsid w:val="00F0218D"/>
    <w:rsid w:val="00F06740"/>
    <w:rsid w:val="00F1667F"/>
    <w:rsid w:val="00F2095F"/>
    <w:rsid w:val="00F27D1E"/>
    <w:rsid w:val="00F34841"/>
    <w:rsid w:val="00F42C81"/>
    <w:rsid w:val="00F5385A"/>
    <w:rsid w:val="00F567A9"/>
    <w:rsid w:val="00F6142D"/>
    <w:rsid w:val="00F625EC"/>
    <w:rsid w:val="00F66410"/>
    <w:rsid w:val="00F679C6"/>
    <w:rsid w:val="00F712D5"/>
    <w:rsid w:val="00F7680F"/>
    <w:rsid w:val="00F82846"/>
    <w:rsid w:val="00F828CC"/>
    <w:rsid w:val="00F84973"/>
    <w:rsid w:val="00F854A9"/>
    <w:rsid w:val="00FA2C31"/>
    <w:rsid w:val="00FA6691"/>
    <w:rsid w:val="00FB16CE"/>
    <w:rsid w:val="00FB3B0B"/>
    <w:rsid w:val="00FB518A"/>
    <w:rsid w:val="00FB6C75"/>
    <w:rsid w:val="00FC1082"/>
    <w:rsid w:val="00FC196A"/>
    <w:rsid w:val="00FC3A0C"/>
    <w:rsid w:val="00FC4562"/>
    <w:rsid w:val="00FC497A"/>
    <w:rsid w:val="00FC5E86"/>
    <w:rsid w:val="00FD4029"/>
    <w:rsid w:val="00FD69DD"/>
    <w:rsid w:val="00FE74B3"/>
    <w:rsid w:val="00FF2D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79D77"/>
  <w15:chartTrackingRefBased/>
  <w15:docId w15:val="{489B5C34-B177-4DCA-8118-706DC297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B10DA"/>
    <w:pPr>
      <w:keepNext/>
      <w:keepLines/>
      <w:spacing w:after="298" w:line="265" w:lineRule="auto"/>
      <w:ind w:left="5610" w:hanging="10"/>
      <w:jc w:val="right"/>
      <w:outlineLvl w:val="0"/>
    </w:pPr>
    <w:rPr>
      <w:rFonts w:ascii="Verdana" w:eastAsia="Verdana" w:hAnsi="Verdana" w:cs="Verdana"/>
      <w:i/>
      <w:color w:val="000000"/>
      <w:kern w:val="0"/>
      <w:sz w:val="20"/>
      <w14:ligatures w14:val="none"/>
    </w:rPr>
  </w:style>
  <w:style w:type="paragraph" w:styleId="Heading2">
    <w:name w:val="heading 2"/>
    <w:basedOn w:val="Normal"/>
    <w:next w:val="Normal"/>
    <w:link w:val="Heading2Char"/>
    <w:uiPriority w:val="9"/>
    <w:semiHidden/>
    <w:unhideWhenUsed/>
    <w:qFormat/>
    <w:rsid w:val="00473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4AC1"/>
    <w:rPr>
      <w:b/>
      <w:bCs/>
    </w:rPr>
  </w:style>
  <w:style w:type="paragraph" w:styleId="Header">
    <w:name w:val="header"/>
    <w:basedOn w:val="Normal"/>
    <w:link w:val="HeaderChar"/>
    <w:uiPriority w:val="99"/>
    <w:unhideWhenUsed/>
    <w:rsid w:val="00A24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2F7"/>
  </w:style>
  <w:style w:type="paragraph" w:styleId="Footer">
    <w:name w:val="footer"/>
    <w:basedOn w:val="Normal"/>
    <w:link w:val="FooterChar"/>
    <w:uiPriority w:val="99"/>
    <w:unhideWhenUsed/>
    <w:rsid w:val="00A24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2F7"/>
  </w:style>
  <w:style w:type="table" w:customStyle="1" w:styleId="TableGrid">
    <w:name w:val="TableGrid"/>
    <w:rsid w:val="000203E7"/>
    <w:pPr>
      <w:spacing w:after="0" w:line="240" w:lineRule="auto"/>
    </w:pPr>
    <w:rPr>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rsid w:val="007B10DA"/>
    <w:rPr>
      <w:rFonts w:ascii="Verdana" w:eastAsia="Verdana" w:hAnsi="Verdana" w:cs="Verdana"/>
      <w:i/>
      <w:color w:val="000000"/>
      <w:kern w:val="0"/>
      <w:sz w:val="20"/>
      <w14:ligatures w14:val="none"/>
    </w:rPr>
  </w:style>
  <w:style w:type="character" w:customStyle="1" w:styleId="export-sheets-button">
    <w:name w:val="export-sheets-button"/>
    <w:basedOn w:val="DefaultParagraphFont"/>
    <w:rsid w:val="004B3EEA"/>
  </w:style>
  <w:style w:type="character" w:customStyle="1" w:styleId="export-sheets-icon">
    <w:name w:val="export-sheets-icon"/>
    <w:basedOn w:val="DefaultParagraphFont"/>
    <w:rsid w:val="004B3EEA"/>
  </w:style>
  <w:style w:type="table" w:styleId="TableGrid0">
    <w:name w:val="Table Grid"/>
    <w:basedOn w:val="TableNormal"/>
    <w:uiPriority w:val="39"/>
    <w:rsid w:val="0047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6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C638D"/>
    <w:rPr>
      <w:color w:val="0000FF"/>
      <w:u w:val="single"/>
    </w:rPr>
  </w:style>
  <w:style w:type="character" w:customStyle="1" w:styleId="Heading2Char">
    <w:name w:val="Heading 2 Char"/>
    <w:basedOn w:val="DefaultParagraphFont"/>
    <w:link w:val="Heading2"/>
    <w:uiPriority w:val="9"/>
    <w:semiHidden/>
    <w:rsid w:val="00473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634A"/>
    <w:pPr>
      <w:ind w:left="720"/>
      <w:contextualSpacing/>
    </w:pPr>
  </w:style>
  <w:style w:type="character" w:styleId="UnresolvedMention">
    <w:name w:val="Unresolved Mention"/>
    <w:basedOn w:val="DefaultParagraphFont"/>
    <w:uiPriority w:val="99"/>
    <w:semiHidden/>
    <w:unhideWhenUsed/>
    <w:rsid w:val="006F1692"/>
    <w:rPr>
      <w:color w:val="605E5C"/>
      <w:shd w:val="clear" w:color="auto" w:fill="E1DFDD"/>
    </w:rPr>
  </w:style>
  <w:style w:type="character" w:customStyle="1" w:styleId="normaltextrun">
    <w:name w:val="normaltextrun"/>
    <w:basedOn w:val="DefaultParagraphFont"/>
    <w:rsid w:val="00F27D1E"/>
  </w:style>
  <w:style w:type="paragraph" w:styleId="TOCHeading">
    <w:name w:val="TOC Heading"/>
    <w:basedOn w:val="Heading1"/>
    <w:next w:val="Normal"/>
    <w:uiPriority w:val="39"/>
    <w:unhideWhenUsed/>
    <w:qFormat/>
    <w:rsid w:val="00824103"/>
    <w:pPr>
      <w:spacing w:before="240" w:after="0" w:line="259" w:lineRule="auto"/>
      <w:ind w:left="0" w:firstLine="0"/>
      <w:jc w:val="left"/>
      <w:outlineLvl w:val="9"/>
    </w:pPr>
    <w:rPr>
      <w:rFonts w:asciiTheme="majorHAnsi" w:eastAsiaTheme="majorEastAsia" w:hAnsiTheme="majorHAnsi" w:cstheme="majorBidi"/>
      <w:i w:val="0"/>
      <w:color w:val="2F5496" w:themeColor="accent1" w:themeShade="BF"/>
      <w:sz w:val="32"/>
      <w:szCs w:val="32"/>
      <w:lang w:val="en-US" w:eastAsia="en-US"/>
    </w:rPr>
  </w:style>
  <w:style w:type="paragraph" w:styleId="TOC1">
    <w:name w:val="toc 1"/>
    <w:basedOn w:val="Normal"/>
    <w:next w:val="Normal"/>
    <w:autoRedefine/>
    <w:uiPriority w:val="39"/>
    <w:unhideWhenUsed/>
    <w:rsid w:val="00824103"/>
    <w:pPr>
      <w:spacing w:after="100" w:line="276" w:lineRule="auto"/>
    </w:pPr>
    <w:rPr>
      <w:rFonts w:ascii="Arial" w:eastAsia="Arial" w:hAnsi="Arial" w:cs="Arial"/>
      <w:kern w:val="0"/>
      <w:lang w:val="en-US" w:eastAsia="en-US"/>
      <w14:ligatures w14:val="none"/>
    </w:rPr>
  </w:style>
  <w:style w:type="paragraph" w:styleId="TOC2">
    <w:name w:val="toc 2"/>
    <w:basedOn w:val="Normal"/>
    <w:next w:val="Normal"/>
    <w:autoRedefine/>
    <w:uiPriority w:val="39"/>
    <w:unhideWhenUsed/>
    <w:rsid w:val="00824103"/>
    <w:pPr>
      <w:spacing w:after="100" w:line="276" w:lineRule="auto"/>
      <w:ind w:left="220"/>
    </w:pPr>
    <w:rPr>
      <w:rFonts w:ascii="Arial" w:eastAsia="Arial" w:hAnsi="Arial" w:cs="Arial"/>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7666">
      <w:bodyDiv w:val="1"/>
      <w:marLeft w:val="0"/>
      <w:marRight w:val="0"/>
      <w:marTop w:val="0"/>
      <w:marBottom w:val="0"/>
      <w:divBdr>
        <w:top w:val="none" w:sz="0" w:space="0" w:color="auto"/>
        <w:left w:val="none" w:sz="0" w:space="0" w:color="auto"/>
        <w:bottom w:val="none" w:sz="0" w:space="0" w:color="auto"/>
        <w:right w:val="none" w:sz="0" w:space="0" w:color="auto"/>
      </w:divBdr>
    </w:div>
    <w:div w:id="57554413">
      <w:bodyDiv w:val="1"/>
      <w:marLeft w:val="0"/>
      <w:marRight w:val="0"/>
      <w:marTop w:val="0"/>
      <w:marBottom w:val="0"/>
      <w:divBdr>
        <w:top w:val="none" w:sz="0" w:space="0" w:color="auto"/>
        <w:left w:val="none" w:sz="0" w:space="0" w:color="auto"/>
        <w:bottom w:val="none" w:sz="0" w:space="0" w:color="auto"/>
        <w:right w:val="none" w:sz="0" w:space="0" w:color="auto"/>
      </w:divBdr>
    </w:div>
    <w:div w:id="101389029">
      <w:bodyDiv w:val="1"/>
      <w:marLeft w:val="0"/>
      <w:marRight w:val="0"/>
      <w:marTop w:val="0"/>
      <w:marBottom w:val="0"/>
      <w:divBdr>
        <w:top w:val="none" w:sz="0" w:space="0" w:color="auto"/>
        <w:left w:val="none" w:sz="0" w:space="0" w:color="auto"/>
        <w:bottom w:val="none" w:sz="0" w:space="0" w:color="auto"/>
        <w:right w:val="none" w:sz="0" w:space="0" w:color="auto"/>
      </w:divBdr>
    </w:div>
    <w:div w:id="134689309">
      <w:bodyDiv w:val="1"/>
      <w:marLeft w:val="0"/>
      <w:marRight w:val="0"/>
      <w:marTop w:val="0"/>
      <w:marBottom w:val="0"/>
      <w:divBdr>
        <w:top w:val="none" w:sz="0" w:space="0" w:color="auto"/>
        <w:left w:val="none" w:sz="0" w:space="0" w:color="auto"/>
        <w:bottom w:val="none" w:sz="0" w:space="0" w:color="auto"/>
        <w:right w:val="none" w:sz="0" w:space="0" w:color="auto"/>
      </w:divBdr>
    </w:div>
    <w:div w:id="321467553">
      <w:bodyDiv w:val="1"/>
      <w:marLeft w:val="0"/>
      <w:marRight w:val="0"/>
      <w:marTop w:val="0"/>
      <w:marBottom w:val="0"/>
      <w:divBdr>
        <w:top w:val="none" w:sz="0" w:space="0" w:color="auto"/>
        <w:left w:val="none" w:sz="0" w:space="0" w:color="auto"/>
        <w:bottom w:val="none" w:sz="0" w:space="0" w:color="auto"/>
        <w:right w:val="none" w:sz="0" w:space="0" w:color="auto"/>
      </w:divBdr>
    </w:div>
    <w:div w:id="427578166">
      <w:bodyDiv w:val="1"/>
      <w:marLeft w:val="0"/>
      <w:marRight w:val="0"/>
      <w:marTop w:val="0"/>
      <w:marBottom w:val="0"/>
      <w:divBdr>
        <w:top w:val="none" w:sz="0" w:space="0" w:color="auto"/>
        <w:left w:val="none" w:sz="0" w:space="0" w:color="auto"/>
        <w:bottom w:val="none" w:sz="0" w:space="0" w:color="auto"/>
        <w:right w:val="none" w:sz="0" w:space="0" w:color="auto"/>
      </w:divBdr>
      <w:divsChild>
        <w:div w:id="1658999901">
          <w:marLeft w:val="0"/>
          <w:marRight w:val="0"/>
          <w:marTop w:val="0"/>
          <w:marBottom w:val="0"/>
          <w:divBdr>
            <w:top w:val="none" w:sz="0" w:space="0" w:color="auto"/>
            <w:left w:val="none" w:sz="0" w:space="0" w:color="auto"/>
            <w:bottom w:val="none" w:sz="0" w:space="0" w:color="auto"/>
            <w:right w:val="none" w:sz="0" w:space="0" w:color="auto"/>
          </w:divBdr>
          <w:divsChild>
            <w:div w:id="81489370">
              <w:marLeft w:val="0"/>
              <w:marRight w:val="0"/>
              <w:marTop w:val="0"/>
              <w:marBottom w:val="0"/>
              <w:divBdr>
                <w:top w:val="none" w:sz="0" w:space="0" w:color="auto"/>
                <w:left w:val="none" w:sz="0" w:space="0" w:color="auto"/>
                <w:bottom w:val="none" w:sz="0" w:space="0" w:color="auto"/>
                <w:right w:val="none" w:sz="0" w:space="0" w:color="auto"/>
              </w:divBdr>
              <w:divsChild>
                <w:div w:id="1370689801">
                  <w:marLeft w:val="0"/>
                  <w:marRight w:val="0"/>
                  <w:marTop w:val="0"/>
                  <w:marBottom w:val="0"/>
                  <w:divBdr>
                    <w:top w:val="none" w:sz="0" w:space="0" w:color="auto"/>
                    <w:left w:val="none" w:sz="0" w:space="0" w:color="auto"/>
                    <w:bottom w:val="none" w:sz="0" w:space="0" w:color="auto"/>
                    <w:right w:val="none" w:sz="0" w:space="0" w:color="auto"/>
                  </w:divBdr>
                  <w:divsChild>
                    <w:div w:id="1168599094">
                      <w:marLeft w:val="0"/>
                      <w:marRight w:val="0"/>
                      <w:marTop w:val="0"/>
                      <w:marBottom w:val="0"/>
                      <w:divBdr>
                        <w:top w:val="none" w:sz="0" w:space="0" w:color="auto"/>
                        <w:left w:val="none" w:sz="0" w:space="0" w:color="auto"/>
                        <w:bottom w:val="none" w:sz="0" w:space="0" w:color="auto"/>
                        <w:right w:val="none" w:sz="0" w:space="0" w:color="auto"/>
                      </w:divBdr>
                    </w:div>
                    <w:div w:id="1434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6881">
      <w:bodyDiv w:val="1"/>
      <w:marLeft w:val="0"/>
      <w:marRight w:val="0"/>
      <w:marTop w:val="0"/>
      <w:marBottom w:val="0"/>
      <w:divBdr>
        <w:top w:val="none" w:sz="0" w:space="0" w:color="auto"/>
        <w:left w:val="none" w:sz="0" w:space="0" w:color="auto"/>
        <w:bottom w:val="none" w:sz="0" w:space="0" w:color="auto"/>
        <w:right w:val="none" w:sz="0" w:space="0" w:color="auto"/>
      </w:divBdr>
      <w:divsChild>
        <w:div w:id="828906435">
          <w:marLeft w:val="0"/>
          <w:marRight w:val="0"/>
          <w:marTop w:val="150"/>
          <w:marBottom w:val="0"/>
          <w:divBdr>
            <w:top w:val="none" w:sz="0" w:space="0" w:color="auto"/>
            <w:left w:val="none" w:sz="0" w:space="0" w:color="auto"/>
            <w:bottom w:val="none" w:sz="0" w:space="0" w:color="auto"/>
            <w:right w:val="none" w:sz="0" w:space="0" w:color="auto"/>
          </w:divBdr>
        </w:div>
      </w:divsChild>
    </w:div>
    <w:div w:id="581793071">
      <w:bodyDiv w:val="1"/>
      <w:marLeft w:val="0"/>
      <w:marRight w:val="0"/>
      <w:marTop w:val="0"/>
      <w:marBottom w:val="0"/>
      <w:divBdr>
        <w:top w:val="none" w:sz="0" w:space="0" w:color="auto"/>
        <w:left w:val="none" w:sz="0" w:space="0" w:color="auto"/>
        <w:bottom w:val="none" w:sz="0" w:space="0" w:color="auto"/>
        <w:right w:val="none" w:sz="0" w:space="0" w:color="auto"/>
      </w:divBdr>
    </w:div>
    <w:div w:id="1123427351">
      <w:bodyDiv w:val="1"/>
      <w:marLeft w:val="0"/>
      <w:marRight w:val="0"/>
      <w:marTop w:val="0"/>
      <w:marBottom w:val="0"/>
      <w:divBdr>
        <w:top w:val="none" w:sz="0" w:space="0" w:color="auto"/>
        <w:left w:val="none" w:sz="0" w:space="0" w:color="auto"/>
        <w:bottom w:val="none" w:sz="0" w:space="0" w:color="auto"/>
        <w:right w:val="none" w:sz="0" w:space="0" w:color="auto"/>
      </w:divBdr>
    </w:div>
    <w:div w:id="1397782304">
      <w:bodyDiv w:val="1"/>
      <w:marLeft w:val="0"/>
      <w:marRight w:val="0"/>
      <w:marTop w:val="0"/>
      <w:marBottom w:val="0"/>
      <w:divBdr>
        <w:top w:val="none" w:sz="0" w:space="0" w:color="auto"/>
        <w:left w:val="none" w:sz="0" w:space="0" w:color="auto"/>
        <w:bottom w:val="none" w:sz="0" w:space="0" w:color="auto"/>
        <w:right w:val="none" w:sz="0" w:space="0" w:color="auto"/>
      </w:divBdr>
    </w:div>
    <w:div w:id="1430613202">
      <w:bodyDiv w:val="1"/>
      <w:marLeft w:val="0"/>
      <w:marRight w:val="0"/>
      <w:marTop w:val="0"/>
      <w:marBottom w:val="0"/>
      <w:divBdr>
        <w:top w:val="none" w:sz="0" w:space="0" w:color="auto"/>
        <w:left w:val="none" w:sz="0" w:space="0" w:color="auto"/>
        <w:bottom w:val="none" w:sz="0" w:space="0" w:color="auto"/>
        <w:right w:val="none" w:sz="0" w:space="0" w:color="auto"/>
      </w:divBdr>
      <w:divsChild>
        <w:div w:id="1504318571">
          <w:marLeft w:val="0"/>
          <w:marRight w:val="0"/>
          <w:marTop w:val="0"/>
          <w:marBottom w:val="0"/>
          <w:divBdr>
            <w:top w:val="none" w:sz="0" w:space="0" w:color="auto"/>
            <w:left w:val="none" w:sz="0" w:space="0" w:color="auto"/>
            <w:bottom w:val="none" w:sz="0" w:space="0" w:color="auto"/>
            <w:right w:val="none" w:sz="0" w:space="0" w:color="auto"/>
          </w:divBdr>
          <w:divsChild>
            <w:div w:id="1926497626">
              <w:marLeft w:val="0"/>
              <w:marRight w:val="0"/>
              <w:marTop w:val="0"/>
              <w:marBottom w:val="0"/>
              <w:divBdr>
                <w:top w:val="none" w:sz="0" w:space="0" w:color="auto"/>
                <w:left w:val="none" w:sz="0" w:space="0" w:color="auto"/>
                <w:bottom w:val="none" w:sz="0" w:space="0" w:color="auto"/>
                <w:right w:val="none" w:sz="0" w:space="0" w:color="auto"/>
              </w:divBdr>
              <w:divsChild>
                <w:div w:id="458760878">
                  <w:marLeft w:val="0"/>
                  <w:marRight w:val="0"/>
                  <w:marTop w:val="0"/>
                  <w:marBottom w:val="0"/>
                  <w:divBdr>
                    <w:top w:val="none" w:sz="0" w:space="0" w:color="auto"/>
                    <w:left w:val="none" w:sz="0" w:space="0" w:color="auto"/>
                    <w:bottom w:val="none" w:sz="0" w:space="0" w:color="auto"/>
                    <w:right w:val="none" w:sz="0" w:space="0" w:color="auto"/>
                  </w:divBdr>
                  <w:divsChild>
                    <w:div w:id="14395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99047">
      <w:bodyDiv w:val="1"/>
      <w:marLeft w:val="0"/>
      <w:marRight w:val="0"/>
      <w:marTop w:val="0"/>
      <w:marBottom w:val="0"/>
      <w:divBdr>
        <w:top w:val="none" w:sz="0" w:space="0" w:color="auto"/>
        <w:left w:val="none" w:sz="0" w:space="0" w:color="auto"/>
        <w:bottom w:val="none" w:sz="0" w:space="0" w:color="auto"/>
        <w:right w:val="none" w:sz="0" w:space="0" w:color="auto"/>
      </w:divBdr>
    </w:div>
    <w:div w:id="1736707033">
      <w:bodyDiv w:val="1"/>
      <w:marLeft w:val="0"/>
      <w:marRight w:val="0"/>
      <w:marTop w:val="0"/>
      <w:marBottom w:val="0"/>
      <w:divBdr>
        <w:top w:val="none" w:sz="0" w:space="0" w:color="auto"/>
        <w:left w:val="none" w:sz="0" w:space="0" w:color="auto"/>
        <w:bottom w:val="none" w:sz="0" w:space="0" w:color="auto"/>
        <w:right w:val="none" w:sz="0" w:space="0" w:color="auto"/>
      </w:divBdr>
    </w:div>
    <w:div w:id="1845852490">
      <w:bodyDiv w:val="1"/>
      <w:marLeft w:val="0"/>
      <w:marRight w:val="0"/>
      <w:marTop w:val="0"/>
      <w:marBottom w:val="0"/>
      <w:divBdr>
        <w:top w:val="none" w:sz="0" w:space="0" w:color="auto"/>
        <w:left w:val="none" w:sz="0" w:space="0" w:color="auto"/>
        <w:bottom w:val="none" w:sz="0" w:space="0" w:color="auto"/>
        <w:right w:val="none" w:sz="0" w:space="0" w:color="auto"/>
      </w:divBdr>
    </w:div>
    <w:div w:id="1930575876">
      <w:bodyDiv w:val="1"/>
      <w:marLeft w:val="0"/>
      <w:marRight w:val="0"/>
      <w:marTop w:val="0"/>
      <w:marBottom w:val="0"/>
      <w:divBdr>
        <w:top w:val="none" w:sz="0" w:space="0" w:color="auto"/>
        <w:left w:val="none" w:sz="0" w:space="0" w:color="auto"/>
        <w:bottom w:val="none" w:sz="0" w:space="0" w:color="auto"/>
        <w:right w:val="none" w:sz="0" w:space="0" w:color="auto"/>
      </w:divBdr>
    </w:div>
    <w:div w:id="1990550133">
      <w:bodyDiv w:val="1"/>
      <w:marLeft w:val="0"/>
      <w:marRight w:val="0"/>
      <w:marTop w:val="0"/>
      <w:marBottom w:val="0"/>
      <w:divBdr>
        <w:top w:val="none" w:sz="0" w:space="0" w:color="auto"/>
        <w:left w:val="none" w:sz="0" w:space="0" w:color="auto"/>
        <w:bottom w:val="none" w:sz="0" w:space="0" w:color="auto"/>
        <w:right w:val="none" w:sz="0" w:space="0" w:color="auto"/>
      </w:divBdr>
    </w:div>
    <w:div w:id="213864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43a0084-e9a4-4e58-acb6-d8740297f8a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E0189718D26D4BAD503A509C29B5DF" ma:contentTypeVersion="4" ma:contentTypeDescription="Create a new document." ma:contentTypeScope="" ma:versionID="015877cfc87a8215b4e0a2161fb16e59">
  <xsd:schema xmlns:xsd="http://www.w3.org/2001/XMLSchema" xmlns:xs="http://www.w3.org/2001/XMLSchema" xmlns:p="http://schemas.microsoft.com/office/2006/metadata/properties" xmlns:ns3="b43a0084-e9a4-4e58-acb6-d8740297f8a6" targetNamespace="http://schemas.microsoft.com/office/2006/metadata/properties" ma:root="true" ma:fieldsID="8a646ddc4036a2ee47d6093508f651c8" ns3:_="">
    <xsd:import namespace="b43a0084-e9a4-4e58-acb6-d8740297f8a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a0084-e9a4-4e58-acb6-d8740297f8a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FF651D-90E4-4B18-9358-F067340F3700}">
  <ds:schemaRefs>
    <ds:schemaRef ds:uri="http://schemas.microsoft.com/office/2006/metadata/properties"/>
    <ds:schemaRef ds:uri="http://schemas.microsoft.com/office/infopath/2007/PartnerControls"/>
    <ds:schemaRef ds:uri="b43a0084-e9a4-4e58-acb6-d8740297f8a6"/>
  </ds:schemaRefs>
</ds:datastoreItem>
</file>

<file path=customXml/itemProps2.xml><?xml version="1.0" encoding="utf-8"?>
<ds:datastoreItem xmlns:ds="http://schemas.openxmlformats.org/officeDocument/2006/customXml" ds:itemID="{4FD109EA-CF93-4AC2-B1DA-B9E8540F8AE3}">
  <ds:schemaRefs>
    <ds:schemaRef ds:uri="http://schemas.openxmlformats.org/officeDocument/2006/bibliography"/>
  </ds:schemaRefs>
</ds:datastoreItem>
</file>

<file path=customXml/itemProps3.xml><?xml version="1.0" encoding="utf-8"?>
<ds:datastoreItem xmlns:ds="http://schemas.openxmlformats.org/officeDocument/2006/customXml" ds:itemID="{F950DF15-AB6F-497C-A4C3-15094FF285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a0084-e9a4-4e58-acb6-d8740297f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BF973F-F531-46F5-ADD9-5D5B39F223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4199</Words>
  <Characters>23936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Limica Andrew Lopes 2023 (N1242167)</dc:creator>
  <cp:keywords/>
  <dc:description/>
  <cp:lastModifiedBy>Limica Andrew Lopes N1242167</cp:lastModifiedBy>
  <cp:revision>3</cp:revision>
  <dcterms:created xsi:type="dcterms:W3CDTF">2024-01-14T20:48:00Z</dcterms:created>
  <dcterms:modified xsi:type="dcterms:W3CDTF">2025-01-08T14:45:00Z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0x01010042E0189718D26D4BAD503A509C29B5DF</vt:lpwstr>
  </property>
</Properties>
</file>