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CA3" w:rsidRP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46" style="width:0;height:1.5pt" o:hralign="center" o:hrstd="t" o:hr="t" fillcolor="#a0a0a0" stroked="f"/>
        </w:pict>
      </w:r>
    </w:p>
    <w:p w:rsidR="00182CA3" w:rsidRPr="00182CA3" w:rsidRDefault="00182CA3" w:rsidP="00182CA3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</w:pPr>
      <w:r w:rsidRPr="00182CA3">
        <w:rPr>
          <w:rFonts w:ascii="Segoe UI Symbol" w:eastAsia="PMingLiU" w:hAnsi="Segoe UI Symbol" w:cs="Segoe UI Symbol"/>
          <w:b/>
          <w:bCs/>
          <w:kern w:val="36"/>
          <w:sz w:val="48"/>
          <w:szCs w:val="48"/>
          <w:lang w:eastAsia="zh-TW"/>
        </w:rPr>
        <w:t>📊</w:t>
      </w:r>
      <w:r w:rsidRPr="00182CA3"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  <w:t xml:space="preserve"> ETL Pipeline for Financial Risk Data (Dashboard Guideline).docx</w:t>
      </w:r>
    </w:p>
    <w:p w:rsidR="00182CA3" w:rsidRPr="00182CA3" w:rsidRDefault="00182CA3" w:rsidP="00182CA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Executive Summary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br/>
      </w:r>
      <w:proofErr w:type="gramStart"/>
      <w:r w:rsidRPr="00182CA3">
        <w:rPr>
          <w:rFonts w:ascii="PMingLiU" w:eastAsia="PMingLiU" w:hAnsi="PMingLiU" w:cs="PMingLiU"/>
          <w:sz w:val="24"/>
          <w:szCs w:val="24"/>
          <w:lang w:eastAsia="zh-TW"/>
        </w:rPr>
        <w:t>The</w:t>
      </w:r>
      <w:proofErr w:type="gramEnd"/>
      <w:r w:rsidRPr="00182CA3">
        <w:rPr>
          <w:rFonts w:ascii="PMingLiU" w:eastAsia="PMingLiU" w:hAnsi="PMingLiU" w:cs="PMingLiU"/>
          <w:sz w:val="24"/>
          <w:szCs w:val="24"/>
          <w:lang w:eastAsia="zh-TW"/>
        </w:rPr>
        <w:t xml:space="preserve"> Basel III Dashboard is the final deliverable of the ETL Pipeline for Financial Risk Data project. It consolidates outputs from the Installation, Schema, and Automation layers into a simple visualization. Executives can monitor compliance and resilience at a glance, with traffic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and ratio charts that highlight deviations from Basel III requirements.</w:t>
      </w:r>
    </w:p>
    <w:p w:rsidR="00182CA3" w:rsidRP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47" style="width:0;height:1.5pt" o:hralign="center" o:hrstd="t" o:hr="t" fillcolor="#a0a0a0" stroked="f"/>
        </w:pict>
      </w:r>
    </w:p>
    <w:p w:rsidR="00182CA3" w:rsidRPr="00182CA3" w:rsidRDefault="00182CA3" w:rsidP="00182CA3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82CA3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1. Dashboard Structure (FS10)</w:t>
      </w:r>
    </w:p>
    <w:p w:rsidR="00182CA3" w:rsidRPr="00182CA3" w:rsidRDefault="00182CA3" w:rsidP="00182CA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t>The dashboard presents a consolidated table of CAR, LCR, NSFR, CET1, and leverage ratios. Traffic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(green/yellow/red) highlight compliance status.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import</w:t>
      </w:r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 pandas as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pd</w:t>
      </w:r>
      <w:proofErr w:type="spellEnd"/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import</w:t>
      </w:r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matplotlib.pyplot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 as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plt</w:t>
      </w:r>
      <w:proofErr w:type="spellEnd"/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182CA3">
        <w:rPr>
          <w:rFonts w:ascii="MingLiU" w:eastAsia="MingLiU" w:hAnsi="MingLiU" w:cs="MingLiU"/>
          <w:sz w:val="24"/>
          <w:szCs w:val="24"/>
          <w:lang w:eastAsia="zh-TW"/>
        </w:rPr>
        <w:t># Load the CSV file (produced by automation or seeded manually)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 =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pd.read_csv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("basel_ratios.csv")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# </w:t>
      </w:r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Add</w:t>
      </w:r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 compliance flags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[</w:t>
      </w:r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'Compliance'] =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['Ratio'].apply(lambda x: 'Green' if x &gt;= 100 else 'Red')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182CA3">
        <w:rPr>
          <w:rFonts w:ascii="MingLiU" w:eastAsia="MingLiU" w:hAnsi="MingLiU" w:cs="MingLiU"/>
          <w:sz w:val="24"/>
          <w:szCs w:val="24"/>
          <w:lang w:eastAsia="zh-TW"/>
        </w:rPr>
        <w:t># Print table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print(</w:t>
      </w:r>
      <w:proofErr w:type="spellStart"/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[['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RatioName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','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Ratio','Compliance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']])</w:t>
      </w:r>
    </w:p>
    <w:p w:rsidR="00182CA3" w:rsidRP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48" style="width:0;height:1.5pt" o:hralign="center" o:hrstd="t" o:hr="t" fillcolor="#a0a0a0" stroked="f"/>
        </w:pict>
      </w:r>
    </w:p>
    <w:p w:rsidR="00182CA3" w:rsidRPr="00182CA3" w:rsidRDefault="00182CA3" w:rsidP="00182CA3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82CA3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2. Visualization Layer (FS11)</w:t>
      </w:r>
    </w:p>
    <w:p w:rsidR="00182CA3" w:rsidRPr="00182CA3" w:rsidRDefault="00182CA3" w:rsidP="00182CA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t>Ratios are plotted as bar charts with thresholds marked. This makes deviations from Basel III requirements immediately visible.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plt.bar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(</w:t>
      </w:r>
      <w:proofErr w:type="spellStart"/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['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RatioName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'],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['Ratio'],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182CA3">
        <w:rPr>
          <w:rFonts w:ascii="MingLiU" w:eastAsia="MingLiU" w:hAnsi="MingLiU" w:cs="MingLiU"/>
          <w:sz w:val="24"/>
          <w:szCs w:val="24"/>
          <w:lang w:eastAsia="zh-TW"/>
        </w:rPr>
        <w:lastRenderedPageBreak/>
        <w:t xml:space="preserve">        color=['green' if c == 'Green' else 'red' for c in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df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['Compliance']])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plt.axhline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 xml:space="preserve">(y=100, color='black', </w:t>
      </w:r>
      <w:proofErr w:type="spell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linestyle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='--', label='Threshold')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plt.legend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()</w:t>
      </w:r>
      <w:proofErr w:type="gramEnd"/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plt.title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(</w:t>
      </w:r>
      <w:proofErr w:type="gramEnd"/>
      <w:r w:rsidRPr="00182CA3">
        <w:rPr>
          <w:rFonts w:ascii="MingLiU" w:eastAsia="MingLiU" w:hAnsi="MingLiU" w:cs="MingLiU"/>
          <w:sz w:val="24"/>
          <w:szCs w:val="24"/>
          <w:lang w:eastAsia="zh-TW"/>
        </w:rPr>
        <w:t>"Basel III Ratios Dashboard")</w:t>
      </w:r>
    </w:p>
    <w:p w:rsidR="00182CA3" w:rsidRPr="00182CA3" w:rsidRDefault="00182CA3" w:rsidP="00182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82CA3">
        <w:rPr>
          <w:rFonts w:ascii="MingLiU" w:eastAsia="MingLiU" w:hAnsi="MingLiU" w:cs="MingLiU"/>
          <w:sz w:val="24"/>
          <w:szCs w:val="24"/>
          <w:lang w:eastAsia="zh-TW"/>
        </w:rPr>
        <w:t>plt.show</w:t>
      </w:r>
      <w:proofErr w:type="spellEnd"/>
      <w:r w:rsidRPr="00182CA3">
        <w:rPr>
          <w:rFonts w:ascii="MingLiU" w:eastAsia="MingLiU" w:hAnsi="MingLiU" w:cs="MingLiU"/>
          <w:sz w:val="24"/>
          <w:szCs w:val="24"/>
          <w:lang w:eastAsia="zh-TW"/>
        </w:rPr>
        <w:t>()</w:t>
      </w:r>
      <w:proofErr w:type="gramEnd"/>
    </w:p>
    <w:p w:rsidR="00182CA3" w:rsidRP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49" style="width:0;height:1.5pt" o:hralign="center" o:hrstd="t" o:hr="t" fillcolor="#a0a0a0" stroked="f"/>
        </w:pict>
      </w:r>
    </w:p>
    <w:p w:rsidR="00182CA3" w:rsidRPr="00182CA3" w:rsidRDefault="00182CA3" w:rsidP="00182CA3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82CA3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3. Static Output (FS12)</w:t>
      </w:r>
    </w:p>
    <w:p w:rsidR="00182CA3" w:rsidRPr="00182CA3" w:rsidRDefault="00182CA3" w:rsidP="00182CA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t xml:space="preserve">This dashboard is </w:t>
      </w:r>
      <w:r w:rsidRPr="00182CA3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not interactive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t>. It is a static visualization sourced from a small CSV file. The purpose is to demonstrate compliance status clearly, not to provide user controls or dynamic filtering.</w:t>
      </w:r>
    </w:p>
    <w:p w:rsidR="00182CA3" w:rsidRP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0" style="width:0;height:1.5pt" o:hralign="center" o:hrstd="t" o:hr="t" fillcolor="#a0a0a0" stroked="f"/>
        </w:pict>
      </w:r>
    </w:p>
    <w:p w:rsidR="00182CA3" w:rsidRPr="00182CA3" w:rsidRDefault="00182CA3" w:rsidP="00182CA3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82CA3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4. Integration with Automation Outputs (FS13)</w:t>
      </w:r>
    </w:p>
    <w:p w:rsidR="00182CA3" w:rsidRPr="00182CA3" w:rsidRDefault="00182CA3" w:rsidP="00182CA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t>The dashboard consumes reconciled datasets produced by the Automation Guideline. In practice, the CSV file (</w:t>
      </w:r>
      <w:r w:rsidRPr="00182CA3">
        <w:rPr>
          <w:rFonts w:ascii="MingLiU" w:eastAsia="MingLiU" w:hAnsi="MingLiU" w:cs="MingLiU"/>
          <w:sz w:val="24"/>
          <w:szCs w:val="24"/>
          <w:lang w:eastAsia="zh-TW"/>
        </w:rPr>
        <w:t>basel_ratios.csv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t>) is generated by the ETL pipeline and ratio automation modules, ensuring consistency between data preparation and visualization.</w:t>
      </w:r>
    </w:p>
    <w:p w:rsid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1" style="width:0;height:1.5pt" o:hralign="center" o:hrstd="t" o:hr="t" fillcolor="#a0a0a0" stroked="f"/>
        </w:pict>
      </w:r>
    </w:p>
    <w:p w:rsid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182CA3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noProof/>
          <w:sz w:val="24"/>
          <w:szCs w:val="24"/>
          <w:lang w:eastAsia="zh-TW"/>
        </w:rPr>
        <w:drawing>
          <wp:inline distT="0" distB="0" distL="0" distR="0">
            <wp:extent cx="375920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Default="005329D0" w:rsidP="00182CA3">
      <w:pPr>
        <w:spacing w:after="0" w:line="240" w:lineRule="auto"/>
        <w:rPr>
          <w:rFonts w:ascii="PMingLiU" w:eastAsia="PMingLiU" w:hAnsi="PMingLiU" w:cs="PMingLiU" w:hint="eastAsia"/>
          <w:sz w:val="24"/>
          <w:szCs w:val="24"/>
          <w:lang w:eastAsia="zh-TW"/>
        </w:rPr>
      </w:pPr>
      <w:bookmarkStart w:id="0" w:name="_GoBack"/>
      <w:bookmarkEnd w:id="0"/>
    </w:p>
    <w:p w:rsidR="005329D0" w:rsidRDefault="005329D0" w:rsidP="005329D0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lastRenderedPageBreak/>
        <w:t>Program Output:</w:t>
      </w:r>
    </w:p>
    <w:p w:rsidR="005329D0" w:rsidRDefault="005329D0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5329D0" w:rsidRPr="00182CA3" w:rsidRDefault="005329D0" w:rsidP="00182CA3">
      <w:pPr>
        <w:spacing w:after="0" w:line="240" w:lineRule="auto"/>
        <w:rPr>
          <w:rFonts w:ascii="PMingLiU" w:eastAsia="PMingLiU" w:hAnsi="PMingLiU" w:cs="PMingLiU" w:hint="eastAsia"/>
          <w:sz w:val="24"/>
          <w:szCs w:val="24"/>
          <w:lang w:eastAsia="zh-TW"/>
        </w:rPr>
      </w:pPr>
      <w:r>
        <w:rPr>
          <w:rFonts w:ascii="PMingLiU" w:eastAsia="PMingLiU" w:hAnsi="PMingLiU" w:cs="PMingLiU" w:hint="eastAsia"/>
          <w:noProof/>
          <w:sz w:val="24"/>
          <w:szCs w:val="24"/>
          <w:lang w:eastAsia="zh-TW"/>
        </w:rPr>
        <w:drawing>
          <wp:inline distT="0" distB="0" distL="0" distR="0">
            <wp:extent cx="54864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CA3" w:rsidRPr="00182CA3" w:rsidRDefault="00182CA3" w:rsidP="00182CA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Conclusion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br/>
        <w:t>The dashboard is the final deliverable, combining automation outputs into a clear, static interface. It demonstrates compliance, resilience, and performance in a format accessible to decision</w:t>
      </w:r>
      <w:r w:rsidRPr="00182CA3">
        <w:rPr>
          <w:rFonts w:ascii="PMingLiU" w:eastAsia="PMingLiU" w:hAnsi="PMingLiU" w:cs="PMingLiU"/>
          <w:sz w:val="24"/>
          <w:szCs w:val="24"/>
          <w:lang w:eastAsia="zh-TW"/>
        </w:rPr>
        <w:noBreakHyphen/>
        <w:t>makers. Together with the Installation, Schema, and Automation Guidelines, this document completes the ETL Pipeline for Financial Risk Data project.</w:t>
      </w:r>
    </w:p>
    <w:p w:rsidR="00182CA3" w:rsidRPr="00182CA3" w:rsidRDefault="00182CA3" w:rsidP="00182CA3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82CA3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2" style="width:0;height:1.5pt" o:hralign="center" o:hrstd="t" o:hr="t" fillcolor="#a0a0a0" stroked="f"/>
        </w:pict>
      </w:r>
    </w:p>
    <w:p w:rsidR="007B178C" w:rsidRPr="00182CA3" w:rsidRDefault="007B178C" w:rsidP="00182CA3"/>
    <w:sectPr w:rsidR="007B178C" w:rsidRPr="00182C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C3501"/>
    <w:multiLevelType w:val="multilevel"/>
    <w:tmpl w:val="48A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72A84"/>
    <w:multiLevelType w:val="multilevel"/>
    <w:tmpl w:val="952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4EE"/>
    <w:rsid w:val="00182CA3"/>
    <w:rsid w:val="005329D0"/>
    <w:rsid w:val="007B178C"/>
    <w:rsid w:val="00B504EE"/>
    <w:rsid w:val="00F4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31A6"/>
  <w15:chartTrackingRefBased/>
  <w15:docId w15:val="{E22DF182-04D3-4CF2-910B-D03E11D2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E0F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F40E0F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0F"/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F40E0F"/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F40E0F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F40E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E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E0F"/>
    <w:rPr>
      <w:rFonts w:ascii="MingLiU" w:eastAsia="MingLiU" w:hAnsi="MingLiU" w:cs="MingLiU"/>
      <w:sz w:val="24"/>
      <w:szCs w:val="24"/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F40E0F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8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3</cp:revision>
  <dcterms:created xsi:type="dcterms:W3CDTF">2026-05-12T12:42:00Z</dcterms:created>
  <dcterms:modified xsi:type="dcterms:W3CDTF">2026-05-12T13:06:00Z</dcterms:modified>
</cp:coreProperties>
</file>