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2CA3" w:rsidRP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5" style="width:0;height:1.5pt" o:hralign="center" o:hrstd="t" o:hr="t" fillcolor="#a0a0a0" stroked="f"/>
        </w:pict>
      </w:r>
    </w:p>
    <w:p w:rsidR="00182CA3" w:rsidRPr="00182CA3" w:rsidRDefault="00182CA3" w:rsidP="00182CA3">
      <w:pPr>
        <w:spacing w:before="100" w:beforeAutospacing="1" w:after="100" w:afterAutospacing="1" w:line="240" w:lineRule="auto"/>
        <w:outlineLvl w:val="0"/>
        <w:rPr>
          <w:rFonts w:ascii="PMingLiU" w:eastAsia="PMingLiU" w:hAnsi="PMingLiU" w:cs="PMingLiU"/>
          <w:b/>
          <w:bCs/>
          <w:kern w:val="36"/>
          <w:sz w:val="48"/>
          <w:szCs w:val="48"/>
          <w:lang w:eastAsia="zh-TW"/>
        </w:rPr>
      </w:pPr>
      <w:r w:rsidRPr="00182CA3">
        <w:rPr>
          <w:rFonts w:ascii="Segoe UI Symbol" w:eastAsia="PMingLiU" w:hAnsi="Segoe UI Symbol" w:cs="Segoe UI Symbol"/>
          <w:b/>
          <w:bCs/>
          <w:kern w:val="36"/>
          <w:sz w:val="48"/>
          <w:szCs w:val="48"/>
          <w:lang w:eastAsia="zh-TW"/>
        </w:rPr>
        <w:t>📊</w:t>
      </w:r>
      <w:r w:rsidRPr="00182CA3">
        <w:rPr>
          <w:rFonts w:ascii="PMingLiU" w:eastAsia="PMingLiU" w:hAnsi="PMingLiU" w:cs="PMingLiU"/>
          <w:b/>
          <w:bCs/>
          <w:kern w:val="36"/>
          <w:sz w:val="48"/>
          <w:szCs w:val="48"/>
          <w:lang w:eastAsia="zh-TW"/>
        </w:rPr>
        <w:t xml:space="preserve"> ETL Pipeline for Financial Risk Data (Dashboard Guideline).docx</w:t>
      </w:r>
    </w:p>
    <w:p w:rsidR="00182CA3" w:rsidRPr="00182CA3" w:rsidRDefault="00182CA3" w:rsidP="00182CA3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182CA3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Executive Summary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t xml:space="preserve"> 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br/>
      </w:r>
      <w:proofErr w:type="gramStart"/>
      <w:r w:rsidRPr="00182CA3">
        <w:rPr>
          <w:rFonts w:ascii="PMingLiU" w:eastAsia="PMingLiU" w:hAnsi="PMingLiU" w:cs="PMingLiU"/>
          <w:sz w:val="24"/>
          <w:szCs w:val="24"/>
          <w:lang w:eastAsia="zh-TW"/>
        </w:rPr>
        <w:t>The</w:t>
      </w:r>
      <w:proofErr w:type="gramEnd"/>
      <w:r w:rsidRPr="00182CA3">
        <w:rPr>
          <w:rFonts w:ascii="PMingLiU" w:eastAsia="PMingLiU" w:hAnsi="PMingLiU" w:cs="PMingLiU"/>
          <w:sz w:val="24"/>
          <w:szCs w:val="24"/>
          <w:lang w:eastAsia="zh-TW"/>
        </w:rPr>
        <w:t xml:space="preserve"> Basel III Dashboard is the final deliverable of the </w:t>
      </w:r>
      <w:r w:rsidR="00344210" w:rsidRPr="00344210">
        <w:rPr>
          <w:rFonts w:ascii="PMingLiU" w:eastAsia="PMingLiU" w:hAnsi="PMingLiU" w:cs="PMingLiU"/>
          <w:sz w:val="24"/>
          <w:szCs w:val="24"/>
          <w:lang w:eastAsia="zh-TW"/>
        </w:rPr>
        <w:t>ETL Pipeline with Data Quality Implementation on Finance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t xml:space="preserve"> project. It consolidates outputs from the Installation, Schema, and Automation layers into a simple visualization. Executives can monitor compliance and resilience at</w:t>
      </w:r>
      <w:r w:rsidR="007B5DD1">
        <w:rPr>
          <w:rFonts w:ascii="PMingLiU" w:eastAsia="PMingLiU" w:hAnsi="PMingLiU" w:cs="PMingLiU"/>
          <w:sz w:val="24"/>
          <w:szCs w:val="24"/>
          <w:lang w:eastAsia="zh-TW"/>
        </w:rPr>
        <w:t xml:space="preserve"> a glance</w:t>
      </w:r>
      <w:bookmarkStart w:id="0" w:name="_GoBack"/>
      <w:bookmarkEnd w:id="0"/>
      <w:r w:rsidRPr="00182CA3">
        <w:rPr>
          <w:rFonts w:ascii="PMingLiU" w:eastAsia="PMingLiU" w:hAnsi="PMingLiU" w:cs="PMingLiU"/>
          <w:sz w:val="24"/>
          <w:szCs w:val="24"/>
          <w:lang w:eastAsia="zh-TW"/>
        </w:rPr>
        <w:t>.</w:t>
      </w:r>
    </w:p>
    <w:p w:rsidR="00182CA3" w:rsidRP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6" style="width:0;height:1.5pt" o:hralign="center" o:hrstd="t" o:hr="t" fillcolor="#a0a0a0" stroked="f"/>
        </w:pict>
      </w:r>
    </w:p>
    <w:p w:rsidR="00182CA3" w:rsidRPr="00182CA3" w:rsidRDefault="00182CA3" w:rsidP="00182CA3">
      <w:pPr>
        <w:spacing w:before="100" w:beforeAutospacing="1" w:after="100" w:afterAutospacing="1" w:line="240" w:lineRule="auto"/>
        <w:outlineLvl w:val="1"/>
        <w:rPr>
          <w:rFonts w:ascii="PMingLiU" w:eastAsia="PMingLiU" w:hAnsi="PMingLiU" w:cs="PMingLiU"/>
          <w:b/>
          <w:bCs/>
          <w:sz w:val="36"/>
          <w:szCs w:val="36"/>
          <w:lang w:eastAsia="zh-TW"/>
        </w:rPr>
      </w:pPr>
      <w:r w:rsidRPr="00182CA3">
        <w:rPr>
          <w:rFonts w:ascii="PMingLiU" w:eastAsia="PMingLiU" w:hAnsi="PMingLiU" w:cs="PMingLiU"/>
          <w:b/>
          <w:bCs/>
          <w:sz w:val="36"/>
          <w:szCs w:val="36"/>
          <w:lang w:eastAsia="zh-TW"/>
        </w:rPr>
        <w:t>1. Dashboard Structure (FS10)</w:t>
      </w:r>
    </w:p>
    <w:p w:rsidR="00182CA3" w:rsidRPr="00182CA3" w:rsidRDefault="00182CA3" w:rsidP="00182CA3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182CA3">
        <w:rPr>
          <w:rFonts w:ascii="PMingLiU" w:eastAsia="PMingLiU" w:hAnsi="PMingLiU" w:cs="PMingLiU"/>
          <w:sz w:val="24"/>
          <w:szCs w:val="24"/>
          <w:lang w:eastAsia="zh-TW"/>
        </w:rPr>
        <w:t xml:space="preserve">The dashboard presents a consolidated table of CAR, LCR, NSFR, CET1, and leverage ratios. 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import</w:t>
      </w:r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 pandas as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pd</w:t>
      </w:r>
      <w:proofErr w:type="spellEnd"/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import</w:t>
      </w:r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matplotlib.pyplot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 as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plt</w:t>
      </w:r>
      <w:proofErr w:type="spellEnd"/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r w:rsidRPr="00182CA3">
        <w:rPr>
          <w:rFonts w:ascii="MingLiU" w:eastAsia="MingLiU" w:hAnsi="MingLiU" w:cs="MingLiU"/>
          <w:sz w:val="24"/>
          <w:szCs w:val="24"/>
          <w:lang w:eastAsia="zh-TW"/>
        </w:rPr>
        <w:t># Load the CSV file (produced by automation or seeded manually)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 =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pd.read_csv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("basel_ratios.csv")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# </w:t>
      </w:r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Add</w:t>
      </w:r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 compliance flags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[</w:t>
      </w:r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'Compliance'] =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['Ratio'].apply(lambda x: 'Green' if x &gt;= 100 else 'Red')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r w:rsidRPr="00182CA3">
        <w:rPr>
          <w:rFonts w:ascii="MingLiU" w:eastAsia="MingLiU" w:hAnsi="MingLiU" w:cs="MingLiU"/>
          <w:sz w:val="24"/>
          <w:szCs w:val="24"/>
          <w:lang w:eastAsia="zh-TW"/>
        </w:rPr>
        <w:t># Print table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print(</w:t>
      </w:r>
      <w:proofErr w:type="spellStart"/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[['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RatioName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','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Ratio','Compliance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']])</w:t>
      </w:r>
    </w:p>
    <w:p w:rsidR="00182CA3" w:rsidRP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7" style="width:0;height:1.5pt" o:hralign="center" o:hrstd="t" o:hr="t" fillcolor="#a0a0a0" stroked="f"/>
        </w:pict>
      </w:r>
    </w:p>
    <w:p w:rsidR="00182CA3" w:rsidRPr="00182CA3" w:rsidRDefault="00182CA3" w:rsidP="00182CA3">
      <w:pPr>
        <w:spacing w:before="100" w:beforeAutospacing="1" w:after="100" w:afterAutospacing="1" w:line="240" w:lineRule="auto"/>
        <w:outlineLvl w:val="1"/>
        <w:rPr>
          <w:rFonts w:ascii="PMingLiU" w:eastAsia="PMingLiU" w:hAnsi="PMingLiU" w:cs="PMingLiU"/>
          <w:b/>
          <w:bCs/>
          <w:sz w:val="36"/>
          <w:szCs w:val="36"/>
          <w:lang w:eastAsia="zh-TW"/>
        </w:rPr>
      </w:pPr>
      <w:r w:rsidRPr="00182CA3">
        <w:rPr>
          <w:rFonts w:ascii="PMingLiU" w:eastAsia="PMingLiU" w:hAnsi="PMingLiU" w:cs="PMingLiU"/>
          <w:b/>
          <w:bCs/>
          <w:sz w:val="36"/>
          <w:szCs w:val="36"/>
          <w:lang w:eastAsia="zh-TW"/>
        </w:rPr>
        <w:t>2. Visualization Layer (FS11)</w:t>
      </w:r>
    </w:p>
    <w:p w:rsidR="00182CA3" w:rsidRPr="00182CA3" w:rsidRDefault="00182CA3" w:rsidP="00182CA3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182CA3">
        <w:rPr>
          <w:rFonts w:ascii="PMingLiU" w:eastAsia="PMingLiU" w:hAnsi="PMingLiU" w:cs="PMingLiU"/>
          <w:sz w:val="24"/>
          <w:szCs w:val="24"/>
          <w:lang w:eastAsia="zh-TW"/>
        </w:rPr>
        <w:t>Ratios are plotted as bar charts with thresholds marked. This makes deviations from Basel III requirements immediately visible.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plt.bar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(</w:t>
      </w:r>
      <w:proofErr w:type="spellStart"/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['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RatioName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'],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['Ratio'],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        color=['green' if c == 'Green' else 'red' for c in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df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['Compliance']])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lastRenderedPageBreak/>
        <w:t>plt.axhline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 xml:space="preserve">(y=100, color='black', </w:t>
      </w:r>
      <w:proofErr w:type="spell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linestyle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='--', label='Threshold')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plt.legend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()</w:t>
      </w:r>
      <w:proofErr w:type="gramEnd"/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plt.title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(</w:t>
      </w:r>
      <w:proofErr w:type="gramEnd"/>
      <w:r w:rsidRPr="00182CA3">
        <w:rPr>
          <w:rFonts w:ascii="MingLiU" w:eastAsia="MingLiU" w:hAnsi="MingLiU" w:cs="MingLiU"/>
          <w:sz w:val="24"/>
          <w:szCs w:val="24"/>
          <w:lang w:eastAsia="zh-TW"/>
        </w:rPr>
        <w:t>"Basel III Ratios Dashboard")</w:t>
      </w:r>
    </w:p>
    <w:p w:rsidR="00182CA3" w:rsidRPr="00182CA3" w:rsidRDefault="00182CA3" w:rsidP="0018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ingLiU" w:eastAsia="MingLiU" w:hAnsi="MingLiU" w:cs="MingLiU"/>
          <w:sz w:val="24"/>
          <w:szCs w:val="24"/>
          <w:lang w:eastAsia="zh-TW"/>
        </w:rPr>
      </w:pPr>
      <w:proofErr w:type="spellStart"/>
      <w:proofErr w:type="gramStart"/>
      <w:r w:rsidRPr="00182CA3">
        <w:rPr>
          <w:rFonts w:ascii="MingLiU" w:eastAsia="MingLiU" w:hAnsi="MingLiU" w:cs="MingLiU"/>
          <w:sz w:val="24"/>
          <w:szCs w:val="24"/>
          <w:lang w:eastAsia="zh-TW"/>
        </w:rPr>
        <w:t>plt.show</w:t>
      </w:r>
      <w:proofErr w:type="spellEnd"/>
      <w:r w:rsidRPr="00182CA3">
        <w:rPr>
          <w:rFonts w:ascii="MingLiU" w:eastAsia="MingLiU" w:hAnsi="MingLiU" w:cs="MingLiU"/>
          <w:sz w:val="24"/>
          <w:szCs w:val="24"/>
          <w:lang w:eastAsia="zh-TW"/>
        </w:rPr>
        <w:t>()</w:t>
      </w:r>
      <w:proofErr w:type="gramEnd"/>
    </w:p>
    <w:p w:rsidR="00182CA3" w:rsidRP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8" style="width:0;height:1.5pt" o:hralign="center" o:hrstd="t" o:hr="t" fillcolor="#a0a0a0" stroked="f"/>
        </w:pict>
      </w:r>
    </w:p>
    <w:p w:rsidR="00182CA3" w:rsidRPr="00182CA3" w:rsidRDefault="00182CA3" w:rsidP="00182CA3">
      <w:pPr>
        <w:spacing w:before="100" w:beforeAutospacing="1" w:after="100" w:afterAutospacing="1" w:line="240" w:lineRule="auto"/>
        <w:outlineLvl w:val="1"/>
        <w:rPr>
          <w:rFonts w:ascii="PMingLiU" w:eastAsia="PMingLiU" w:hAnsi="PMingLiU" w:cs="PMingLiU"/>
          <w:b/>
          <w:bCs/>
          <w:sz w:val="36"/>
          <w:szCs w:val="36"/>
          <w:lang w:eastAsia="zh-TW"/>
        </w:rPr>
      </w:pPr>
      <w:r w:rsidRPr="00182CA3">
        <w:rPr>
          <w:rFonts w:ascii="PMingLiU" w:eastAsia="PMingLiU" w:hAnsi="PMingLiU" w:cs="PMingLiU"/>
          <w:b/>
          <w:bCs/>
          <w:sz w:val="36"/>
          <w:szCs w:val="36"/>
          <w:lang w:eastAsia="zh-TW"/>
        </w:rPr>
        <w:t>3. Static Output (FS12)</w:t>
      </w:r>
    </w:p>
    <w:p w:rsidR="00182CA3" w:rsidRPr="00182CA3" w:rsidRDefault="00182CA3" w:rsidP="00182CA3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182CA3">
        <w:rPr>
          <w:rFonts w:ascii="PMingLiU" w:eastAsia="PMingLiU" w:hAnsi="PMingLiU" w:cs="PMingLiU"/>
          <w:sz w:val="24"/>
          <w:szCs w:val="24"/>
          <w:lang w:eastAsia="zh-TW"/>
        </w:rPr>
        <w:t xml:space="preserve">This dashboard is </w:t>
      </w:r>
      <w:r w:rsidRPr="00182CA3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not interactive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t>. It is a static visualization sourced from a small CSV file. The purpose is to demonstrate compliance status clearly, not to provide user controls or dynamic filtering.</w:t>
      </w:r>
    </w:p>
    <w:p w:rsidR="00182CA3" w:rsidRP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29" style="width:0;height:1.5pt" o:hralign="center" o:hrstd="t" o:hr="t" fillcolor="#a0a0a0" stroked="f"/>
        </w:pict>
      </w:r>
    </w:p>
    <w:p w:rsidR="00182CA3" w:rsidRPr="00182CA3" w:rsidRDefault="00182CA3" w:rsidP="00182CA3">
      <w:pPr>
        <w:spacing w:before="100" w:beforeAutospacing="1" w:after="100" w:afterAutospacing="1" w:line="240" w:lineRule="auto"/>
        <w:outlineLvl w:val="1"/>
        <w:rPr>
          <w:rFonts w:ascii="PMingLiU" w:eastAsia="PMingLiU" w:hAnsi="PMingLiU" w:cs="PMingLiU"/>
          <w:b/>
          <w:bCs/>
          <w:sz w:val="36"/>
          <w:szCs w:val="36"/>
          <w:lang w:eastAsia="zh-TW"/>
        </w:rPr>
      </w:pPr>
      <w:r w:rsidRPr="00182CA3">
        <w:rPr>
          <w:rFonts w:ascii="PMingLiU" w:eastAsia="PMingLiU" w:hAnsi="PMingLiU" w:cs="PMingLiU"/>
          <w:b/>
          <w:bCs/>
          <w:sz w:val="36"/>
          <w:szCs w:val="36"/>
          <w:lang w:eastAsia="zh-TW"/>
        </w:rPr>
        <w:t>4. Integration with Automation Outputs (FS13)</w:t>
      </w:r>
    </w:p>
    <w:p w:rsidR="00182CA3" w:rsidRPr="00182CA3" w:rsidRDefault="00182CA3" w:rsidP="00182CA3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182CA3">
        <w:rPr>
          <w:rFonts w:ascii="PMingLiU" w:eastAsia="PMingLiU" w:hAnsi="PMingLiU" w:cs="PMingLiU"/>
          <w:sz w:val="24"/>
          <w:szCs w:val="24"/>
          <w:lang w:eastAsia="zh-TW"/>
        </w:rPr>
        <w:t>The dashboard consumes reconciled datasets produced by the Automation Guideline. In practice, the CSV file (</w:t>
      </w:r>
      <w:r w:rsidRPr="00182CA3">
        <w:rPr>
          <w:rFonts w:ascii="MingLiU" w:eastAsia="MingLiU" w:hAnsi="MingLiU" w:cs="MingLiU"/>
          <w:sz w:val="24"/>
          <w:szCs w:val="24"/>
          <w:lang w:eastAsia="zh-TW"/>
        </w:rPr>
        <w:t>basel_ratios.csv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t>) is generated by the ETL pipeline and ratio automation modules, ensuring consistency between data preparation and visualization.</w:t>
      </w:r>
    </w:p>
    <w:p w:rsid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30" style="width:0;height:1.5pt" o:hralign="center" o:hrstd="t" o:hr="t" fillcolor="#a0a0a0" stroked="f"/>
        </w:pict>
      </w:r>
    </w:p>
    <w:p w:rsidR="00182CA3" w:rsidRDefault="00182CA3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182CA3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noProof/>
          <w:sz w:val="24"/>
          <w:szCs w:val="24"/>
          <w:lang w:eastAsia="zh-TW"/>
        </w:rPr>
        <w:drawing>
          <wp:inline distT="0" distB="0" distL="0" distR="0">
            <wp:extent cx="3759200" cy="1866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Default="005329D0" w:rsidP="005329D0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t>Program Output:</w:t>
      </w:r>
    </w:p>
    <w:p w:rsidR="005329D0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</w:p>
    <w:p w:rsidR="005329D0" w:rsidRPr="00182CA3" w:rsidRDefault="005329D0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 w:hint="eastAsia"/>
          <w:noProof/>
          <w:sz w:val="24"/>
          <w:szCs w:val="24"/>
          <w:lang w:eastAsia="zh-TW"/>
        </w:rPr>
        <w:lastRenderedPageBreak/>
        <w:drawing>
          <wp:inline distT="0" distB="0" distL="0" distR="0">
            <wp:extent cx="5486400" cy="2933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2CA3" w:rsidRPr="00182CA3" w:rsidRDefault="00182CA3" w:rsidP="00182CA3">
      <w:pPr>
        <w:spacing w:before="100" w:beforeAutospacing="1" w:after="100" w:afterAutospacing="1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 w:rsidRPr="00182CA3">
        <w:rPr>
          <w:rFonts w:ascii="PMingLiU" w:eastAsia="PMingLiU" w:hAnsi="PMingLiU" w:cs="PMingLiU"/>
          <w:b/>
          <w:bCs/>
          <w:sz w:val="24"/>
          <w:szCs w:val="24"/>
          <w:lang w:eastAsia="zh-TW"/>
        </w:rPr>
        <w:t>Conclusion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t xml:space="preserve"> 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br/>
        <w:t>The dashboard is the final deliverable, combining automation outputs into a clear, static interface. It demonstrates compliance, resilience, and performance in a format accessible to decision</w:t>
      </w:r>
      <w:r w:rsidRPr="00182CA3">
        <w:rPr>
          <w:rFonts w:ascii="PMingLiU" w:eastAsia="PMingLiU" w:hAnsi="PMingLiU" w:cs="PMingLiU"/>
          <w:sz w:val="24"/>
          <w:szCs w:val="24"/>
          <w:lang w:eastAsia="zh-TW"/>
        </w:rPr>
        <w:noBreakHyphen/>
        <w:t>makers. Together with the Installation, Schema, and Automation Guidelines, this document completes the ETL Pipeline for Financial Risk Data project.</w:t>
      </w:r>
    </w:p>
    <w:p w:rsidR="00182CA3" w:rsidRPr="00182CA3" w:rsidRDefault="007B5DD1" w:rsidP="00182CA3">
      <w:pPr>
        <w:spacing w:after="0" w:line="240" w:lineRule="auto"/>
        <w:rPr>
          <w:rFonts w:ascii="PMingLiU" w:eastAsia="PMingLiU" w:hAnsi="PMingLiU" w:cs="PMingLiU"/>
          <w:sz w:val="24"/>
          <w:szCs w:val="24"/>
          <w:lang w:eastAsia="zh-TW"/>
        </w:rPr>
      </w:pPr>
      <w:r>
        <w:rPr>
          <w:rFonts w:ascii="PMingLiU" w:eastAsia="PMingLiU" w:hAnsi="PMingLiU" w:cs="PMingLiU"/>
          <w:sz w:val="24"/>
          <w:szCs w:val="24"/>
          <w:lang w:eastAsia="zh-TW"/>
        </w:rPr>
        <w:pict>
          <v:rect id="_x0000_i1031" style="width:0;height:1.5pt" o:hralign="center" o:hrstd="t" o:hr="t" fillcolor="#a0a0a0" stroked="f"/>
        </w:pict>
      </w:r>
    </w:p>
    <w:p w:rsidR="007B178C" w:rsidRPr="00182CA3" w:rsidRDefault="007B178C" w:rsidP="00182CA3"/>
    <w:sectPr w:rsidR="007B178C" w:rsidRPr="00182CA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C3501"/>
    <w:multiLevelType w:val="multilevel"/>
    <w:tmpl w:val="48A6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D72A84"/>
    <w:multiLevelType w:val="multilevel"/>
    <w:tmpl w:val="952E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4EE"/>
    <w:rsid w:val="00182CA3"/>
    <w:rsid w:val="00344210"/>
    <w:rsid w:val="005329D0"/>
    <w:rsid w:val="007B178C"/>
    <w:rsid w:val="007B5DD1"/>
    <w:rsid w:val="0089015A"/>
    <w:rsid w:val="00B504EE"/>
    <w:rsid w:val="00F4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6D322"/>
  <w15:chartTrackingRefBased/>
  <w15:docId w15:val="{E22DF182-04D3-4CF2-910B-D03E11D28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40E0F"/>
    <w:pPr>
      <w:spacing w:before="100" w:beforeAutospacing="1" w:after="100" w:afterAutospacing="1" w:line="240" w:lineRule="auto"/>
      <w:outlineLvl w:val="0"/>
    </w:pPr>
    <w:rPr>
      <w:rFonts w:ascii="PMingLiU" w:eastAsia="PMingLiU" w:hAnsi="PMingLiU" w:cs="PMingLiU"/>
      <w:b/>
      <w:bCs/>
      <w:kern w:val="36"/>
      <w:sz w:val="48"/>
      <w:szCs w:val="48"/>
      <w:lang w:eastAsia="zh-TW"/>
    </w:rPr>
  </w:style>
  <w:style w:type="paragraph" w:styleId="Heading2">
    <w:name w:val="heading 2"/>
    <w:basedOn w:val="Normal"/>
    <w:link w:val="Heading2Char"/>
    <w:uiPriority w:val="9"/>
    <w:qFormat/>
    <w:rsid w:val="00F40E0F"/>
    <w:pPr>
      <w:spacing w:before="100" w:beforeAutospacing="1" w:after="100" w:afterAutospacing="1" w:line="240" w:lineRule="auto"/>
      <w:outlineLvl w:val="1"/>
    </w:pPr>
    <w:rPr>
      <w:rFonts w:ascii="PMingLiU" w:eastAsia="PMingLiU" w:hAnsi="PMingLiU" w:cs="PMingLiU"/>
      <w:b/>
      <w:bCs/>
      <w:sz w:val="36"/>
      <w:szCs w:val="36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0F"/>
    <w:rPr>
      <w:rFonts w:ascii="PMingLiU" w:eastAsia="PMingLiU" w:hAnsi="PMingLiU" w:cs="PMingLiU"/>
      <w:b/>
      <w:bCs/>
      <w:kern w:val="36"/>
      <w:sz w:val="48"/>
      <w:szCs w:val="48"/>
      <w:lang w:eastAsia="zh-TW"/>
    </w:rPr>
  </w:style>
  <w:style w:type="character" w:customStyle="1" w:styleId="Heading2Char">
    <w:name w:val="Heading 2 Char"/>
    <w:basedOn w:val="DefaultParagraphFont"/>
    <w:link w:val="Heading2"/>
    <w:uiPriority w:val="9"/>
    <w:rsid w:val="00F40E0F"/>
    <w:rPr>
      <w:rFonts w:ascii="PMingLiU" w:eastAsia="PMingLiU" w:hAnsi="PMingLiU" w:cs="PMingLiU"/>
      <w:b/>
      <w:bCs/>
      <w:sz w:val="36"/>
      <w:szCs w:val="36"/>
      <w:lang w:eastAsia="zh-TW"/>
    </w:rPr>
  </w:style>
  <w:style w:type="paragraph" w:styleId="NormalWeb">
    <w:name w:val="Normal (Web)"/>
    <w:basedOn w:val="Normal"/>
    <w:uiPriority w:val="99"/>
    <w:semiHidden/>
    <w:unhideWhenUsed/>
    <w:rsid w:val="00F40E0F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F40E0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0E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MingLiU" w:eastAsia="MingLiU" w:hAnsi="MingLiU" w:cs="MingLiU"/>
      <w:sz w:val="24"/>
      <w:szCs w:val="24"/>
      <w:lang w:eastAsia="zh-T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0E0F"/>
    <w:rPr>
      <w:rFonts w:ascii="MingLiU" w:eastAsia="MingLiU" w:hAnsi="MingLiU" w:cs="MingLiU"/>
      <w:sz w:val="24"/>
      <w:szCs w:val="24"/>
      <w:lang w:eastAsia="zh-TW"/>
    </w:rPr>
  </w:style>
  <w:style w:type="character" w:styleId="HTMLCode">
    <w:name w:val="HTML Code"/>
    <w:basedOn w:val="DefaultParagraphFont"/>
    <w:uiPriority w:val="99"/>
    <w:semiHidden/>
    <w:unhideWhenUsed/>
    <w:rsid w:val="00F40E0F"/>
    <w:rPr>
      <w:rFonts w:ascii="MingLiU" w:eastAsia="MingLiU" w:hAnsi="MingLiU" w:cs="MingLiU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48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Lo</dc:creator>
  <cp:keywords/>
  <dc:description/>
  <cp:lastModifiedBy>Peter Lo</cp:lastModifiedBy>
  <cp:revision>6</cp:revision>
  <dcterms:created xsi:type="dcterms:W3CDTF">2026-05-12T12:42:00Z</dcterms:created>
  <dcterms:modified xsi:type="dcterms:W3CDTF">2026-05-13T01:27:00Z</dcterms:modified>
</cp:coreProperties>
</file>