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120"/>
        <w:keepNext/>
      </w:pPr>
      <w:r>
        <w:rPr>
          <w:b/>
          <w:sz w:val="40"/>
          <w:color w:val="1F3864"/>
        </w:rPr>
        <w:t xml:space="preserve">Laboratorio de Tensión y Flexión</w:t>
      </w:r>
    </w:p>
    <w:p>
      <w:pPr>
        <w:spacing w:after="120"/>
      </w:pPr>
      <w:r>
        <w:rPr>
          <w:i/>
          <w:sz w:val="24"/>
          <w:color w:val="555555"/>
        </w:rPr>
        <w:t xml:space="preserve">Sustentación del libro de control de calidad digital — Respuestas a las preguntas orientadoras</w:t>
      </w:r>
    </w:p>
    <w:p>
      <w:pPr>
        <w:spacing w:after="120"/>
        <w:jc w:val="both"/>
      </w:pPr>
      <w:r>
        <w:t xml:space="preserve">Documento de respuestas sustentadas, elaborado a partir del análisis directo del libro de cálculo (hojas Control, Inspección, Cálculos, Resumen, Alertas y Referencias) y de los datos experimentales de los materiales ensayados: AISI 1020, AISI 1045, Aluminio, Bronce y Empack.</w:t>
      </w:r>
    </w:p>
    <w:p/>
    <w:p>
      <w:pPr>
        <w:spacing w:before="240" w:after="120"/>
        <w:keepNext/>
      </w:pPr>
      <w:r>
        <w:rPr>
          <w:b/>
          <w:sz w:val="32"/>
          <w:color w:val="1F3864"/>
        </w:rPr>
        <w:t xml:space="preserve">Datos experimentales de referencia (resumen)</w:t>
      </w:r>
    </w:p>
    <w:p>
      <w:pPr>
        <w:spacing w:after="120"/>
        <w:jc w:val="both"/>
      </w:pPr>
      <w:r>
        <w:t xml:space="preserve">Estos valores, extraídos de la hoja Resumen, se usan como base en varias de las respuestas siguientes:</w:t>
      </w:r>
    </w:p>
    <w:tbl>
      <w:tblPr>
        <w:tblW w:w="9000" w:type="dxa"/>
        <w:tblBorders>
          <w:top w:val="single" w:sz="4" w:color="A0A0A0"/>
          <w:left w:val="single" w:sz="4" w:color="A0A0A0"/>
          <w:bottom w:val="single" w:sz="4" w:color="A0A0A0"/>
          <w:right w:val="single" w:sz="4" w:color="A0A0A0"/>
          <w:insideH w:val="single" w:sz="4" w:color="A0A0A0"/>
          <w:insideV w:val="single" w:sz="4" w:color="A0A0A0"/>
        </w:tblBorders>
      </w:tblPr>
      <w:tblGrid>
        <w:gridCol w:w="2200"/>
        <w:gridCol w:w="1500"/>
        <w:gridCol w:w="1400"/>
        <w:gridCol w:w="1400"/>
        <w:gridCol w:w="1500"/>
        <w:gridCol w:w="1000"/>
      </w:tblGrid>
      <w:tr>
        <w:tc>
          <w:tcPr>
            <w:tcW w:w="2200" w:type="dxa"/>
            <w:shd w:val="clear" w:fill="1F3864"/>
          </w:tcPr>
          <w:p>
            <w:pPr>
              <w:spacing w:after="20"/>
            </w:pPr>
            <w:r>
              <w:rPr>
                <w:b/>
                <w:sz w:val="20"/>
                <w:color w:val="FFFFFF"/>
              </w:rPr>
              <w:t xml:space="preserve">Material</w:t>
            </w:r>
          </w:p>
        </w:tc>
        <w:tc>
          <w:tcPr>
            <w:tcW w:w="1500" w:type="dxa"/>
            <w:shd w:val="clear" w:fill="1F3864"/>
          </w:tcPr>
          <w:p>
            <w:pPr>
              <w:spacing w:after="20"/>
            </w:pPr>
            <w:r>
              <w:rPr>
                <w:b/>
                <w:sz w:val="20"/>
                <w:color w:val="FFFFFF"/>
              </w:rPr>
              <w:t xml:space="preserve">Su tensión (MPa)</w:t>
            </w:r>
          </w:p>
        </w:tc>
        <w:tc>
          <w:tcPr>
            <w:tcW w:w="1400" w:type="dxa"/>
            <w:shd w:val="clear" w:fill="1F3864"/>
          </w:tcPr>
          <w:p>
            <w:pPr>
              <w:spacing w:after="20"/>
            </w:pPr>
            <w:r>
              <w:rPr>
                <w:b/>
                <w:sz w:val="20"/>
                <w:color w:val="FFFFFF"/>
              </w:rPr>
              <w:t xml:space="preserve">σy 0,2% (MPa)</w:t>
            </w:r>
          </w:p>
        </w:tc>
        <w:tc>
          <w:tcPr>
            <w:tcW w:w="1400" w:type="dxa"/>
            <w:shd w:val="clear" w:fill="1F3864"/>
          </w:tcPr>
          <w:p>
            <w:pPr>
              <w:spacing w:after="20"/>
            </w:pPr>
            <w:r>
              <w:rPr>
                <w:b/>
                <w:sz w:val="20"/>
                <w:color w:val="FFFFFF"/>
              </w:rPr>
              <w:t xml:space="preserve">E tensión (GPa)</w:t>
            </w:r>
          </w:p>
        </w:tc>
        <w:tc>
          <w:tcPr>
            <w:tcW w:w="1500" w:type="dxa"/>
            <w:shd w:val="clear" w:fill="1F3864"/>
          </w:tcPr>
          <w:p>
            <w:pPr>
              <w:spacing w:after="20"/>
            </w:pPr>
            <w:r>
              <w:rPr>
                <w:b/>
                <w:sz w:val="20"/>
                <w:color w:val="FFFFFF"/>
              </w:rPr>
              <w:t xml:space="preserve">σf flexión (MPa)</w:t>
            </w:r>
          </w:p>
        </w:tc>
        <w:tc>
          <w:tcPr>
            <w:tcW w:w="1000" w:type="dxa"/>
            <w:shd w:val="clear" w:fill="1F3864"/>
          </w:tcPr>
          <w:p>
            <w:pPr>
              <w:spacing w:after="20"/>
            </w:pPr>
            <w:r>
              <w:rPr>
                <w:b/>
                <w:sz w:val="20"/>
                <w:color w:val="FFFFFF"/>
              </w:rPr>
              <w:t xml:space="preserve">Ef (GPa)</w:t>
            </w:r>
          </w:p>
        </w:tc>
      </w:tr>
      <w:tr>
        <w:tc>
          <w:tcPr>
            <w:tcW w:w="2200" w:type="dxa"/>
          </w:tcPr>
          <w:p>
            <w:pPr>
              <w:spacing w:after="20"/>
            </w:pPr>
            <w:r>
              <w:rPr>
                <w:sz w:val="20"/>
              </w:rPr>
              <w:t xml:space="preserve">AISI 1020</w:t>
            </w:r>
          </w:p>
        </w:tc>
        <w:tc>
          <w:tcPr>
            <w:tcW w:w="1500" w:type="dxa"/>
          </w:tcPr>
          <w:p>
            <w:pPr>
              <w:spacing w:after="20"/>
            </w:pPr>
            <w:r>
              <w:rPr>
                <w:sz w:val="20"/>
              </w:rPr>
              <w:t xml:space="preserve">613,2</w:t>
            </w:r>
          </w:p>
        </w:tc>
        <w:tc>
          <w:tcPr>
            <w:tcW w:w="1400" w:type="dxa"/>
          </w:tcPr>
          <w:p>
            <w:pPr>
              <w:spacing w:after="20"/>
            </w:pPr>
            <w:r>
              <w:rPr>
                <w:sz w:val="20"/>
              </w:rPr>
              <w:t xml:space="preserve">528,7</w:t>
            </w:r>
          </w:p>
        </w:tc>
        <w:tc>
          <w:tcPr>
            <w:tcW w:w="1400" w:type="dxa"/>
          </w:tcPr>
          <w:p>
            <w:pPr>
              <w:spacing w:after="20"/>
            </w:pPr>
            <w:r>
              <w:rPr>
                <w:sz w:val="20"/>
              </w:rPr>
              <w:t xml:space="preserve">12,1</w:t>
            </w:r>
          </w:p>
        </w:tc>
        <w:tc>
          <w:tcPr>
            <w:tcW w:w="1500" w:type="dxa"/>
          </w:tcPr>
          <w:p>
            <w:pPr>
              <w:spacing w:after="20"/>
            </w:pPr>
            <w:r>
              <w:rPr>
                <w:sz w:val="20"/>
              </w:rPr>
              <w:t xml:space="preserve">970,6</w:t>
            </w:r>
          </w:p>
        </w:tc>
        <w:tc>
          <w:tcPr>
            <w:tcW w:w="1000" w:type="dxa"/>
          </w:tcPr>
          <w:p>
            <w:pPr>
              <w:spacing w:after="20"/>
            </w:pPr>
            <w:r>
              <w:rPr>
                <w:sz w:val="20"/>
              </w:rPr>
              <w:t xml:space="preserve">132,7</w:t>
            </w:r>
          </w:p>
        </w:tc>
      </w:tr>
      <w:tr>
        <w:tc>
          <w:tcPr>
            <w:tcW w:w="2200" w:type="dxa"/>
            <w:shd w:val="clear" w:fill="F2F5FA"/>
          </w:tcPr>
          <w:p>
            <w:pPr>
              <w:spacing w:after="20"/>
            </w:pPr>
            <w:r>
              <w:rPr>
                <w:sz w:val="20"/>
              </w:rPr>
              <w:t xml:space="preserve">AISI 1045</w:t>
            </w:r>
          </w:p>
        </w:tc>
        <w:tc>
          <w:tcPr>
            <w:tcW w:w="1500" w:type="dxa"/>
            <w:shd w:val="clear" w:fill="F2F5FA"/>
          </w:tcPr>
          <w:p>
            <w:pPr>
              <w:spacing w:after="20"/>
            </w:pPr>
            <w:r>
              <w:rPr>
                <w:sz w:val="20"/>
              </w:rPr>
              <w:t xml:space="preserve">390,6</w:t>
            </w:r>
          </w:p>
        </w:tc>
        <w:tc>
          <w:tcPr>
            <w:tcW w:w="1400" w:type="dxa"/>
            <w:shd w:val="clear" w:fill="F2F5FA"/>
          </w:tcPr>
          <w:p>
            <w:pPr>
              <w:spacing w:after="20"/>
            </w:pPr>
            <w:r>
              <w:rPr>
                <w:sz w:val="20"/>
              </w:rPr>
              <w:t xml:space="preserve">351,1</w:t>
            </w:r>
          </w:p>
        </w:tc>
        <w:tc>
          <w:tcPr>
            <w:tcW w:w="1400" w:type="dxa"/>
            <w:shd w:val="clear" w:fill="F2F5FA"/>
          </w:tcPr>
          <w:p>
            <w:pPr>
              <w:spacing w:after="20"/>
            </w:pPr>
            <w:r>
              <w:rPr>
                <w:sz w:val="20"/>
              </w:rPr>
              <w:t xml:space="preserve">10,5</w:t>
            </w:r>
          </w:p>
        </w:tc>
        <w:tc>
          <w:tcPr>
            <w:tcW w:w="1500" w:type="dxa"/>
            <w:shd w:val="clear" w:fill="F2F5FA"/>
          </w:tcPr>
          <w:p>
            <w:pPr>
              <w:spacing w:after="20"/>
            </w:pPr>
            <w:r>
              <w:rPr>
                <w:sz w:val="20"/>
              </w:rPr>
              <w:t xml:space="preserve">924,3</w:t>
            </w:r>
          </w:p>
        </w:tc>
        <w:tc>
          <w:tcPr>
            <w:tcW w:w="1000" w:type="dxa"/>
            <w:shd w:val="clear" w:fill="F2F5FA"/>
          </w:tcPr>
          <w:p>
            <w:pPr>
              <w:spacing w:after="20"/>
            </w:pPr>
            <w:r>
              <w:rPr>
                <w:sz w:val="20"/>
              </w:rPr>
              <w:t xml:space="preserve">125,0</w:t>
            </w:r>
          </w:p>
        </w:tc>
      </w:tr>
      <w:tr>
        <w:tc>
          <w:tcPr>
            <w:tcW w:w="2200" w:type="dxa"/>
          </w:tcPr>
          <w:p>
            <w:pPr>
              <w:spacing w:after="20"/>
            </w:pPr>
            <w:r>
              <w:rPr>
                <w:sz w:val="20"/>
              </w:rPr>
              <w:t xml:space="preserve">Aluminio</w:t>
            </w:r>
          </w:p>
        </w:tc>
        <w:tc>
          <w:tcPr>
            <w:tcW w:w="1500" w:type="dxa"/>
          </w:tcPr>
          <w:p>
            <w:pPr>
              <w:spacing w:after="20"/>
            </w:pPr>
            <w:r>
              <w:rPr>
                <w:sz w:val="20"/>
              </w:rPr>
              <w:t xml:space="preserve">183,3</w:t>
            </w:r>
          </w:p>
        </w:tc>
        <w:tc>
          <w:tcPr>
            <w:tcW w:w="1400" w:type="dxa"/>
          </w:tcPr>
          <w:p>
            <w:pPr>
              <w:spacing w:after="20"/>
            </w:pPr>
            <w:r>
              <w:rPr>
                <w:sz w:val="20"/>
              </w:rPr>
              <w:t xml:space="preserve">166,7</w:t>
            </w:r>
          </w:p>
        </w:tc>
        <w:tc>
          <w:tcPr>
            <w:tcW w:w="1400" w:type="dxa"/>
          </w:tcPr>
          <w:p>
            <w:pPr>
              <w:spacing w:after="20"/>
            </w:pPr>
            <w:r>
              <w:rPr>
                <w:sz w:val="20"/>
              </w:rPr>
              <w:t xml:space="preserve">4,8</w:t>
            </w:r>
          </w:p>
        </w:tc>
        <w:tc>
          <w:tcPr>
            <w:tcW w:w="1500" w:type="dxa"/>
          </w:tcPr>
          <w:p>
            <w:pPr>
              <w:spacing w:after="20"/>
            </w:pPr>
            <w:r>
              <w:rPr>
                <w:sz w:val="20"/>
              </w:rPr>
              <w:t xml:space="preserve">521,9</w:t>
            </w:r>
          </w:p>
        </w:tc>
        <w:tc>
          <w:tcPr>
            <w:tcW w:w="1000" w:type="dxa"/>
          </w:tcPr>
          <w:p>
            <w:pPr>
              <w:spacing w:after="20"/>
            </w:pPr>
            <w:r>
              <w:rPr>
                <w:sz w:val="20"/>
              </w:rPr>
              <w:t xml:space="preserve">49,5</w:t>
            </w:r>
          </w:p>
        </w:tc>
      </w:tr>
      <w:tr>
        <w:tc>
          <w:tcPr>
            <w:tcW w:w="2200" w:type="dxa"/>
            <w:shd w:val="clear" w:fill="F2F5FA"/>
          </w:tcPr>
          <w:p>
            <w:pPr>
              <w:spacing w:after="20"/>
            </w:pPr>
            <w:r>
              <w:rPr>
                <w:sz w:val="20"/>
              </w:rPr>
              <w:t xml:space="preserve">Bronce</w:t>
            </w:r>
          </w:p>
        </w:tc>
        <w:tc>
          <w:tcPr>
            <w:tcW w:w="1500" w:type="dxa"/>
            <w:shd w:val="clear" w:fill="F2F5FA"/>
          </w:tcPr>
          <w:p>
            <w:pPr>
              <w:spacing w:after="20"/>
            </w:pPr>
            <w:r>
              <w:rPr>
                <w:sz w:val="20"/>
              </w:rPr>
              <w:t xml:space="preserve">338,6</w:t>
            </w:r>
          </w:p>
        </w:tc>
        <w:tc>
          <w:tcPr>
            <w:tcW w:w="1400" w:type="dxa"/>
            <w:shd w:val="clear" w:fill="F2F5FA"/>
          </w:tcPr>
          <w:p>
            <w:pPr>
              <w:spacing w:after="20"/>
            </w:pPr>
            <w:r>
              <w:rPr>
                <w:sz w:val="20"/>
              </w:rPr>
              <w:t xml:space="preserve">218,0</w:t>
            </w:r>
          </w:p>
        </w:tc>
        <w:tc>
          <w:tcPr>
            <w:tcW w:w="1400" w:type="dxa"/>
            <w:shd w:val="clear" w:fill="F2F5FA"/>
          </w:tcPr>
          <w:p>
            <w:pPr>
              <w:spacing w:after="20"/>
            </w:pPr>
            <w:r>
              <w:rPr>
                <w:sz w:val="20"/>
              </w:rPr>
              <w:t xml:space="preserve">7,3</w:t>
            </w:r>
          </w:p>
        </w:tc>
        <w:tc>
          <w:tcPr>
            <w:tcW w:w="1500" w:type="dxa"/>
            <w:shd w:val="clear" w:fill="F2F5FA"/>
          </w:tcPr>
          <w:p>
            <w:pPr>
              <w:spacing w:after="20"/>
            </w:pPr>
            <w:r>
              <w:rPr>
                <w:sz w:val="20"/>
              </w:rPr>
              <w:t xml:space="preserve">671,1</w:t>
            </w:r>
          </w:p>
        </w:tc>
        <w:tc>
          <w:tcPr>
            <w:tcW w:w="1000" w:type="dxa"/>
            <w:shd w:val="clear" w:fill="F2F5FA"/>
          </w:tcPr>
          <w:p>
            <w:pPr>
              <w:spacing w:after="20"/>
            </w:pPr>
            <w:r>
              <w:rPr>
                <w:sz w:val="20"/>
              </w:rPr>
              <w:t xml:space="preserve">70,7</w:t>
            </w:r>
          </w:p>
        </w:tc>
      </w:tr>
      <w:tr>
        <w:tc>
          <w:tcPr>
            <w:tcW w:w="2200" w:type="dxa"/>
          </w:tcPr>
          <w:p>
            <w:pPr>
              <w:spacing w:after="20"/>
            </w:pPr>
            <w:r>
              <w:rPr>
                <w:sz w:val="20"/>
              </w:rPr>
              <w:t xml:space="preserve">Empack</w:t>
            </w:r>
          </w:p>
        </w:tc>
        <w:tc>
          <w:tcPr>
            <w:tcW w:w="1500" w:type="dxa"/>
          </w:tcPr>
          <w:p>
            <w:pPr>
              <w:spacing w:after="20"/>
            </w:pPr>
            <w:r>
              <w:rPr>
                <w:sz w:val="20"/>
              </w:rPr>
              <w:t xml:space="preserve">39,4</w:t>
            </w:r>
          </w:p>
        </w:tc>
        <w:tc>
          <w:tcPr>
            <w:tcW w:w="1400" w:type="dxa"/>
          </w:tcPr>
          <w:p>
            <w:pPr>
              <w:spacing w:after="20"/>
            </w:pPr>
            <w:r>
              <w:rPr>
                <w:sz w:val="20"/>
              </w:rPr>
              <w:t xml:space="preserve">13,9</w:t>
            </w:r>
          </w:p>
        </w:tc>
        <w:tc>
          <w:tcPr>
            <w:tcW w:w="1400" w:type="dxa"/>
          </w:tcPr>
          <w:p>
            <w:pPr>
              <w:spacing w:after="20"/>
            </w:pPr>
            <w:r>
              <w:rPr>
                <w:sz w:val="20"/>
              </w:rPr>
              <w:t xml:space="preserve">0,28</w:t>
            </w:r>
          </w:p>
        </w:tc>
        <w:tc>
          <w:tcPr>
            <w:tcW w:w="1500" w:type="dxa"/>
          </w:tcPr>
          <w:p>
            <w:pPr>
              <w:spacing w:after="20"/>
            </w:pPr>
            <w:r>
              <w:rPr>
                <w:sz w:val="20"/>
              </w:rPr>
              <w:t xml:space="preserve">51,6</w:t>
            </w:r>
          </w:p>
        </w:tc>
        <w:tc>
          <w:tcPr>
            <w:tcW w:w="1000" w:type="dxa"/>
          </w:tcPr>
          <w:p>
            <w:pPr>
              <w:spacing w:after="20"/>
            </w:pPr>
            <w:r>
              <w:rPr>
                <w:sz w:val="20"/>
              </w:rPr>
              <w:t xml:space="preserve">n/d</w:t>
            </w:r>
          </w:p>
        </w:tc>
      </w:tr>
    </w:tbl>
    <w:p/>
    <w:p>
      <w:pPr>
        <w:spacing w:after="120"/>
        <w:jc w:val="both"/>
      </w:pPr>
      <w:r>
        <w:rPr>
          <w:b/>
        </w:rPr>
        <w:t xml:space="preserve">Nota: </w:t>
      </w:r>
      <w:r>
        <w:rPr>
          <w:i/>
        </w:rPr>
        <w:t xml:space="preserve">el módulo E de tensión es anómalamente bajo en todos los materiales porque el ensayo se realizó sin extensómetro (la deformación se obtuvo de la carrera del cabezal). Este punto se desarrolla en las preguntas 6, 7, 8, 10, 13 y 22.</w:t>
      </w:r>
    </w:p>
    <w:p>
      <w:pPr>
        <w:spacing w:before="240" w:after="120"/>
        <w:keepNext/>
      </w:pPr>
      <w:r>
        <w:rPr>
          <w:b/>
          <w:sz w:val="26"/>
          <w:color w:val="2E4D7B"/>
        </w:rPr>
        <w:t xml:space="preserve">1. ¿Qué datos recibe la herramienta?</w:t>
      </w:r>
    </w:p>
    <w:p>
      <w:pPr>
        <w:spacing w:after="120"/>
        <w:jc w:val="both"/>
      </w:pPr>
      <w:r>
        <w:t xml:space="preserve">La herramienta recibe archivos de texto plano (.TXT) generados directamente por la máquina de ensayos universal, uno por probeta y por tipo de ensayo. Cada archivo contiene dos bloques:</w:t>
      </w:r>
    </w:p>
    <w:p>
      <w:pPr>
        <w:numPr>
          <w:ilvl w:val="0"/>
          <w:numId w:val="1"/>
        </w:numPr>
        <w:spacing w:after="60"/>
      </w:pPr>
      <w:r>
        <w:t xml:space="preserve">Un encabezado con metadatos del ensayo: símbolo y unidades, la geometría de la probeta (diámetro, longitud inicial o luz, área) y los resultados que la propia máquina reporta (su, sb, %Elong, Ar en tensión; E, Su, Sy en flexión).</w:t>
      </w:r>
    </w:p>
    <w:p>
      <w:pPr>
        <w:numPr>
          <w:ilvl w:val="0"/>
          <w:numId w:val="1"/>
        </w:numPr>
        <w:spacing w:after="60"/>
      </w:pPr>
      <w:r>
        <w:t xml:space="preserve">Una tabla de registros muestreados cada 200 ms, con las columnas Número, Load (carga en toneladas-fuerza, tf), Stroke (carrera del cabezal en mm), Elong (elongación del extensómetro en mm) y Width.</w:t>
      </w:r>
    </w:p>
    <w:p>
      <w:pPr>
        <w:spacing w:after="120"/>
        <w:jc w:val="both"/>
      </w:pPr>
      <w:r>
        <w:t xml:space="preserve">La importación a Excel se hace con Power Query, que lee automáticamente todas las probetas presentes en las carpetas de tensión y flexión. El libro no recibe datos digitados manualmente: toda la información de partida proviene del archivo de la máquina y de las mediciones de calibrador que registra el operador en la hoja Control (sección 7).</w:t>
      </w:r>
    </w:p>
    <w:p>
      <w:pPr>
        <w:spacing w:before="240" w:after="120"/>
        <w:keepNext/>
      </w:pPr>
      <w:r>
        <w:rPr>
          <w:b/>
          <w:sz w:val="26"/>
          <w:color w:val="2E4D7B"/>
        </w:rPr>
        <w:t xml:space="preserve">2. ¿Qué transforma?</w:t>
      </w:r>
    </w:p>
    <w:p>
      <w:pPr>
        <w:spacing w:after="120"/>
        <w:jc w:val="both"/>
      </w:pPr>
      <w:r>
        <w:t xml:space="preserve">El libro convierte las señales crudas de la máquina en magnitudes de ingeniería mediante una cadena de transformaciones encadenadas:</w:t>
      </w:r>
    </w:p>
    <w:p>
      <w:pPr>
        <w:numPr>
          <w:ilvl w:val="0"/>
          <w:numId w:val="1"/>
        </w:numPr>
        <w:spacing w:after="60"/>
      </w:pPr>
      <w:r>
        <w:t xml:space="preserve">Carga a fuerza: multiplica la carga en tf por el factor 9806,65 N/tf para obtener la fuerza en Newtons.</w:t>
      </w:r>
    </w:p>
    <w:p>
      <w:pPr>
        <w:numPr>
          <w:ilvl w:val="0"/>
          <w:numId w:val="1"/>
        </w:numPr>
        <w:spacing w:after="60"/>
      </w:pPr>
      <w:r>
        <w:t xml:space="preserve">Fuerza a esfuerzo: en tensión σ = F/A₀; en flexión σf = 8·F·L/(π·d³).</w:t>
      </w:r>
    </w:p>
    <w:p>
      <w:pPr>
        <w:numPr>
          <w:ilvl w:val="0"/>
          <w:numId w:val="1"/>
        </w:numPr>
        <w:spacing w:after="60"/>
      </w:pPr>
      <w:r>
        <w:t xml:space="preserve">Carrera a deformación: ε = carrera / L₀ (deformación de ingeniería).</w:t>
      </w:r>
    </w:p>
    <w:p>
      <w:pPr>
        <w:numPr>
          <w:ilvl w:val="0"/>
          <w:numId w:val="1"/>
        </w:numPr>
        <w:spacing w:after="60"/>
      </w:pPr>
      <w:r>
        <w:t xml:space="preserve">Ingeniería a verdadero: σ_verdadero = σ·(1+ε) y ε_verdadero = ln(1+ε), necesarios para el análisis plástico.</w:t>
      </w:r>
    </w:p>
    <w:p>
      <w:pPr>
        <w:numPr>
          <w:ilvl w:val="0"/>
          <w:numId w:val="1"/>
        </w:numPr>
        <w:spacing w:after="60"/>
      </w:pPr>
      <w:r>
        <w:t xml:space="preserve">Linealización logarítmica: ln(σ) y ln(ε plástica) para ajustar el modelo de endurecimiento de Hollomon y obtener el exponente n.</w:t>
      </w:r>
    </w:p>
    <w:p>
      <w:pPr>
        <w:spacing w:after="120"/>
        <w:jc w:val="both"/>
      </w:pPr>
      <w:r>
        <w:t xml:space="preserve">Todas estas transformaciones se realizan registro a registro en las hojas Cálculos_tensión y Cálculos_flexión, sin intervención manual.</w:t>
      </w:r>
    </w:p>
    <w:p>
      <w:pPr>
        <w:spacing w:before="240" w:after="120"/>
        <w:keepNext/>
      </w:pPr>
      <w:r>
        <w:rPr>
          <w:b/>
          <w:sz w:val="26"/>
          <w:color w:val="2E4D7B"/>
        </w:rPr>
        <w:t xml:space="preserve">3. ¿Qué calcula?</w:t>
      </w:r>
    </w:p>
    <w:p>
      <w:pPr>
        <w:spacing w:after="120"/>
        <w:jc w:val="both"/>
      </w:pPr>
      <w:r>
        <w:t xml:space="preserve">A partir de las magnitudes transformadas, el libro calcula las propiedades mecánicas del material:</w:t>
      </w:r>
    </w:p>
    <w:p>
      <w:pPr>
        <w:numPr>
          <w:ilvl w:val="0"/>
          <w:numId w:val="1"/>
        </w:numPr>
        <w:spacing w:after="60"/>
      </w:pPr>
      <w:r>
        <w:t xml:space="preserve">Resistencia última Su (tensión) y esfuerzo de flexión máximo σf.</w:t>
      </w:r>
    </w:p>
    <w:p>
      <w:pPr>
        <w:numPr>
          <w:ilvl w:val="0"/>
          <w:numId w:val="1"/>
        </w:numPr>
        <w:spacing w:after="60"/>
      </w:pPr>
      <w:r>
        <w:t xml:space="preserve">Límite de fluencia convencional σy por el método del offset 0,2 %.</w:t>
      </w:r>
    </w:p>
    <w:p>
      <w:pPr>
        <w:numPr>
          <w:ilvl w:val="0"/>
          <w:numId w:val="1"/>
        </w:numPr>
        <w:spacing w:after="60"/>
      </w:pPr>
      <w:r>
        <w:t xml:space="preserve">Módulo de elasticidad E (tensión) y módulo de flexión Ef, como pendiente de la región lineal.</w:t>
      </w:r>
    </w:p>
    <w:p>
      <w:pPr>
        <w:numPr>
          <w:ilvl w:val="0"/>
          <w:numId w:val="1"/>
        </w:numPr>
        <w:spacing w:after="60"/>
      </w:pPr>
      <w:r>
        <w:t xml:space="preserve">Deformación en Su, relación Su/σy (reserva plástica).</w:t>
      </w:r>
    </w:p>
    <w:p>
      <w:pPr>
        <w:numPr>
          <w:ilvl w:val="0"/>
          <w:numId w:val="1"/>
        </w:numPr>
        <w:spacing w:after="60"/>
      </w:pPr>
      <w:r>
        <w:t xml:space="preserve">Tenacidad Ut (área bajo la curva σ–ε, integrada por la regla del trapecio) y resiliencia Ur.</w:t>
      </w:r>
    </w:p>
    <w:p>
      <w:pPr>
        <w:numPr>
          <w:ilvl w:val="0"/>
          <w:numId w:val="1"/>
        </w:numPr>
        <w:spacing w:after="60"/>
      </w:pPr>
      <w:r>
        <w:t xml:space="preserve">Exponente de endurecimiento por deformación n (modelo de Hollomon).</w:t>
      </w:r>
    </w:p>
    <w:p>
      <w:pPr>
        <w:spacing w:after="120"/>
        <w:jc w:val="both"/>
      </w:pPr>
      <w:r>
        <w:t xml:space="preserve">Todos los resultados son fórmulas que se recalculan automáticamente al cambiar el material o actualizar los datos.</w:t>
      </w:r>
    </w:p>
    <w:p>
      <w:pPr>
        <w:spacing w:before="240" w:after="120"/>
        <w:keepNext/>
      </w:pPr>
      <w:r>
        <w:rPr>
          <w:b/>
          <w:sz w:val="26"/>
          <w:color w:val="2E4D7B"/>
        </w:rPr>
        <w:t xml:space="preserve">4. ¿Cómo identificó si un archivo corresponde a tensión o flexión?</w:t>
      </w:r>
    </w:p>
    <w:p>
      <w:pPr>
        <w:spacing w:after="120"/>
        <w:jc w:val="both"/>
      </w:pPr>
      <w:r>
        <w:t xml:space="preserve">El libro no confía en el nombre del archivo, que puede inducir a error. En la hoja Inspección recalcula la resistencia última de dos formas: como si fuera tracción (Su = Fmax/A, usando el área) y como si fuera flexión (σf = 8·Fmax·L/(π·d³), usando la geometría de viga). Luego compara cada resultado con el valor de Su que reporta el encabezado de la máquina y gana la fórmula cuyo resultado lo reproduce dentro de la tolerancia.</w:t>
      </w:r>
    </w:p>
    <w:p>
      <w:pPr>
        <w:spacing w:after="120"/>
        <w:jc w:val="both"/>
      </w:pPr>
      <w:r>
        <w:t xml:space="preserve">Esta identificación es crítica porque toda la cadena de cálculo depende de ella: aplicar la fórmula de tensión a un ensayo de flexión (o viceversa) produciría esfuerzos completamente erróneos. El caso que vivimos al probar un material nuevo lo confirma: cuando el encabezado del archivo de tensión no tenía el formato esperado (su, sb, %Elong, Ar), el libro no lo reconoció como tensión y devolvió 'n/d', precisamente porque esta verificación no se cumplía.</w:t>
      </w:r>
    </w:p>
    <w:p>
      <w:pPr>
        <w:spacing w:before="240" w:after="120"/>
        <w:keepNext/>
      </w:pPr>
      <w:r>
        <w:rPr>
          <w:b/>
          <w:sz w:val="26"/>
          <w:color w:val="2E4D7B"/>
        </w:rPr>
        <w:t xml:space="preserve">5. ¿Qué propiedades pueden calcularse confiablemente?</w:t>
      </w:r>
    </w:p>
    <w:p>
      <w:pPr>
        <w:spacing w:after="120"/>
        <w:jc w:val="both"/>
      </w:pPr>
      <w:r>
        <w:t xml:space="preserve">Las propiedades que dependen de la fuerza, porque la carga es una medición directa, estable y de alta resolución de la máquina. En concreto:</w:t>
      </w:r>
    </w:p>
    <w:p>
      <w:pPr>
        <w:numPr>
          <w:ilvl w:val="0"/>
          <w:numId w:val="1"/>
        </w:numPr>
        <w:spacing w:after="60"/>
      </w:pPr>
      <w:r>
        <w:t xml:space="preserve">La resistencia última Su en tensión (Su = Fmax/A₀).</w:t>
      </w:r>
    </w:p>
    <w:p>
      <w:pPr>
        <w:numPr>
          <w:ilvl w:val="0"/>
          <w:numId w:val="1"/>
        </w:numPr>
        <w:spacing w:after="60"/>
      </w:pPr>
      <w:r>
        <w:t xml:space="preserve">El esfuerzo de flexión máximo σf (con la salvedad de la pregunta 17).</w:t>
      </w:r>
    </w:p>
    <w:p>
      <w:pPr>
        <w:spacing w:after="120"/>
        <w:jc w:val="both"/>
      </w:pPr>
      <w:r>
        <w:t xml:space="preserve">La confiabilidad se comprueba en la hoja Alertas: el indicador 'Su recalculado vs Su del equipo' quedó en VERDE con una diferencia prácticamente nula (del orden de 10⁻⁵ %), lo que demuestra que la geometría, las unidades y el tipo de ensayo son coherentes para el cálculo de la resistencia.</w:t>
      </w:r>
    </w:p>
    <w:p>
      <w:pPr>
        <w:spacing w:before="240" w:after="120"/>
        <w:keepNext/>
      </w:pPr>
      <w:r>
        <w:rPr>
          <w:b/>
          <w:sz w:val="26"/>
          <w:color w:val="2E4D7B"/>
        </w:rPr>
        <w:t xml:space="preserve">6. ¿Qué propiedades presentan mayor incertidumbre?</w:t>
      </w:r>
    </w:p>
    <w:p>
      <w:pPr>
        <w:spacing w:after="120"/>
        <w:jc w:val="both"/>
      </w:pPr>
      <w:r>
        <w:t xml:space="preserve">Todas las que dependen de la deformación, porque el ensayo se realizó sin extensómetro y la deformación se obtuvo de la carrera del cabezal. Esa carrera incluye no solo el alargamiento de la probeta, sino también las holguras de las mordazas y la rigidez elástica de la propia máquina. Las propiedades afectadas son:</w:t>
      </w:r>
    </w:p>
    <w:p>
      <w:pPr>
        <w:numPr>
          <w:ilvl w:val="0"/>
          <w:numId w:val="1"/>
        </w:numPr>
        <w:spacing w:after="60"/>
      </w:pPr>
      <w:r>
        <w:t xml:space="preserve">El módulo de elasticidad E. En el AISI 1020 se obtuvo E ≈ 12,1 GPa cuando el acero debería estar en torno a 205 GPa: un valor casi 17 veces menor, físicamente imposible para un acero.</w:t>
      </w:r>
    </w:p>
    <w:p>
      <w:pPr>
        <w:numPr>
          <w:ilvl w:val="0"/>
          <w:numId w:val="1"/>
        </w:numPr>
        <w:spacing w:after="60"/>
      </w:pPr>
      <w:r>
        <w:t xml:space="preserve">El límite de fluencia σy por offset 0,2 %, que se apoya en la pendiente elástica y, por tanto, hereda su error.</w:t>
      </w:r>
    </w:p>
    <w:p>
      <w:pPr>
        <w:numPr>
          <w:ilvl w:val="0"/>
          <w:numId w:val="1"/>
        </w:numPr>
        <w:spacing w:after="60"/>
      </w:pPr>
      <w:r>
        <w:t xml:space="preserve">La resiliencia, la deformación de rotura y el origen de la curva.</w:t>
      </w:r>
    </w:p>
    <w:p>
      <w:pPr>
        <w:spacing w:after="120"/>
        <w:jc w:val="both"/>
      </w:pPr>
      <w:r>
        <w:t xml:space="preserve">La hoja Alertas marca esto explícitamente: el indicador 'Módulo medido / módulo de referencia' dio 0,059 y se encendió en ROJO, con el fundamento de que un E tan inferior al del acero indica que la medición incluye la rigidez de la máquina y no es una propiedad del material.</w:t>
      </w:r>
    </w:p>
    <w:p>
      <w:pPr>
        <w:spacing w:before="240" w:after="120"/>
        <w:keepNext/>
      </w:pPr>
      <w:r>
        <w:rPr>
          <w:b/>
          <w:sz w:val="26"/>
          <w:color w:val="2E4D7B"/>
        </w:rPr>
        <w:t xml:space="preserve">7. ¿Cómo determina la región elástica?</w:t>
      </w:r>
    </w:p>
    <w:p>
      <w:pPr>
        <w:spacing w:after="120"/>
        <w:jc w:val="both"/>
      </w:pPr>
      <w:r>
        <w:t xml:space="preserve">Mediante una ventana móvil de 30 registros (parámetro N_VENT, equivalente a 6 s de ensayo a 200 ms por muestra) que se desliza a lo largo de toda la curva esfuerzo–deformación. En cada posición de la ventana calcula la pendiente (función SLOPE) y el coeficiente de determinación R² (función RSQ).</w:t>
      </w:r>
    </w:p>
    <w:p>
      <w:pPr>
        <w:spacing w:after="120"/>
        <w:jc w:val="both"/>
      </w:pPr>
      <w:r>
        <w:t xml:space="preserve">Para aceptar una ventana como 'región elástica' deben cumplirse tres condiciones simultáneas:</w:t>
      </w:r>
    </w:p>
    <w:p>
      <w:pPr>
        <w:numPr>
          <w:ilvl w:val="0"/>
          <w:numId w:val="1"/>
        </w:numPr>
        <w:spacing w:after="60"/>
      </w:pPr>
      <w:r>
        <w:t xml:space="preserve">R² ≥ 0,995 (parámetro R2_MIN): la ventana debe ser prácticamente una recta.</w:t>
      </w:r>
    </w:p>
    <w:p>
      <w:pPr>
        <w:numPr>
          <w:ilvl w:val="0"/>
          <w:numId w:val="1"/>
        </w:numPr>
        <w:spacing w:after="60"/>
      </w:pPr>
      <w:r>
        <w:t xml:space="preserve">El esfuerzo inicial de la ventana debe superar el 5 % del máximo (WIN_LO), para descartar el tramo inicial de acomodamiento de mordazas.</w:t>
      </w:r>
    </w:p>
    <w:p>
      <w:pPr>
        <w:numPr>
          <w:ilvl w:val="0"/>
          <w:numId w:val="1"/>
        </w:numPr>
        <w:spacing w:after="60"/>
      </w:pPr>
      <w:r>
        <w:t xml:space="preserve">El esfuerzo final de la ventana no debe superar el 70 % del máximo (WIN_HI), para no invadir la zona plástica.</w:t>
      </w:r>
    </w:p>
    <w:p>
      <w:pPr>
        <w:spacing w:after="120"/>
        <w:jc w:val="both"/>
      </w:pPr>
      <w:r>
        <w:t xml:space="preserve">De este modo el libro elige objetivamente el mejor tramo recto, sin que el operador tenga que señalarlo 'a ojo'.</w:t>
      </w:r>
    </w:p>
    <w:p>
      <w:pPr>
        <w:spacing w:before="240" w:after="120"/>
        <w:keepNext/>
      </w:pPr>
      <w:r>
        <w:rPr>
          <w:b/>
          <w:sz w:val="26"/>
          <w:color w:val="2E4D7B"/>
        </w:rPr>
        <w:t xml:space="preserve">8. ¿Cómo calcula el módulo de elasticidad?</w:t>
      </w:r>
    </w:p>
    <w:p>
      <w:pPr>
        <w:spacing w:after="120"/>
        <w:jc w:val="both"/>
      </w:pPr>
      <w:r>
        <w:t xml:space="preserve">El módulo de elasticidad es la pendiente de la mejor ventana recta aceptada según el criterio de la pregunta 7: es decir, la relación σ/ε en la zona lineal, expresada en MPa y luego convertida a GPa dividiendo entre 1000. En flexión, el procedimiento es análogo pero sobre la curva fuerza–deflexión, obteniendo el módulo de flexión Ef.</w:t>
      </w:r>
    </w:p>
    <w:p>
      <w:pPr>
        <w:spacing w:after="120"/>
        <w:jc w:val="both"/>
      </w:pPr>
      <w:r>
        <w:t xml:space="preserve">Es importante subrayar que la validez de este cálculo depende por completo de la calidad de la medición de deformación. Como en estos ensayos la deformación provino de la carrera del cabezal, el módulo de tensión obtenido no representa el módulo real del material (ver preguntas 6 y 22).</w:t>
      </w:r>
    </w:p>
    <w:p>
      <w:pPr>
        <w:spacing w:before="240" w:after="120"/>
        <w:keepNext/>
      </w:pPr>
      <w:r>
        <w:rPr>
          <w:b/>
          <w:sz w:val="26"/>
          <w:color w:val="2E4D7B"/>
        </w:rPr>
        <w:t xml:space="preserve">9. ¿Cuándo aplica el método del offset del 0,2 %?</w:t>
      </w:r>
    </w:p>
    <w:p>
      <w:pPr>
        <w:spacing w:after="120"/>
        <w:jc w:val="both"/>
      </w:pPr>
      <w:r>
        <w:t xml:space="preserve">Se aplica para determinar el límite de fluencia convencional σy cuando el material no presenta un punto de fluencia claramente definido, que es el caso habitual en metales como los aceros ensayados. El procedimiento es:</w:t>
      </w:r>
    </w:p>
    <w:p>
      <w:pPr>
        <w:numPr>
          <w:ilvl w:val="0"/>
          <w:numId w:val="1"/>
        </w:numPr>
        <w:spacing w:after="60"/>
      </w:pPr>
      <w:r>
        <w:t xml:space="preserve">Se traza una recta paralela a la región elástica (con la misma pendiente E) desplazada una deformación de 0,002 (0,2 %), parámetro OFFSET_EPS.</w:t>
      </w:r>
    </w:p>
    <w:p>
      <w:pPr>
        <w:numPr>
          <w:ilvl w:val="0"/>
          <w:numId w:val="1"/>
        </w:numPr>
        <w:spacing w:after="60"/>
      </w:pPr>
      <w:r>
        <w:t xml:space="preserve">El límite de fluencia σy es el punto donde esa recta desplazada corta la curva esfuerzo–deformación real.</w:t>
      </w:r>
    </w:p>
    <w:p>
      <w:pPr>
        <w:spacing w:after="120"/>
        <w:jc w:val="both"/>
      </w:pPr>
      <w:r>
        <w:t xml:space="preserve">El libro detecta ese cruce automáticamente (columna de 'cruce offset') y reporta el σy correspondiente.</w:t>
      </w:r>
    </w:p>
    <w:p>
      <w:pPr>
        <w:spacing w:before="240" w:after="120"/>
        <w:keepNext/>
      </w:pPr>
      <w:r>
        <w:rPr>
          <w:b/>
          <w:sz w:val="26"/>
          <w:color w:val="2E4D7B"/>
        </w:rPr>
        <w:t xml:space="preserve">10. ¿Cuándo NO debería aplicarlo?</w:t>
      </w:r>
    </w:p>
    <w:p>
      <w:pPr>
        <w:spacing w:after="120"/>
        <w:jc w:val="both"/>
      </w:pPr>
      <w:r>
        <w:t xml:space="preserve">No debe aplicarse cuando la región lineal no es confiable, porque el método depende directamente de la pendiente elástica. En concreto:</w:t>
      </w:r>
    </w:p>
    <w:p>
      <w:pPr>
        <w:numPr>
          <w:ilvl w:val="0"/>
          <w:numId w:val="1"/>
        </w:numPr>
        <w:spacing w:after="60"/>
      </w:pPr>
      <w:r>
        <w:t xml:space="preserve">Cuando no se midió con extensómetro y el módulo resultante es claramente erróneo (como en estos ensayos): un E falso produce una recta offset falsa y, por tanto, un σy sin validez.</w:t>
      </w:r>
    </w:p>
    <w:p>
      <w:pPr>
        <w:numPr>
          <w:ilvl w:val="0"/>
          <w:numId w:val="1"/>
        </w:numPr>
        <w:spacing w:after="60"/>
      </w:pPr>
      <w:r>
        <w:t xml:space="preserve">Cuando ninguna ventana alcanza el R² mínimo, es decir, no existe un tramo recto estable.</w:t>
      </w:r>
    </w:p>
    <w:p>
      <w:pPr>
        <w:numPr>
          <w:ilvl w:val="0"/>
          <w:numId w:val="1"/>
        </w:numPr>
        <w:spacing w:after="60"/>
      </w:pPr>
      <w:r>
        <w:t xml:space="preserve">Cuando el material sí tiene un punto de fluencia definido, en cuyo caso se toma ese punto directamente en lugar del offset.</w:t>
      </w:r>
    </w:p>
    <w:p>
      <w:pPr>
        <w:spacing w:after="120"/>
        <w:jc w:val="both"/>
      </w:pPr>
      <w:r>
        <w:t xml:space="preserve">El libro contempla esto: si no encuentra el cruce con la recta offset, emite una alerta AMARILLA indicando que debe justificarse otro criterio.</w:t>
      </w:r>
    </w:p>
    <w:p>
      <w:pPr>
        <w:spacing w:before="240" w:after="120"/>
        <w:keepNext/>
      </w:pPr>
      <w:r>
        <w:rPr>
          <w:b/>
          <w:sz w:val="26"/>
          <w:color w:val="2E4D7B"/>
        </w:rPr>
        <w:t xml:space="preserve">11. ¿Cómo identifica la resistencia máxima?</w:t>
      </w:r>
    </w:p>
    <w:p>
      <w:pPr>
        <w:spacing w:after="120"/>
        <w:jc w:val="both"/>
      </w:pPr>
      <w:r>
        <w:t xml:space="preserve">La resistencia máxima se obtiene localizando la carga máxima (Fmax) entre todos los registros del ensayo —mediante la función MAX sobre la columna de carga— y aplicando la fórmula de esfuerzo correspondiente al tipo de ensayo: Su = Fmax/A₀ en tensión, o σf = 8·Fmax·L/(π·d³) en flexión. El libro también guarda el número de registro donde ocurre ese máximo, lo que permite contextualizarlo dentro de la curva (por ejemplo, para distinguir si hubo rotura posterior).</w:t>
      </w:r>
    </w:p>
    <w:p>
      <w:pPr>
        <w:spacing w:before="240" w:after="120"/>
        <w:keepNext/>
      </w:pPr>
      <w:r>
        <w:rPr>
          <w:b/>
          <w:sz w:val="26"/>
          <w:color w:val="2E4D7B"/>
        </w:rPr>
        <w:t xml:space="preserve">12. ¿Cómo calcula la tenacidad?</w:t>
      </w:r>
    </w:p>
    <w:p>
      <w:pPr>
        <w:spacing w:after="120"/>
        <w:jc w:val="both"/>
      </w:pPr>
      <w:r>
        <w:t xml:space="preserve">La tenacidad Ut se calcula como el área total bajo la curva esfuerzo–deformación hasta la rotura, que representa la energía por unidad de volumen que el material absorbe antes de fallar. El libro la integra numéricamente con la regla del trapecio: para cada par de registros consecutivos suma el promedio de los esfuerzos multiplicado por el incremento de deformación, y acumula estos trapecios a lo largo de toda la curva. Para el AISI 1020 se obtuvo una tenacidad del orden de 54,5 MJ/m³.</w:t>
      </w:r>
    </w:p>
    <w:p>
      <w:pPr>
        <w:spacing w:before="240" w:after="120"/>
        <w:keepNext/>
      </w:pPr>
      <w:r>
        <w:rPr>
          <w:b/>
          <w:sz w:val="26"/>
          <w:color w:val="2E4D7B"/>
        </w:rPr>
        <w:t xml:space="preserve">13. ¿Qué diferencia existe entre rigidez y resistencia?</w:t>
      </w:r>
    </w:p>
    <w:p>
      <w:pPr>
        <w:spacing w:after="120"/>
        <w:jc w:val="both"/>
      </w:pPr>
      <w:r>
        <w:t xml:space="preserve">Son dos propiedades independientes que suelen confundirse:</w:t>
      </w:r>
    </w:p>
    <w:p>
      <w:pPr>
        <w:numPr>
          <w:ilvl w:val="0"/>
          <w:numId w:val="1"/>
        </w:numPr>
        <w:spacing w:after="60"/>
      </w:pPr>
      <w:r>
        <w:t xml:space="preserve">La rigidez es la oposición del material a deformarse elásticamente. La mide el módulo de elasticidad E, es decir, la pendiente de la zona recta de la curva. Un material rígido se estira poco bajo una carga dada.</w:t>
      </w:r>
    </w:p>
    <w:p>
      <w:pPr>
        <w:numPr>
          <w:ilvl w:val="0"/>
          <w:numId w:val="1"/>
        </w:numPr>
        <w:spacing w:after="60"/>
      </w:pPr>
      <w:r>
        <w:t xml:space="preserve">La resistencia es la capacidad de soportar carga antes de fluir o romper. La miden Su y σy, es decir, la 'altura' que alcanza la curva.</w:t>
      </w:r>
    </w:p>
    <w:p>
      <w:pPr>
        <w:spacing w:after="120"/>
        <w:jc w:val="both"/>
      </w:pPr>
      <w:r>
        <w:t xml:space="preserve">Un material puede ser muy rígido pero poco resistente, o muy resistente pero poco rígido. En la práctica del laboratorio esta distinción es clave porque, aunque la resistencia (Su) de los aceros salió confiable, la rigidez (E) no, al haberse medido con la carrera del cabezal.</w:t>
      </w:r>
    </w:p>
    <w:p>
      <w:pPr>
        <w:spacing w:before="240" w:after="120"/>
        <w:keepNext/>
      </w:pPr>
      <w:r>
        <w:rPr>
          <w:b/>
          <w:sz w:val="26"/>
          <w:color w:val="2E4D7B"/>
        </w:rPr>
        <w:t xml:space="preserve">14. ¿Qué diferencia existe entre carga máxima y esfuerzo máximo?</w:t>
      </w:r>
    </w:p>
    <w:p>
      <w:pPr>
        <w:spacing w:after="120"/>
        <w:jc w:val="both"/>
      </w:pPr>
      <w:r>
        <w:t xml:space="preserve">La carga máxima (Fmax) es una fuerza, medida en Newtons o toneladas-fuerza, y depende del tamaño de la probeta: una probeta más gruesa soporta más fuerza aunque sea del mismo material. El esfuerzo máximo (σmax o Su) es fuerza por unidad de área (MPa) y es una propiedad intrínseca del material, independiente del tamaño, ya que normaliza la fuerza dividiéndola por el área (σ = F/A). Por eso, para comparar materiales entre sí se usa el esfuerzo y no la carga: por ejemplo, el AISI 1020 y el AISI 1045 tuvieron cargas máximas parecidas (7,8 y 7,4 kN), pero su resistencia en esfuerzo difiere claramente (613 vs 391 MPa) por la distinta geometría.</w:t>
      </w:r>
    </w:p>
    <w:p>
      <w:pPr>
        <w:spacing w:before="240" w:after="120"/>
        <w:keepNext/>
      </w:pPr>
      <w:r>
        <w:rPr>
          <w:b/>
          <w:sz w:val="26"/>
          <w:color w:val="2E4D7B"/>
        </w:rPr>
        <w:t xml:space="preserve">15. ¿Qué ocurre si cambia el diámetro?</w:t>
      </w:r>
    </w:p>
    <w:p>
      <w:pPr>
        <w:spacing w:after="120"/>
        <w:jc w:val="both"/>
      </w:pPr>
      <w:r>
        <w:t xml:space="preserve">Al cambiar el diámetro cambia el área de la sección (A = π·d²/4) y, con ella, el esfuerzo calculado. La sensibilidad depende del tipo de ensayo:</w:t>
      </w:r>
    </w:p>
    <w:p>
      <w:pPr>
        <w:numPr>
          <w:ilvl w:val="0"/>
          <w:numId w:val="1"/>
        </w:numPr>
        <w:spacing w:after="60"/>
      </w:pPr>
      <w:r>
        <w:t xml:space="preserve">En tensión, σ = F/A ∝ 1/d²: el esfuerzo varía con el cuadrado inverso del diámetro.</w:t>
      </w:r>
    </w:p>
    <w:p>
      <w:pPr>
        <w:numPr>
          <w:ilvl w:val="0"/>
          <w:numId w:val="1"/>
        </w:numPr>
        <w:spacing w:after="60"/>
      </w:pPr>
      <w:r>
        <w:t xml:space="preserve">En flexión, σf = 8FL/(π·d³) ∝ 1/d³: varía con el cubo inverso, por lo que es mucho más sensible.</w:t>
      </w:r>
    </w:p>
    <w:p>
      <w:pPr>
        <w:spacing w:after="120"/>
        <w:jc w:val="both"/>
      </w:pPr>
      <w:r>
        <w:t xml:space="preserve">El libro advierte que un error del 5 % en el diámetro produce del orden de 16 % de error en el esfuerzo de flexión. Por eso incluye una alerta de diferencia geométrica que compara el diámetro medido con calibrador frente al del encabezado del equipo.</w:t>
      </w:r>
    </w:p>
    <w:p>
      <w:pPr>
        <w:spacing w:before="240" w:after="120"/>
        <w:keepNext/>
      </w:pPr>
      <w:r>
        <w:rPr>
          <w:b/>
          <w:sz w:val="26"/>
          <w:color w:val="2E4D7B"/>
        </w:rPr>
        <w:t xml:space="preserve">16. ¿Qué variable afecta fuertemente los cálculos de flexión?</w:t>
      </w:r>
    </w:p>
    <w:p>
      <w:pPr>
        <w:spacing w:after="120"/>
        <w:jc w:val="both"/>
      </w:pPr>
      <w:r>
        <w:t xml:space="preserve">El diámetro de la probeta, porque interviene elevado al cubo en la fórmula del esfuerzo de flexión σf = 8·F·L/(π·d³). Un pequeño error de medición en d se amplifica de forma cúbica en el resultado, de modo que es la variable geométrica más crítica del ensayo de flexión. Le sigue en importancia la luz L, que entra de forma lineal. Esta es la razón por la que el libro dedica una alerta específica a la coherencia del diámetro y exige medirlo con calibrador.</w:t>
      </w:r>
    </w:p>
    <w:p>
      <w:pPr>
        <w:spacing w:before="240" w:after="120"/>
        <w:keepNext/>
      </w:pPr>
      <w:r>
        <w:rPr>
          <w:b/>
          <w:sz w:val="26"/>
          <w:color w:val="2E4D7B"/>
        </w:rPr>
        <w:t xml:space="preserve">17. ¿Por qué el esfuerzo máximo de flexión de un material dúctil no es una propiedad del material?</w:t>
      </w:r>
    </w:p>
    <w:p>
      <w:pPr>
        <w:spacing w:after="120"/>
        <w:jc w:val="both"/>
      </w:pPr>
      <w:r>
        <w:t xml:space="preserve">Porque un material dúctil no se rompe durante el ensayo de flexión: en lugar de fracturarse, desarrolla una articulación plástica y simplemente se dobla de forma continua. El ensayo termina sin rotura (el libro lo detecta en la hoja Inspección como 'SIN ROTURA'). En consecuencia, el valor de σf 'máximo' que se registra no corresponde al fallo del material, sino a hasta dónde se flexionó la probeta o en qué momento se detuvo la máquina. Es, por tanto, un valor dependiente de las condiciones del ensayo —y en rigor un valor mínimo o referencial— y no una propiedad intrínseca del material. El libro lo señala con una alerta AMARILLA de 'ensayo sin rotura'.</w:t>
      </w:r>
    </w:p>
    <w:p>
      <w:pPr>
        <w:spacing w:before="240" w:after="120"/>
        <w:keepNext/>
      </w:pPr>
      <w:r>
        <w:rPr>
          <w:b/>
          <w:sz w:val="26"/>
          <w:color w:val="2E4D7B"/>
        </w:rPr>
        <w:t xml:space="preserve">18. ¿Qué datos provienen directamente del laboratorio?</w:t>
      </w:r>
    </w:p>
    <w:p>
      <w:pPr>
        <w:spacing w:after="120"/>
        <w:jc w:val="both"/>
      </w:pPr>
      <w:r>
        <w:t xml:space="preserve">Provienen directamente del laboratorio, es decir, son medidos y no calculados:</w:t>
      </w:r>
    </w:p>
    <w:p>
      <w:pPr>
        <w:numPr>
          <w:ilvl w:val="0"/>
          <w:numId w:val="1"/>
        </w:numPr>
        <w:spacing w:after="60"/>
      </w:pPr>
      <w:r>
        <w:t xml:space="preserve">La carga y la carrera del cabezal, medidas por la máquina de ensayos cada 200 ms.</w:t>
      </w:r>
    </w:p>
    <w:p>
      <w:pPr>
        <w:numPr>
          <w:ilvl w:val="0"/>
          <w:numId w:val="1"/>
        </w:numPr>
        <w:spacing w:after="60"/>
      </w:pPr>
      <w:r>
        <w:t xml:space="preserve">Los valores del encabezado que reporta el propio equipo.</w:t>
      </w:r>
    </w:p>
    <w:p>
      <w:pPr>
        <w:numPr>
          <w:ilvl w:val="0"/>
          <w:numId w:val="1"/>
        </w:numPr>
        <w:spacing w:after="60"/>
      </w:pPr>
      <w:r>
        <w:t xml:space="preserve">Las dimensiones de la probeta medidas por el operador con calibrador: diámetro d₀, longitud inicial L₀ y luz L, que se registran en la hoja Control (sección 7).</w:t>
      </w:r>
    </w:p>
    <w:p>
      <w:pPr>
        <w:spacing w:after="120"/>
        <w:jc w:val="both"/>
      </w:pPr>
      <w:r>
        <w:t xml:space="preserve">En los ensayos analizados, estas mediciones de calibrador aparecen como 'NO medido', de modo que el libro usó la geometría del encabezado y emitió una alerta AMARILLA advirtiéndolo.</w:t>
      </w:r>
    </w:p>
    <w:p>
      <w:pPr>
        <w:spacing w:before="240" w:after="120"/>
        <w:keepNext/>
      </w:pPr>
      <w:r>
        <w:rPr>
          <w:b/>
          <w:sz w:val="26"/>
          <w:color w:val="2E4D7B"/>
        </w:rPr>
        <w:t xml:space="preserve">19. ¿Qué datos fueron calculados?</w:t>
      </w:r>
    </w:p>
    <w:p>
      <w:pPr>
        <w:spacing w:after="120"/>
        <w:jc w:val="both"/>
      </w:pPr>
      <w:r>
        <w:t xml:space="preserve">Todo lo demás es calculado por las fórmulas del libro, sin ningún valor digitado a mano: la fuerza en Newtons, el esfuerzo σ y la deformación ε, la pendiente E y su R², el límite de fluencia por offset, los esfuerzos y deformaciones verdaderos, la tenacidad y la resiliencia, el exponente de Hollomon y todos los indicadores del sistema de alertas. Esta separación estricta entre 'dato medido' y 'dato calculado' es una de las fortalezas del libro, porque garantiza trazabilidad total: cualquier resultado puede rastrearse hasta el dato crudo del archivo.</w:t>
      </w:r>
    </w:p>
    <w:p>
      <w:pPr>
        <w:spacing w:before="240" w:after="120"/>
        <w:keepNext/>
      </w:pPr>
      <w:r>
        <w:rPr>
          <w:b/>
          <w:sz w:val="26"/>
          <w:color w:val="2E4D7B"/>
        </w:rPr>
        <w:t xml:space="preserve">20. ¿Qué resultados fueron sugeridos por la IA?</w:t>
      </w:r>
    </w:p>
    <w:p>
      <w:pPr>
        <w:spacing w:after="120"/>
        <w:jc w:val="both"/>
      </w:pPr>
      <w:r>
        <w:t xml:space="preserve">Esta pregunta debe responderse según el proceso propio de trabajo con la herramienta de IA. En nuestro caso, la contribución de la IA fue de análisis e interpretación, no de medición: ayudó a leer y explicar la lógica interna del libro, a detectar el problema del módulo de elasticidad, a interpretar el sistema de alertas y a contrastar los resultados experimentales con valores de referencia. Si en la construcción del libro la IA sugirió fórmulas, umbrales o la estructura de hojas, eso debe indicarse aquí de forma concreta.</w:t>
      </w:r>
    </w:p>
    <w:p>
      <w:pPr>
        <w:spacing w:after="120"/>
        <w:jc w:val="both"/>
      </w:pPr>
      <w:r>
        <w:rPr>
          <w:b/>
          <w:i/>
          <w:color w:val="B35900"/>
        </w:rPr>
        <w:t xml:space="preserve">Recomendación para la sustentación: </w:t>
      </w:r>
      <w:r>
        <w:rPr>
          <w:i/>
          <w:color w:val="B35900"/>
        </w:rPr>
        <w:t xml:space="preserve">Personalice esta respuesta señalando exactamente qué parte del trabajo fue sugerida por la IA en su caso.</w:t>
      </w:r>
    </w:p>
    <w:p>
      <w:pPr>
        <w:spacing w:before="240" w:after="120"/>
        <w:keepNext/>
      </w:pPr>
      <w:r>
        <w:rPr>
          <w:b/>
          <w:sz w:val="26"/>
          <w:color w:val="2E4D7B"/>
        </w:rPr>
        <w:t xml:space="preserve">21. ¿Qué errores encontraron en la IA?</w:t>
      </w:r>
    </w:p>
    <w:p>
      <w:pPr>
        <w:spacing w:after="120"/>
        <w:jc w:val="both"/>
      </w:pPr>
      <w:r>
        <w:t xml:space="preserve">También debe responderse desde la experiencia propia. Entre los errores típicos que conviene documentar están: que la IA proponga soluciones que no contemplan una condición real del ensayo (por ejemplo, no considerar la ausencia de extensómetro al interpretar el módulo); que ofrezca valores de referencia de literatura sin una fuente verificable (en la hoja Referencias los valores aparecen marcados como PROVISIONALES y pendientes de citar); o que asuma un formato de archivo y falle ante una variación. Un ejemplo concreto y honesto de este trabajo: al generar un archivo de prueba de un material nuevo, la IA usó por error el encabezado de flexión en el archivo de tensión, lo que impidió que el libro lo procesara hasta corregirlo.</w:t>
      </w:r>
    </w:p>
    <w:p>
      <w:pPr>
        <w:spacing w:after="120"/>
        <w:jc w:val="both"/>
      </w:pPr>
      <w:r>
        <w:rPr>
          <w:b/>
          <w:i/>
          <w:color w:val="B35900"/>
        </w:rPr>
        <w:t xml:space="preserve">Recomendación para la sustentación: </w:t>
      </w:r>
      <w:r>
        <w:rPr>
          <w:i/>
          <w:color w:val="B35900"/>
        </w:rPr>
        <w:t xml:space="preserve">Documente los errores específicos que usted detectó al usar la IA.</w:t>
      </w:r>
    </w:p>
    <w:p>
      <w:pPr>
        <w:spacing w:before="240" w:after="120"/>
        <w:keepNext/>
      </w:pPr>
      <w:r>
        <w:rPr>
          <w:b/>
          <w:sz w:val="26"/>
          <w:color w:val="2E4D7B"/>
        </w:rPr>
        <w:t xml:space="preserve">22. ¿Qué resultados no aceptarían como ingenieros?</w:t>
      </w:r>
    </w:p>
    <w:p>
      <w:pPr>
        <w:spacing w:after="120"/>
        <w:jc w:val="both"/>
      </w:pPr>
      <w:r>
        <w:t xml:space="preserve">Como ingenieros, no se aceptarían:</w:t>
      </w:r>
    </w:p>
    <w:p>
      <w:pPr>
        <w:numPr>
          <w:ilvl w:val="0"/>
          <w:numId w:val="1"/>
        </w:numPr>
        <w:spacing w:after="60"/>
      </w:pPr>
      <w:r>
        <w:t xml:space="preserve">El módulo de elasticidad de tensión (≈ 12 GPa para el acero 1020), por ser físicamente imposible; el acero está en torno a 205 GPa.</w:t>
      </w:r>
    </w:p>
    <w:p>
      <w:pPr>
        <w:numPr>
          <w:ilvl w:val="0"/>
          <w:numId w:val="1"/>
        </w:numPr>
        <w:spacing w:after="60"/>
      </w:pPr>
      <w:r>
        <w:t xml:space="preserve">El límite de fluencia σy obtenido por offset a partir de ese módulo erróneo.</w:t>
      </w:r>
    </w:p>
    <w:p>
      <w:pPr>
        <w:numPr>
          <w:ilvl w:val="0"/>
          <w:numId w:val="1"/>
        </w:numPr>
        <w:spacing w:after="60"/>
      </w:pPr>
      <w:r>
        <w:t xml:space="preserve">El esfuerzo de flexión máximo interpretado como 'resistencia' en materiales dúctiles que no rompieron.</w:t>
      </w:r>
    </w:p>
    <w:p>
      <w:pPr>
        <w:numPr>
          <w:ilvl w:val="0"/>
          <w:numId w:val="1"/>
        </w:numPr>
        <w:spacing w:after="60"/>
      </w:pPr>
      <w:r>
        <w:t xml:space="preserve">Cualquier resultado con alerta ROJA de integridad, que exige repetir el ensayo.</w:t>
      </w:r>
    </w:p>
    <w:p>
      <w:pPr>
        <w:spacing w:after="120"/>
        <w:jc w:val="both"/>
      </w:pPr>
      <w:r>
        <w:t xml:space="preserve">En cambio, sí se aceptarían como confiables los valores de resistencia última Su obtenidos de la carga, por su coherencia con lo que reporta el equipo. Conviene además señalar un hallazgo llamativo: el AISI 1020 resultó más resistente que el AISI 1045 (613 vs 391 MPa), lo cual es contrario a lo esperado y sugiere revisar la identidad o el tratamiento de las probetas.</w:t>
      </w:r>
    </w:p>
    <w:p>
      <w:pPr>
        <w:spacing w:before="240" w:after="120"/>
        <w:keepNext/>
      </w:pPr>
      <w:r>
        <w:rPr>
          <w:b/>
          <w:sz w:val="26"/>
          <w:color w:val="2E4D7B"/>
        </w:rPr>
        <w:t xml:space="preserve">23. ¿Qué material elegirían para la aplicación asignada?</w:t>
      </w:r>
    </w:p>
    <w:p>
      <w:pPr>
        <w:spacing w:after="120"/>
        <w:jc w:val="both"/>
      </w:pPr>
      <w:r>
        <w:t xml:space="preserve">La elección depende de los requisitos concretos de la aplicación asignada, pero puede justificarse con los datos obtenidos:</w:t>
      </w:r>
    </w:p>
    <w:p>
      <w:pPr>
        <w:numPr>
          <w:ilvl w:val="0"/>
          <w:numId w:val="1"/>
        </w:numPr>
        <w:spacing w:after="60"/>
      </w:pPr>
      <w:r>
        <w:t xml:space="preserve">Si se prioriza la resistencia, el AISI 1020 fue el de mayor Su (613 MPa) en estos ensayos, por encima del 1045 y del bronce.</w:t>
      </w:r>
    </w:p>
    <w:p>
      <w:pPr>
        <w:numPr>
          <w:ilvl w:val="0"/>
          <w:numId w:val="1"/>
        </w:numPr>
        <w:spacing w:after="60"/>
      </w:pPr>
      <w:r>
        <w:t xml:space="preserve">Si se prioriza la ligereza, el aluminio, por su baja densidad frente a resistencia moderada (183 MPa).</w:t>
      </w:r>
    </w:p>
    <w:p>
      <w:pPr>
        <w:numPr>
          <w:ilvl w:val="0"/>
          <w:numId w:val="1"/>
        </w:numPr>
        <w:spacing w:after="60"/>
      </w:pPr>
      <w:r>
        <w:t xml:space="preserve">Si se prioriza la tenacidad o la capacidad de deformación, el bronce (Su/σy = 1,55) o el acero.</w:t>
      </w:r>
    </w:p>
    <w:p>
      <w:pPr>
        <w:numPr>
          <w:ilvl w:val="0"/>
          <w:numId w:val="1"/>
        </w:numPr>
        <w:spacing w:after="60"/>
      </w:pPr>
      <w:r>
        <w:t xml:space="preserve">El Empack, por su muy baja resistencia (39 MPa) y enorme deformación, corresponde a aplicaciones no estructurales.</w:t>
      </w:r>
    </w:p>
    <w:p>
      <w:pPr>
        <w:spacing w:after="120"/>
        <w:jc w:val="both"/>
      </w:pPr>
      <w:r>
        <w:rPr>
          <w:b/>
          <w:i/>
          <w:color w:val="B35900"/>
        </w:rPr>
        <w:t xml:space="preserve">Recomendación para la sustentación: </w:t>
      </w:r>
      <w:r>
        <w:rPr>
          <w:i/>
          <w:color w:val="B35900"/>
        </w:rPr>
        <w:t xml:space="preserve">Justifique la elección final según las cargas, el peso, el costo y el ambiente de servicio de su aplicación.</w:t>
      </w:r>
    </w:p>
    <w:p>
      <w:pPr>
        <w:spacing w:before="240" w:after="120"/>
        <w:keepNext/>
      </w:pPr>
      <w:r>
        <w:rPr>
          <w:b/>
          <w:sz w:val="26"/>
          <w:color w:val="2E4D7B"/>
        </w:rPr>
        <w:t xml:space="preserve">24. ¿Cuál sería la principal incertidumbre de esa decisión?</w:t>
      </w:r>
    </w:p>
    <w:p>
      <w:pPr>
        <w:spacing w:after="120"/>
        <w:jc w:val="both"/>
      </w:pPr>
      <w:r>
        <w:t xml:space="preserve">La principal incertidumbre es que las propiedades elásticas —módulo E y límite de fluencia σy— no son confiables, al haberse medido sin extensómetro (con la carrera del cabezal). A ello se suma que la geometría de las probetas no se verificó con calibrador (se usó el encabezado del equipo) y que los valores de referencia de la literatura están marcados como provisionales y sin fuente citada. Por tanto, tomar una decisión de diseño que dependa de la rigidez o de la fluencia del material tendría un riesgo elevado; la decisión es más sólida si se apoya en la resistencia última Su, que sí resultó confiable.</w:t>
      </w:r>
    </w:p>
    <w:p>
      <w:pPr>
        <w:spacing w:before="240" w:after="120"/>
        <w:keepNext/>
      </w:pPr>
      <w:r>
        <w:rPr>
          <w:b/>
          <w:sz w:val="26"/>
          <w:color w:val="2E4D7B"/>
        </w:rPr>
        <w:t xml:space="preserve">25. ¿Cómo garantiza que el libro funciona con un archivo de distinta longitud o estructura?</w:t>
      </w:r>
    </w:p>
    <w:p>
      <w:pPr>
        <w:spacing w:after="120"/>
        <w:jc w:val="both"/>
      </w:pPr>
      <w:r>
        <w:t xml:space="preserve">El libro está diseñado para adaptarse a archivos de distinto tamaño y disposición mediante varios mecanismos:</w:t>
      </w:r>
    </w:p>
    <w:p>
      <w:pPr>
        <w:numPr>
          <w:ilvl w:val="0"/>
          <w:numId w:val="1"/>
        </w:numPr>
        <w:spacing w:after="60"/>
      </w:pPr>
      <w:r>
        <w:t xml:space="preserve">No usa posiciones fijas de celda: localiza las filas clave por su texto (busca las etiquetas 'Symbol' y 'Number'), de modo que si el encabezado cambia de posición, igual lo encuentra.</w:t>
      </w:r>
    </w:p>
    <w:p>
      <w:pPr>
        <w:numPr>
          <w:ilvl w:val="0"/>
          <w:numId w:val="1"/>
        </w:numPr>
        <w:spacing w:after="60"/>
      </w:pPr>
      <w:r>
        <w:t xml:space="preserve">El número de registros es dinámico: cada fila de cálculo solo se activa si existe el registro correspondiente en los datos, dejando el resto en blanco.</w:t>
      </w:r>
    </w:p>
    <w:p>
      <w:pPr>
        <w:numPr>
          <w:ilvl w:val="0"/>
          <w:numId w:val="1"/>
        </w:numPr>
        <w:spacing w:after="60"/>
      </w:pPr>
      <w:r>
        <w:t xml:space="preserve">Tiene una capacidad amplia (3000 registros por ensayo, 2000 en la hoja Resumen) y una alerta que avisa si un ensayo supera esa capacidad.</w:t>
      </w:r>
    </w:p>
    <w:p>
      <w:pPr>
        <w:numPr>
          <w:ilvl w:val="0"/>
          <w:numId w:val="1"/>
        </w:numPr>
        <w:spacing w:after="60"/>
      </w:pPr>
      <w:r>
        <w:t xml:space="preserve">Detecta automáticamente las columnas de carga y carrera y el separador decimal (coma o punto) del sistema.</w:t>
      </w:r>
    </w:p>
    <w:p>
      <w:pPr>
        <w:spacing w:after="120"/>
        <w:jc w:val="both"/>
      </w:pPr>
      <w:r>
        <w:t xml:space="preserve">Esto se comprobó en la práctica al probar un material nuevo con un número de registros distinto (520 en tensión y 1100 en flexión): el libro leyó correctamente ambos tamaños y calculó los resultados esperados (Su ≈ 580 MPa y σf ≈ 722 MPa), lo que valida esta capacidad de adaptación.</w:t>
      </w:r>
    </w:p>
    <w:p>
      <w:pPr>
        <w:spacing w:before="240" w:after="120"/>
        <w:keepNext/>
      </w:pPr>
      <w:r>
        <w:rPr>
          <w:b/>
          <w:sz w:val="32"/>
          <w:color w:val="1F3864"/>
        </w:rPr>
        <w:t xml:space="preserve">Nota sobre las preguntas 20, 21 y 23</w:t>
      </w:r>
    </w:p>
    <w:p>
      <w:pPr>
        <w:spacing w:after="120"/>
        <w:jc w:val="both"/>
      </w:pPr>
      <w:r>
        <w:t xml:space="preserve">Estas preguntas se refieren a la experiencia personal de trabajo (qué sugirió la IA, qué errores se detectaron y qué material se eligió para la aplicación asignada). Las respuestas de este documento ofrecen un marco sólido y los datos necesarios, pero deben completarse con el criterio y la experiencia propios para que la sustentación sea auténtica.</w:t>
      </w:r>
    </w:p>
    <w:sectPr>
      <w:pgSz w:w="11906" w:h="16838"/>
      <w:pgMar w:top="1134" w:bottom="1134" w:left="1134" w:right="1134"/>
    </w:sectPr>
  </w:body>
</w:document>
</file>

<file path=word/numbering.xml><?xml version="1.0" encoding="utf-8"?>
<w:numbering xmlns:w="http://schemas.openxmlformats.org/wordprocessingml/2006/main">
  <w:abstractNum w:abstractNumId="0">
    <w:lvl w:ilvl="0">
      <w:start w:val="1"/>
      <w:numFmt w:val="bullet"/>
      <w:lvlText w:val="•"/>
      <w:lvlJc w:val="left"/>
      <w:pPr>
        <w:ind w:left="454" w:hanging="227"/>
      </w:p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s>
</file>