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SERVICIO NACIONAL DE APRENDIZAJE SENA</w:t>
      </w:r>
    </w:p>
    <w:p>
      <w:pPr>
        <w:pStyle w:val="BodyText"/>
      </w:pPr>
      <w:r>
        <w:t xml:space="preserve">Tecnología en Análisis y Desarrollo de Software</w:t>
      </w:r>
    </w:p>
    <w:p>
      <w:pPr>
        <w:pStyle w:val="BodyText"/>
      </w:pPr>
      <w:r>
        <w:rPr>
          <w:bCs/>
          <w:b/>
        </w:rPr>
        <w:t xml:space="preserve">TRUEQUE MATCH</w:t>
      </w:r>
    </w:p>
    <w:p>
      <w:pPr>
        <w:pStyle w:val="BodyText"/>
      </w:pPr>
      <w:r>
        <w:rPr>
          <w:bCs/>
          <w:b/>
        </w:rPr>
        <w:t xml:space="preserve">Manual Técnico del Software</w:t>
      </w:r>
    </w:p>
    <w:p>
      <w:pPr>
        <w:pStyle w:val="BodyText"/>
      </w:pPr>
      <w:r>
        <w:rPr>
          <w:bCs/>
          <w:b/>
        </w:rPr>
        <w:t xml:space="preserve">Evidencia GA10-220501097-AA10-EV01</w:t>
      </w:r>
    </w:p>
    <w:p>
      <w:pPr>
        <w:pStyle w:val="BodyText"/>
      </w:pPr>
      <w:r>
        <w:rPr>
          <w:bCs/>
          <w:b/>
        </w:rPr>
        <w:t xml:space="preserve">Elabora documentos técnicos y de usuario del software</w:t>
      </w:r>
    </w:p>
    <w:p>
      <w:pPr>
        <w:pStyle w:val="BodyText"/>
      </w:pPr>
      <w:r>
        <w:rPr>
          <w:bCs/>
          <w:b/>
        </w:rPr>
        <w:t xml:space="preserve">Estudiante:</w:t>
      </w:r>
      <w:r>
        <w:t xml:space="preserve"> </w:t>
      </w:r>
      <w:r>
        <w:t xml:space="preserve">Gerson Jonnathan López Oviedo</w:t>
      </w:r>
    </w:p>
    <w:p>
      <w:pPr>
        <w:pStyle w:val="BodyText"/>
      </w:pPr>
      <w:r>
        <w:rPr>
          <w:bCs/>
          <w:b/>
        </w:rPr>
        <w:t xml:space="preserve">Ficha:</w:t>
      </w:r>
      <w:r>
        <w:t xml:space="preserve"> </w:t>
      </w:r>
      <w:r>
        <w:t xml:space="preserve">3186647</w:t>
      </w:r>
    </w:p>
    <w:p>
      <w:pPr>
        <w:pStyle w:val="BodyText"/>
      </w:pPr>
      <w:r>
        <w:rPr>
          <w:bCs/>
          <w:b/>
        </w:rPr>
        <w:t xml:space="preserve">Instructor:</w:t>
      </w:r>
      <w:r>
        <w:t xml:space="preserve"> </w:t>
      </w:r>
      <w:r>
        <w:t xml:space="preserve">Arnaldo Alfonso Montiel Brun</w:t>
      </w:r>
    </w:p>
    <w:p>
      <w:pPr>
        <w:pStyle w:val="BodyText"/>
      </w:pPr>
      <w:r>
        <w:rPr>
          <w:bCs/>
          <w:b/>
        </w:rPr>
        <w:t xml:space="preserve">Programa:</w:t>
      </w:r>
      <w:r>
        <w:t xml:space="preserve"> </w:t>
      </w:r>
      <w:r>
        <w:t xml:space="preserve">Tecnólogo en Análisis y Desarrollo de Software</w:t>
      </w:r>
    </w:p>
    <w:p>
      <w:pPr>
        <w:pStyle w:val="BodyText"/>
      </w:pPr>
      <w:r>
        <w:rPr>
          <w:bCs/>
          <w:b/>
        </w:rPr>
        <w:t xml:space="preserve">Empresa:</w:t>
      </w:r>
      <w:r>
        <w:t xml:space="preserve"> </w:t>
      </w:r>
      <w:r>
        <w:t xml:space="preserve">G.L. Software Solutions</w:t>
      </w:r>
    </w:p>
    <w:p>
      <w:pPr>
        <w:pStyle w:val="BodyText"/>
      </w:pPr>
      <w:r>
        <w:t xml:space="preserve">Bogotá, Colombia — 2026</w:t>
      </w:r>
    </w:p>
    <w:bookmarkStart w:id="20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Este es el manual técnico de Trueque Match, la aplicación web y móvil que desarrollé para intercambiar productos, servicios, conocimientos y experiencias sin usar dinero. Aquí reúno en un solo documento los 7 elementos que pide esta evidencia: los prerrequisitos para instalar el sistema, los frameworks y estándares con los que lo construí, el diagrama de casos de uso, el modelo entidad-relación de la base de datos, el diccionario de datos, los scripts de instalación, y el diagrama de componentes. La idea es que cualquier persona que necesite instalar, mantener o entender técnicamente el sistema pueda hacerlo leyendo solo este documento.</w:t>
      </w:r>
    </w:p>
    <w:bookmarkEnd w:id="20"/>
    <w:bookmarkStart w:id="25" w:name="X25ff5b1719208ab53477df71882f8653cb6679e"/>
    <w:p>
      <w:pPr>
        <w:pStyle w:val="Heading1"/>
      </w:pPr>
      <w:r>
        <w:t xml:space="preserve">2. Prerrequisitos de Instalación del Sistema</w:t>
      </w:r>
    </w:p>
    <w:bookmarkStart w:id="21" w:name="requisitos-mínimos-de-hardware"/>
    <w:p>
      <w:pPr>
        <w:pStyle w:val="Heading2"/>
      </w:pPr>
      <w:r>
        <w:t xml:space="preserve">2.1 Requisitos mínimos de hardware</w:t>
      </w:r>
    </w:p>
    <w:p>
      <w:pPr>
        <w:pStyle w:val="FirstParagraph"/>
      </w:pPr>
      <w:r>
        <w:t xml:space="preserve">Antes de instalar Trueque Match, ya sea en un servidor propio o en un equipo de desarrollo, validé los siguientes requisitos mínimos de hardware (el detalle completo de este análisis está en la evidencia GA10-AA2-EV01):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Mínimo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núcleos, 2.0 GHz o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Memoria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 (recomendado 8 GB o más para desarrollo)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 libres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Conexión a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Estable, mínimo 5 Mbps para despliegue y pruebas remotas</w:t>
            </w:r>
          </w:p>
        </w:tc>
      </w:tr>
    </w:tbl>
    <w:p>
      <w:pPr>
        <w:pStyle w:val="BodyText"/>
      </w:pPr>
      <w:r>
        <w:rPr>
          <w:bCs/>
          <w:b/>
        </w:rPr>
        <w:t xml:space="preserve">Equipo real usado en desarrollo:</w:t>
      </w:r>
      <w:r>
        <w:t xml:space="preserve"> </w:t>
      </w:r>
      <w:r>
        <w:t xml:space="preserve">Laptop Acer Aspire A515-56, procesador Intel Core i7-1165G7 (4 núcleos, 2.80 GHz), 12 GB de RAM, SSD de 477 GB, Windows 11 Home Single Language — supera con margen los mínimos calculados.</w:t>
      </w:r>
    </w:p>
    <w:bookmarkEnd w:id="21"/>
    <w:bookmarkStart w:id="22" w:name="X2e2d39319c75f431bbb29b92fcda67ecd40d6fe"/>
    <w:p>
      <w:pPr>
        <w:pStyle w:val="Heading2"/>
      </w:pPr>
      <w:r>
        <w:t xml:space="preserve">2.2 Requisitos de software (versiones necesarias)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Software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Versión mínima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Para qué se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o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10.x (o MySQL 8.x compatible)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 o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LTS o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Compilar la app móvil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versión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Empaquetar la app móvil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(dispositivo del usuario)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(Oreo) o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la app móvil instalada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 web (cliente)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 con soporte ES6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la versión web (Chrome, Firefox, Edge recientes)</w:t>
            </w:r>
          </w:p>
        </w:tc>
      </w:tr>
    </w:tbl>
    <w:bookmarkEnd w:id="22"/>
    <w:bookmarkStart w:id="23" w:name="licenciamiento"/>
    <w:p>
      <w:pPr>
        <w:pStyle w:val="Heading2"/>
      </w:pPr>
      <w:r>
        <w:t xml:space="preserve">2.3 Licenciamiento</w:t>
      </w:r>
    </w:p>
    <w:p>
      <w:pPr>
        <w:pStyle w:val="FirstParagraph"/>
      </w:pPr>
      <w:r>
        <w:t xml:space="preserve">Todo el software usado es de código abierto y sin costo de licencia: PHP, MariaDB, Apache y Node.js no requieren pago. Esto fue una decisión consciente para mantener el proyecto sin barreras de costo, a diferencia de alternativas como Windows Server o SQL Server que sí implican licenciamiento pago.</w:t>
      </w:r>
    </w:p>
    <w:bookmarkEnd w:id="23"/>
    <w:bookmarkStart w:id="24" w:name="el-sistema-ya-está-en-producción-real"/>
    <w:p>
      <w:pPr>
        <w:pStyle w:val="Heading2"/>
      </w:pPr>
      <w:r>
        <w:t xml:space="preserve">2.4 El sistema ya está en producción real</w:t>
      </w:r>
    </w:p>
    <w:p>
      <w:pPr>
        <w:pStyle w:val="FirstParagraph"/>
      </w:pPr>
      <w:r>
        <w:t xml:space="preserve">Vale la pena aclarar que, aunque el análisis anterior sirve como ejercicio de dimensionamiento para un servidor propio, en la práctica Trueque Match terminó desplegado en</w:t>
      </w:r>
      <w:r>
        <w:t xml:space="preserve"> </w:t>
      </w:r>
      <w:r>
        <w:rPr>
          <w:bCs/>
          <w:b/>
        </w:rPr>
        <w:t xml:space="preserve">InfinityFree</w:t>
      </w:r>
      <w:r>
        <w:t xml:space="preserve">, un proveedor de hosting compartido gratuito (dominio</w:t>
      </w:r>
      <w:r>
        <w:t xml:space="preserve"> </w:t>
      </w:r>
      <w:r>
        <w:rPr>
          <w:rStyle w:val="VerbatimChar"/>
        </w:rPr>
        <w:t xml:space="preserve">truequematch-gerson.great-site.net</w:t>
      </w:r>
      <w:r>
        <w:t xml:space="preserve">). Esto significa que el proveedor ya garantiza que el hardware subyacente cumple estos mínimos — el análisis de hardware sigue siendo válido como referencia si el proyecto llegara a necesitar un servidor dedicado más adelante.</w:t>
      </w:r>
    </w:p>
    <w:bookmarkEnd w:id="24"/>
    <w:bookmarkEnd w:id="25"/>
    <w:bookmarkStart w:id="29" w:name="Xfd83fa87061075ba13bd870cf0256a1af44f8b6"/>
    <w:p>
      <w:pPr>
        <w:pStyle w:val="Heading1"/>
      </w:pPr>
      <w:r>
        <w:t xml:space="preserve">3. Frameworks y Estándares con los que se Construyó el Sistema</w:t>
      </w:r>
    </w:p>
    <w:bookmarkStart w:id="26" w:name="stack-tecnológico"/>
    <w:p>
      <w:pPr>
        <w:pStyle w:val="Heading2"/>
      </w:pPr>
      <w:r>
        <w:t xml:space="preserve">3.1 Stack tecnológico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Capa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Tecnología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8.2 (sin framework, código nativo estructurado por archivos)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MariaDB, motor InnoDB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HTML5, CSS3, JavaScript nativo (sin framework)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+ Expo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versiones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+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XAMPP (Apache + MariaDB + PHP)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de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InfinityFree</w:t>
            </w:r>
          </w:p>
        </w:tc>
      </w:tr>
    </w:tbl>
    <w:bookmarkEnd w:id="26"/>
    <w:bookmarkStart w:id="27" w:name="metodología-de-desarrollo"/>
    <w:p>
      <w:pPr>
        <w:pStyle w:val="Heading2"/>
      </w:pPr>
      <w:r>
        <w:t xml:space="preserve">3.2 Metodología de desarrollo</w:t>
      </w:r>
    </w:p>
    <w:p>
      <w:pPr>
        <w:pStyle w:val="FirstParagraph"/>
      </w:pPr>
      <w:r>
        <w:t xml:space="preserve">Usé</w:t>
      </w:r>
      <w:r>
        <w:t xml:space="preserve"> </w:t>
      </w:r>
      <w:r>
        <w:rPr>
          <w:bCs/>
          <w:b/>
        </w:rPr>
        <w:t xml:space="preserve">Scrum</w:t>
      </w:r>
      <w:r>
        <w:t xml:space="preserve">, dividiendo el desarrollo en entregas cortas (sprints) que coincidían con cada evidencia del programa: primero la base de datos, después el front-end, luego el CRUD completo, después las APIs REST, y al final la integración, las pruebas y el despliegue.</w:t>
      </w:r>
    </w:p>
    <w:bookmarkEnd w:id="27"/>
    <w:bookmarkStart w:id="28" w:name="estándares-de-codificación-aplicados"/>
    <w:p>
      <w:pPr>
        <w:pStyle w:val="Heading2"/>
      </w:pPr>
      <w:r>
        <w:t xml:space="preserve">3.3 Estándares de codificación aplicados</w:t>
      </w:r>
    </w:p>
    <w:p>
      <w:pPr>
        <w:pStyle w:val="FirstParagraph"/>
      </w:pPr>
      <w:r>
        <w:t xml:space="preserve">Documentados formalmente en la evidencia GA7-AA1-EV02, apliqué: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Convenciones de nomenclatura:</w:t>
      </w:r>
      <w:r>
        <w:t xml:space="preserve"> </w:t>
      </w:r>
      <w:r>
        <w:t xml:space="preserve">nombres de tablas, columnas, variables y funciones sin tildes ni la letra ñ, para evitar problemas de codificación entre Windows, MariaDB y el navegador.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ESLint:</w:t>
      </w:r>
      <w:r>
        <w:t xml:space="preserve"> </w:t>
      </w:r>
      <w:r>
        <w:t xml:space="preserve">como herramienta de análisis estático para detectar errores de código en JavaScript antes de ejecutarlo.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Prettier:</w:t>
      </w:r>
      <w:r>
        <w:t xml:space="preserve"> </w:t>
      </w:r>
      <w:r>
        <w:t xml:space="preserve">como formateador automático de código, para que el estilo (indentación, comillas, espacios) sea consistente en todo el proyecto.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Conventional Commits:</w:t>
      </w:r>
      <w:r>
        <w:t xml:space="preserve"> </w:t>
      </w:r>
      <w:r>
        <w:t xml:space="preserve">cada mensaje de commit sigue un formato estándar que indica el tipo de cambio (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), lo que hace que el historial de Git sea legible y fácil de auditar.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Código comentado línea por línea:</w:t>
      </w:r>
      <w:r>
        <w:t xml:space="preserve"> </w:t>
      </w:r>
      <w:r>
        <w:t xml:space="preserve">cada bloque de lógica no obvia tiene un comentario explicando qué hace y por qué, para que el código sea entendible sin tener que ejecutarlo mentalmente.</w:t>
      </w:r>
    </w:p>
    <w:bookmarkEnd w:id="28"/>
    <w:bookmarkEnd w:id="29"/>
    <w:bookmarkStart w:id="33" w:name="diagrama-de-casos-de-uso-del-sistema"/>
    <w:p>
      <w:pPr>
        <w:pStyle w:val="Heading1"/>
      </w:pPr>
      <w:r>
        <w:t xml:space="preserve">4. Diagrama de Casos de Uso del Sistema</w:t>
      </w:r>
    </w:p>
    <w:p>
      <w:pPr>
        <w:pStyle w:val="FirstParagraph"/>
      </w:pPr>
      <w:r>
        <w:t xml:space="preserve">El sistema tiene 2 actores: el Usuario estándar y el Administrador. El diagrama agrupa los 22 casos de uso por módulo, e incluye las relaciones</w:t>
      </w:r>
      <w:r>
        <w:t xml:space="preserve"> </w:t>
      </w:r>
      <w:r>
        <w:rPr>
          <w:rStyle w:val="VerbatimChar"/>
        </w:rPr>
        <w:t xml:space="preserve">&lt;&lt;include&gt;&gt;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&lt;&lt;extend&gt;&gt;</w:t>
      </w:r>
      <w:r>
        <w:t xml:space="preserve"> </w:t>
      </w:r>
      <w:r>
        <w:t xml:space="preserve">reales del sistema — por ejemplo, proponer un trueque siempre incluye haber respondido una solicitud primero, y desde explorar ofertas se puede extender opcionalmente a guardar una en favoritos.</w:t>
      </w:r>
    </w:p>
    <w:p>
      <w:pPr>
        <w:pStyle w:val="BodyText"/>
      </w:pPr>
      <w:r>
        <w:drawing>
          <wp:inline>
            <wp:extent cx="5334000" cy="764007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casos_us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40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1. Diagrama de casos de uso de Trueque Match</w:t>
      </w:r>
    </w:p>
    <w:bookmarkEnd w:id="33"/>
    <w:bookmarkStart w:id="37" w:name="X184d0b55c18a8bdd689fc0fab06f35de185693e"/>
    <w:p>
      <w:pPr>
        <w:pStyle w:val="Heading1"/>
      </w:pPr>
      <w:r>
        <w:t xml:space="preserve">5. Modelo Entidad-Relación de la Base de Datos</w:t>
      </w:r>
    </w:p>
    <w:p>
      <w:pPr>
        <w:pStyle w:val="FirstParagraph"/>
      </w:pPr>
      <w:r>
        <w:t xml:space="preserve">La base de datos</w:t>
      </w:r>
      <w:r>
        <w:t xml:space="preserve"> </w:t>
      </w:r>
      <w:r>
        <w:rPr>
          <w:rStyle w:val="VerbatimChar"/>
        </w:rPr>
        <w:t xml:space="preserve">trueque_match_db</w:t>
      </w:r>
      <w:r>
        <w:t xml:space="preserve"> </w:t>
      </w:r>
      <w:r>
        <w:t xml:space="preserve">tiene 10 tablas normalizadas hasta la Tercera Forma Normal (3FN), con todas sus relaciones definidas mediante llaves foráneas.</w:t>
      </w:r>
    </w:p>
    <w:p>
      <w:pPr>
        <w:pStyle w:val="BodyText"/>
      </w:pPr>
      <w:r>
        <w:drawing>
          <wp:inline>
            <wp:extent cx="5334000" cy="767832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ee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78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2. Diagrama Entidad-Relación (EER) de trueque_match_db</w:t>
      </w:r>
    </w:p>
    <w:bookmarkEnd w:id="37"/>
    <w:bookmarkStart w:id="48" w:name="diccionario-de-datos"/>
    <w:p>
      <w:pPr>
        <w:pStyle w:val="Heading1"/>
      </w:pPr>
      <w:r>
        <w:t xml:space="preserve">6. Diccionario de Datos</w:t>
      </w:r>
    </w:p>
    <w:p>
      <w:pPr>
        <w:pStyle w:val="FirstParagraph"/>
      </w:pPr>
      <w:r>
        <w:t xml:space="preserve">Esta es la descripción completa de cada tabla y sus columnas, extraída directamente del script real de la base de datos (</w:t>
      </w:r>
      <w:r>
        <w:rPr>
          <w:rStyle w:val="VerbatimChar"/>
        </w:rPr>
        <w:t xml:space="preserve">trueque_match_db.sql</w:t>
      </w:r>
      <w:r>
        <w:t xml:space="preserve">).</w:t>
      </w:r>
    </w:p>
    <w:bookmarkStart w:id="38" w:name="tabla-usuario"/>
    <w:p>
      <w:pPr>
        <w:pStyle w:val="Heading2"/>
      </w:pPr>
      <w:r>
        <w:t xml:space="preserve">6.1 Tabla</w:t>
      </w:r>
      <w:r>
        <w:t xml:space="preserve"> </w:t>
      </w:r>
      <w:r>
        <w:rPr>
          <w:rStyle w:val="VerbatimChar"/>
        </w:rPr>
        <w:t xml:space="preserve">usuario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electrónico, usado para iniciar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clave_acceso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cifrada con bcrypt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 de contacto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ciudad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Ciudad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foto_perfil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de la foto de perfil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reputacion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Calificación promedio, de 0.00 a 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en que se creó la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 la cuenta está activa, 0 si fue desactivada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id_tipo_usuario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</w:t>
            </w:r>
            <w:r>
              <w:t xml:space="preserve"> </w:t>
            </w:r>
            <w:r>
              <w:rPr>
                <w:rStyle w:val="VerbatimChar"/>
              </w:rPr>
              <w:t xml:space="preserve">tipo_usuario</w:t>
            </w:r>
          </w:p>
        </w:tc>
      </w:tr>
    </w:tbl>
    <w:bookmarkEnd w:id="38"/>
    <w:bookmarkStart w:id="39" w:name="tabla-tipo_usuario"/>
    <w:p>
      <w:pPr>
        <w:pStyle w:val="Heading2"/>
      </w:pPr>
      <w:r>
        <w:t xml:space="preserve">6.2 Tabla</w:t>
      </w:r>
      <w:r>
        <w:t xml:space="preserve"> </w:t>
      </w:r>
      <w:r>
        <w:rPr>
          <w:rStyle w:val="VerbatimChar"/>
        </w:rPr>
        <w:t xml:space="preserve">tipo_usuario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id_tipo_usuario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int(20),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del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nombre_tipo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rol: estándar o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 del registro</w:t>
            </w:r>
          </w:p>
        </w:tc>
      </w:tr>
    </w:tbl>
    <w:bookmarkEnd w:id="39"/>
    <w:bookmarkStart w:id="40" w:name="tabla-administrador"/>
    <w:p>
      <w:pPr>
        <w:pStyle w:val="Heading2"/>
      </w:pPr>
      <w:r>
        <w:t xml:space="preserve">6.3 Tabla</w:t>
      </w:r>
      <w:r>
        <w:t xml:space="preserve"> </w:t>
      </w:r>
      <w:r>
        <w:rPr>
          <w:rStyle w:val="VerbatimChar"/>
        </w:rPr>
        <w:t xml:space="preserve">administrador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del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de acceso al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clave_acceso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cifrada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nivel_acceso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Nivel: super_admin o moderador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 de la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 está activo</w:t>
            </w:r>
          </w:p>
        </w:tc>
      </w:tr>
    </w:tbl>
    <w:bookmarkEnd w:id="40"/>
    <w:bookmarkStart w:id="41" w:name="tabla-oferta"/>
    <w:p>
      <w:pPr>
        <w:pStyle w:val="Heading2"/>
      </w:pPr>
      <w:r>
        <w:t xml:space="preserve">6.4 Tabla</w:t>
      </w:r>
      <w:r>
        <w:t xml:space="preserve"> </w:t>
      </w:r>
      <w:r>
        <w:rPr>
          <w:rStyle w:val="VerbatimChar"/>
        </w:rPr>
        <w:t xml:space="preserve">oferta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 la oferta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de la publicación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detallada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producto, servicio, conocimiento o experiencia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activa, inactiva o intercambiada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de la imagen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ciudad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Ciudad donde se ofrece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valor_estimado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estimado en pesos, solo referencial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fecha_publicacion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al usuario dueño de la oferta</w:t>
            </w:r>
          </w:p>
        </w:tc>
      </w:tr>
    </w:tbl>
    <w:bookmarkEnd w:id="41"/>
    <w:bookmarkStart w:id="42" w:name="tabla-trueque"/>
    <w:p>
      <w:pPr>
        <w:pStyle w:val="Heading2"/>
      </w:pPr>
      <w:r>
        <w:t xml:space="preserve">6.5 Tabla</w:t>
      </w:r>
      <w:r>
        <w:t xml:space="preserve"> </w:t>
      </w:r>
      <w:r>
        <w:rPr>
          <w:rStyle w:val="VerbatimChar"/>
        </w:rPr>
        <w:t xml:space="preserve">trueque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id_trueque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del trueque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pendiente, aceptado, completado o cancelado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fecha_propuesta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en que se propuso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fecha_trueque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acordada para el intercambio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descripcion_acuerdo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Detalles del acuerdo entre las partes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id_usuario_propone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que propone el trueque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id_oferta_propone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 que ofrece quien propone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id_usuario_recibe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que recibe la 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id_oferta_recibe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 que se pide a cambio</w:t>
            </w:r>
          </w:p>
        </w:tc>
      </w:tr>
    </w:tbl>
    <w:bookmarkEnd w:id="42"/>
    <w:bookmarkStart w:id="43" w:name="tabla-solicitud"/>
    <w:p>
      <w:pPr>
        <w:pStyle w:val="Heading2"/>
      </w:pPr>
      <w:r>
        <w:t xml:space="preserve">6.6 Tabla</w:t>
      </w:r>
      <w:r>
        <w:t xml:space="preserve"> </w:t>
      </w:r>
      <w:r>
        <w:rPr>
          <w:rStyle w:val="VerbatimChar"/>
        </w:rPr>
        <w:t xml:space="preserve">solicitud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 la 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de contacto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pendiente, aceptada o rechazada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envío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respuesta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id_usuario_solicita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que envía la 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id_usuario_recibe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que la recibe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 relacionada</w:t>
            </w:r>
          </w:p>
        </w:tc>
      </w:tr>
    </w:tbl>
    <w:bookmarkEnd w:id="43"/>
    <w:bookmarkStart w:id="44" w:name="tabla-evaluacion"/>
    <w:p>
      <w:pPr>
        <w:pStyle w:val="Heading2"/>
      </w:pPr>
      <w:r>
        <w:t xml:space="preserve">6.7 Tabla</w:t>
      </w:r>
      <w:r>
        <w:t xml:space="preserve"> </w:t>
      </w:r>
      <w:r>
        <w:rPr>
          <w:rStyle w:val="VerbatimChar"/>
        </w:rPr>
        <w:t xml:space="preserve">evaluacion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id_evaluacion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 la evaluación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Calificación de 1 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 opcional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fecha_evaluacion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la calificación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evaluado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id_trueque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Trueque sobre el que se califica</w:t>
            </w:r>
          </w:p>
        </w:tc>
      </w:tr>
    </w:tbl>
    <w:bookmarkEnd w:id="44"/>
    <w:bookmarkStart w:id="45" w:name="tabla-notificacion"/>
    <w:p>
      <w:pPr>
        <w:pStyle w:val="Heading2"/>
      </w:pPr>
      <w:r>
        <w:t xml:space="preserve">6.8 Tabla</w:t>
      </w:r>
      <w:r>
        <w:t xml:space="preserve"> </w:t>
      </w:r>
      <w:r>
        <w:rPr>
          <w:rStyle w:val="VerbatimChar"/>
        </w:rPr>
        <w:t xml:space="preserve">notificacion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 la notificación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de la notificación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info, alerta, sistema o trueque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 ya fue leída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fecha_envio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destinatario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id_trueque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Trueque relacionado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 relacionada (opcional)</w:t>
            </w:r>
          </w:p>
        </w:tc>
      </w:tr>
    </w:tbl>
    <w:bookmarkEnd w:id="45"/>
    <w:bookmarkStart w:id="46" w:name="tabla-reporte"/>
    <w:p>
      <w:pPr>
        <w:pStyle w:val="Heading2"/>
      </w:pPr>
      <w:r>
        <w:t xml:space="preserve">6.9 Tabla</w:t>
      </w:r>
      <w:r>
        <w:t xml:space="preserve"> </w:t>
      </w:r>
      <w:r>
        <w:rPr>
          <w:rStyle w:val="VerbatimChar"/>
        </w:rPr>
        <w:t xml:space="preserve">reporte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id_reporte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del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fraude, incumplimiento, comportamiento u otro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la denuncia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pendiente, revisado o 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fecha_reporte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fecha_resolucion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resolución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id_usuario_reporta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que hace el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id_usuario_reportado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reportado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 relacionada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id_trueque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Trueque relacionado (opcional)</w:t>
            </w:r>
          </w:p>
        </w:tc>
      </w:tr>
    </w:tbl>
    <w:bookmarkEnd w:id="46"/>
    <w:bookmarkStart w:id="47" w:name="tabla-usuario_oferta-favoritos"/>
    <w:p>
      <w:pPr>
        <w:pStyle w:val="Heading2"/>
      </w:pPr>
      <w:r>
        <w:t xml:space="preserve">6.10 Tabla</w:t>
      </w:r>
      <w:r>
        <w:t xml:space="preserve"> </w:t>
      </w:r>
      <w:r>
        <w:rPr>
          <w:rStyle w:val="VerbatimChar"/>
        </w:rPr>
        <w:t xml:space="preserve">usuario_oferta</w:t>
      </w:r>
      <w:r>
        <w:t xml:space="preserve"> </w:t>
      </w:r>
      <w:r>
        <w:t xml:space="preserve">(favoritos)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Columna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color="auto" w:fill="F2D7D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PK compuesta,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que guardó el favorito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int(11), PK compuesta,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 guardada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fecha_guardado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en que se guardó</w:t>
            </w:r>
          </w:p>
        </w:tc>
      </w:tr>
    </w:tbl>
    <w:bookmarkEnd w:id="47"/>
    <w:bookmarkEnd w:id="48"/>
    <w:bookmarkStart w:id="52" w:name="scripts-de-instalación"/>
    <w:p>
      <w:pPr>
        <w:pStyle w:val="Heading1"/>
      </w:pPr>
      <w:r>
        <w:t xml:space="preserve">7. Scripts de Instalación</w:t>
      </w:r>
    </w:p>
    <w:bookmarkStart w:id="49" w:name="script-de-la-base-de-datos"/>
    <w:p>
      <w:pPr>
        <w:pStyle w:val="Heading2"/>
      </w:pPr>
      <w:r>
        <w:t xml:space="preserve">7.1 Script de la base de datos</w:t>
      </w:r>
    </w:p>
    <w:p>
      <w:pPr>
        <w:pStyle w:val="FirstParagraph"/>
      </w:pPr>
      <w:r>
        <w:t xml:space="preserve">El script completo</w:t>
      </w:r>
      <w:r>
        <w:t xml:space="preserve"> </w:t>
      </w:r>
      <w:r>
        <w:rPr>
          <w:rStyle w:val="VerbatimChar"/>
        </w:rPr>
        <w:t xml:space="preserve">trueque_match_db.sql</w:t>
      </w:r>
      <w:r>
        <w:t xml:space="preserve">, con las 10 tablas, sus relaciones y datos de prueba, está en la raíz del repositorio:</w:t>
      </w:r>
    </w:p>
    <w:p>
      <w:pPr>
        <w:pStyle w:val="BlockText"/>
      </w:pPr>
      <w:r>
        <w:t xml:space="preserve">https://github.com/lopezoviedogersonjonnathan-rgb/proyecto_sena/blob/main/trueque_match_db.sql</w:t>
      </w:r>
    </w:p>
    <w:p>
      <w:pPr>
        <w:pStyle w:val="FirstParagraph"/>
      </w:pPr>
      <w:r>
        <w:t xml:space="preserve">Se importa directamente desde phpMyAdmin, o por línea de comandos con: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trueque_match_db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trueque_match_db.sql</w:t>
      </w:r>
    </w:p>
    <w:bookmarkEnd w:id="49"/>
    <w:bookmarkStart w:id="50" w:name="instalación-local-entorno-de-desarrollo"/>
    <w:p>
      <w:pPr>
        <w:pStyle w:val="Heading2"/>
      </w:pPr>
      <w:r>
        <w:t xml:space="preserve">7.2 Instalación local (entorno de desarrollo)</w:t>
      </w:r>
    </w:p>
    <w:p>
      <w:pPr>
        <w:numPr>
          <w:ilvl w:val="0"/>
          <w:numId w:val="1002"/>
        </w:numPr>
        <w:pStyle w:val="Compact"/>
      </w:pPr>
      <w:r>
        <w:t xml:space="preserve">Instalar XAMPP con PHP 8.2.</w:t>
      </w:r>
    </w:p>
    <w:p>
      <w:pPr>
        <w:numPr>
          <w:ilvl w:val="0"/>
          <w:numId w:val="1002"/>
        </w:numPr>
        <w:pStyle w:val="Compact"/>
      </w:pPr>
      <w:r>
        <w:t xml:space="preserve">Clonar el repositorio dentro de la carpeta</w:t>
      </w:r>
      <w:r>
        <w:t xml:space="preserve"> </w:t>
      </w:r>
      <w:r>
        <w:rPr>
          <w:rStyle w:val="VerbatimChar"/>
        </w:rPr>
        <w:t xml:space="preserve">htdocs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Crear la base de datos</w:t>
      </w:r>
      <w:r>
        <w:t xml:space="preserve"> </w:t>
      </w:r>
      <w:r>
        <w:rPr>
          <w:rStyle w:val="VerbatimChar"/>
        </w:rPr>
        <w:t xml:space="preserve">trueque_match_db</w:t>
      </w:r>
      <w:r>
        <w:t xml:space="preserve"> </w:t>
      </w:r>
      <w:r>
        <w:t xml:space="preserve">en phpMyAdmin e importar el script SQL.</w:t>
      </w:r>
    </w:p>
    <w:p>
      <w:pPr>
        <w:numPr>
          <w:ilvl w:val="0"/>
          <w:numId w:val="1002"/>
        </w:numPr>
        <w:pStyle w:val="Compact"/>
      </w:pPr>
      <w:r>
        <w:t xml:space="preserve">Confirmar que</w:t>
      </w:r>
      <w:r>
        <w:t xml:space="preserve"> </w:t>
      </w:r>
      <w:r>
        <w:rPr>
          <w:rStyle w:val="VerbatimChar"/>
        </w:rPr>
        <w:t xml:space="preserve">conexion.php</w:t>
      </w:r>
      <w:r>
        <w:t xml:space="preserve"> </w:t>
      </w:r>
      <w:r>
        <w:t xml:space="preserve">apunte al puerto correcto de MariaDB.</w:t>
      </w:r>
    </w:p>
    <w:p>
      <w:pPr>
        <w:numPr>
          <w:ilvl w:val="0"/>
          <w:numId w:val="1002"/>
        </w:numPr>
        <w:pStyle w:val="Compact"/>
      </w:pPr>
      <w:r>
        <w:t xml:space="preserve">Abrir el navegador en</w:t>
      </w:r>
      <w:r>
        <w:t xml:space="preserve"> </w:t>
      </w:r>
      <w:r>
        <w:rPr>
          <w:rStyle w:val="VerbatimChar"/>
        </w:rPr>
        <w:t xml:space="preserve">http://localhost/proyecto_sena_nuevo/app_trueque_match/login.php</w:t>
      </w:r>
      <w:r>
        <w:t xml:space="preserve">.</w:t>
      </w:r>
    </w:p>
    <w:bookmarkEnd w:id="50"/>
    <w:bookmarkStart w:id="51" w:name="despliegue-en-servidor-real-producción"/>
    <w:p>
      <w:pPr>
        <w:pStyle w:val="Heading2"/>
      </w:pPr>
      <w:r>
        <w:t xml:space="preserve">7.3 Despliegue en servidor real (producción)</w:t>
      </w:r>
    </w:p>
    <w:p>
      <w:pPr>
        <w:pStyle w:val="FirstParagraph"/>
      </w:pPr>
      <w:r>
        <w:t xml:space="preserve">Documentado en detalle en la evidencia GA10-AA5-EV01/AA6-EV01, el camino real que seguí para llevar Trueque Match a internet fue: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Virtualización:</w:t>
      </w:r>
      <w:r>
        <w:t xml:space="preserve"> </w:t>
      </w:r>
      <w:r>
        <w:t xml:space="preserve">instalé VirtualBox, creé una máquina virtual con Ubuntu, y dentro de ella instalé XAMPP para Linux — esto me sirvió para practicar un despliegue en un entorno Linux antes de hacerlo en el hosting real (porque, a diferencia de Windows, Linux sí distingue mayúsculas de minúsculas en nombres de archivos y tablas).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Contenedores (Docker):</w:t>
      </w:r>
      <w:r>
        <w:t xml:space="preserve"> </w:t>
      </w:r>
      <w:r>
        <w:t xml:space="preserve">como ejercicio adicional, levanté un servidor Apache dentro de un contenedor Docker con</w:t>
      </w:r>
      <w:r>
        <w:t xml:space="preserve"> </w:t>
      </w:r>
      <w:r>
        <w:rPr>
          <w:rStyle w:val="VerbatimChar"/>
        </w:rPr>
        <w:t xml:space="preserve">sudo docker run -d -p 8080:80 --name mi_servidor_docker httpd</w:t>
      </w:r>
      <w:r>
        <w:t xml:space="preserve">, confirmando que respondiera en el puerto 8080.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Despliegue real en InfinityFree:</w:t>
      </w:r>
      <w:r>
        <w:t xml:space="preserve"> </w:t>
      </w:r>
      <w:r>
        <w:t xml:space="preserve">subí los archivos del proyecto y la base de datos al hosting gratuito InfinityFree, bajo el dominio</w:t>
      </w:r>
      <w:r>
        <w:t xml:space="preserve"> </w:t>
      </w:r>
      <w:r>
        <w:rPr>
          <w:rStyle w:val="VerbatimChar"/>
        </w:rPr>
        <w:t xml:space="preserve">truequematch-gerson.great-site.net</w:t>
      </w:r>
      <w:r>
        <w:t xml:space="preserve">, con su propio servidor de base de datos remoto.</w:t>
      </w:r>
    </w:p>
    <w:p>
      <w:pPr>
        <w:pStyle w:val="FirstParagraph"/>
      </w:pPr>
      <w:r>
        <w:rPr>
          <w:bCs/>
          <w:b/>
        </w:rPr>
        <w:t xml:space="preserve">Nota importante:</w:t>
      </w:r>
      <w:r>
        <w:t xml:space="preserve"> </w:t>
      </w:r>
      <w:r>
        <w:t xml:space="preserve">GitHub e InfinityFree son independientes entre sí — hacer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no actualiza el sitio en producción. Cada cambio hay que subirlo también manualmente al File Manager de InfinityFree.</w:t>
      </w:r>
    </w:p>
    <w:bookmarkEnd w:id="51"/>
    <w:bookmarkEnd w:id="52"/>
    <w:bookmarkStart w:id="56" w:name="diagrama-de-componentes"/>
    <w:p>
      <w:pPr>
        <w:pStyle w:val="Heading1"/>
      </w:pPr>
      <w:r>
        <w:t xml:space="preserve">8. Diagrama de Componentes</w:t>
      </w:r>
    </w:p>
    <w:p>
      <w:pPr>
        <w:pStyle w:val="FirstParagraph"/>
      </w:pPr>
      <w:r>
        <w:t xml:space="preserve">Este diagrama muestra la arquitectura real del sistema en producción: los clientes (navegador web y app móvil), el servidor Apache + PHP, la capa de acceso a datos, la base de datos MariaDB, y Git/GitHub como herramienta externa de control de versiones.</w:t>
      </w:r>
    </w:p>
    <w:p>
      <w:pPr>
        <w:pStyle w:val="BodyText"/>
      </w:pPr>
      <w:r>
        <w:drawing>
          <wp:inline>
            <wp:extent cx="5334000" cy="4041208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media/component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1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3. Diagrama de componentes de Trueque Match</w:t>
      </w:r>
    </w:p>
    <w:bookmarkEnd w:id="56"/>
    <w:bookmarkStart w:id="57" w:name="conclusión"/>
    <w:p>
      <w:pPr>
        <w:pStyle w:val="Heading1"/>
      </w:pPr>
      <w:r>
        <w:t xml:space="preserve">9. Conclusión</w:t>
      </w:r>
    </w:p>
    <w:p>
      <w:pPr>
        <w:pStyle w:val="FirstParagraph"/>
      </w:pPr>
      <w:r>
        <w:t xml:space="preserve">Con este manual técnico dejo reunidos, en un solo documento, los 7 elementos que sustentan cómo está construido Trueque Match: desde qué se necesita para instalarlo, hasta cómo están organizados sus componentes y su base de datos. La mayoría de este contenido ya existía repartido en evidencias anteriores del proceso formativo — aquí lo organicé, lo verifiqué contra el código y la base de datos reales, y corregí las partes que ya no coincidían con el estado actual del proyecto (como el diccionario de datos, que en su versión anterior era en realidad un glosario de conceptos y no una descripción real de las tablas).</w:t>
      </w:r>
    </w:p>
    <w:bookmarkEnd w:id="57"/>
    <w:bookmarkStart w:id="58" w:name="referencias"/>
    <w:p>
      <w:pPr>
        <w:pStyle w:val="Heading1"/>
      </w:pPr>
      <w:r>
        <w:t xml:space="preserve">10. Referencias</w:t>
      </w:r>
    </w:p>
    <w:p>
      <w:pPr>
        <w:pStyle w:val="FirstParagraph"/>
      </w:pPr>
      <w:r>
        <w:t xml:space="preserve">The PHP Group. (2024).</w:t>
      </w:r>
      <w:r>
        <w:t xml:space="preserve"> </w:t>
      </w:r>
      <w:r>
        <w:rPr>
          <w:iCs/>
          <w:i/>
        </w:rPr>
        <w:t xml:space="preserve">PHP 8.2 Manual</w:t>
      </w:r>
      <w:r>
        <w:t xml:space="preserve">. https://www.php.net/manual/es/</w:t>
      </w:r>
    </w:p>
    <w:p>
      <w:pPr>
        <w:pStyle w:val="BodyText"/>
      </w:pPr>
      <w:r>
        <w:t xml:space="preserve">MariaDB Foundation. (2024).</w:t>
      </w:r>
      <w:r>
        <w:t xml:space="preserve"> </w:t>
      </w:r>
      <w:r>
        <w:rPr>
          <w:iCs/>
          <w:i/>
        </w:rPr>
        <w:t xml:space="preserve">MariaDB Server Documentation</w:t>
      </w:r>
      <w:r>
        <w:t xml:space="preserve">. https://mariadb.com/kb/en/documentation/</w:t>
      </w:r>
    </w:p>
    <w:p>
      <w:pPr>
        <w:pStyle w:val="BodyText"/>
      </w:pPr>
      <w:r>
        <w:t xml:space="preserve">Meta Platforms. (2024).</w:t>
      </w:r>
      <w:r>
        <w:t xml:space="preserve"> </w:t>
      </w:r>
      <w:r>
        <w:rPr>
          <w:iCs/>
          <w:i/>
        </w:rPr>
        <w:t xml:space="preserve">React Native Documentation</w:t>
      </w:r>
      <w:r>
        <w:t xml:space="preserve">. https://reactnative.dev/docs/getting-started</w:t>
      </w:r>
    </w:p>
    <w:p>
      <w:pPr>
        <w:pStyle w:val="BodyText"/>
      </w:pPr>
      <w:r>
        <w:t xml:space="preserve">Docker Inc. (2024).</w:t>
      </w:r>
      <w:r>
        <w:t xml:space="preserve"> </w:t>
      </w:r>
      <w:r>
        <w:rPr>
          <w:iCs/>
          <w:i/>
        </w:rPr>
        <w:t xml:space="preserve">Docker Documentation</w:t>
      </w:r>
      <w:r>
        <w:t xml:space="preserve">. https://docs.docker.com/</w:t>
      </w:r>
    </w:p>
    <w:p>
      <w:pPr>
        <w:pStyle w:val="BodyText"/>
      </w:pPr>
      <w:r>
        <w:t xml:space="preserve">Oracle Corporation. (2024).</w:t>
      </w:r>
      <w:r>
        <w:t xml:space="preserve"> </w:t>
      </w:r>
      <w:r>
        <w:rPr>
          <w:iCs/>
          <w:i/>
        </w:rPr>
        <w:t xml:space="preserve">VirtualBox User Manual</w:t>
      </w:r>
      <w:r>
        <w:t xml:space="preserve">. https://www.virtualbox.org/manual/</w:t>
      </w:r>
    </w:p>
    <w:p>
      <w:pPr>
        <w:pStyle w:val="BodyText"/>
      </w:pPr>
      <w:r>
        <w:t xml:space="preserve">Schwaber, K., &amp; Sutherland, J. (2020).</w:t>
      </w:r>
      <w:r>
        <w:t xml:space="preserve"> </w:t>
      </w:r>
      <w:r>
        <w:rPr>
          <w:iCs/>
          <w:i/>
        </w:rPr>
        <w:t xml:space="preserve">La Guía de Scrum</w:t>
      </w:r>
      <w:r>
        <w:t xml:space="preserve">. https://scrumguides.org/</w:t>
      </w:r>
    </w:p>
    <w:p>
      <w:pPr>
        <w:pStyle w:val="BodyText"/>
      </w:pPr>
      <w:r>
        <w:t xml:space="preserve">Conventional Commits. (2024).</w:t>
      </w:r>
      <w:r>
        <w:t xml:space="preserve"> </w:t>
      </w:r>
      <w:r>
        <w:rPr>
          <w:iCs/>
          <w:i/>
        </w:rPr>
        <w:t xml:space="preserve">Conventional Commits Specification</w:t>
      </w:r>
      <w:r>
        <w:t xml:space="preserve">. https://www.conventionalcommits.org/es/</w:t>
      </w:r>
    </w:p>
    <w:p>
      <w:pPr>
        <w:pStyle w:val="BodyText"/>
      </w:pPr>
      <w:r>
        <w:t xml:space="preserve">López Oviedo, G. J. (2026).</w:t>
      </w:r>
      <w:r>
        <w:t xml:space="preserve"> </w:t>
      </w:r>
      <w:r>
        <w:rPr>
          <w:iCs/>
          <w:i/>
        </w:rPr>
        <w:t xml:space="preserve">Trueque Match</w:t>
      </w:r>
      <w:r>
        <w:t xml:space="preserve"> </w:t>
      </w:r>
      <w:r>
        <w:t xml:space="preserve">[Código fuente]. GitHub. https://github.com/lopezoviedogersonjonnathan-rgb/proyecto_sena</w:t>
      </w:r>
    </w:p>
    <w:p>
      <w:pPr>
        <w:pStyle w:val="BodyText"/>
      </w:pPr>
      <w:r>
        <w:t xml:space="preserve">SENA. (2026).</w:t>
      </w:r>
      <w:r>
        <w:t xml:space="preserve"> </w:t>
      </w:r>
      <w:r>
        <w:rPr>
          <w:iCs/>
          <w:i/>
        </w:rPr>
        <w:t xml:space="preserve">Tecnólogo en Análisis y Desarrollo de Software — GA10-220501097-AA10-EV01</w:t>
      </w:r>
      <w:r>
        <w:t xml:space="preserve">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53" Type="http://schemas.openxmlformats.org/officeDocument/2006/relationships/image" Target="media/rId53.png"/><Relationship Id="rId34" Type="http://schemas.openxmlformats.org/officeDocument/2006/relationships/image" Target="media/rId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2026-09-15T02:55:26Z</dcterms:created>
  <dcterms:modified xsi:type="dcterms:W3CDTF">2026-09-15T02:55:26Z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