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93C66"/>
        </w:rPr>
        <w:t xml:space="preserve">OpenClaw 部署方式（简版）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535353"/>
        </w:rPr>
        <w:t xml:space="preserve">适合个人 / 家庭服务器 / 小团队，快速上线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1）本机部署（最快）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场景：自己电脑上直接跑，调试最方便。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步骤：安装 OpenClaw → 配置通道（如 iMessage / Telegram）→ 启动 gateway。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优点：上手快；缺点：电脑关机就离线。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2）云服务器部署（稳定）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场景：希望 24/7 在线、可远程访问。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步骤：准备 Linux VPS → 安装 OpenClaw → 配置密钥与通道 → 设守护进程。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优点：稳定在线；缺点：有服务器成本。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3）家庭局域网部署（隐私优先）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场景：家里小主机/NAS 常开，数据尽量本地化。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步骤：内网机器安装 OpenClaw → 绑定消息渠道 → 按需做外网转发。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优点：私有化强；缺点：外网访问配置稍复杂。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推荐：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先本机验证功能，再迁移到云端长期运行。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35353"/>
        </w:rPr>
        <w:t xml:space="preserve">备注：生产环境建议加监控、备份和最小权限策略。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