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AC8FF" w14:textId="77777777" w:rsidR="00664D41" w:rsidRPr="00481B63" w:rsidRDefault="00664D41" w:rsidP="00664D41">
      <w:pPr>
        <w:rPr>
          <w:rFonts w:ascii="Garamond" w:hAnsi="Garamond"/>
          <w:b/>
          <w:bCs/>
          <w:sz w:val="22"/>
          <w:szCs w:val="22"/>
        </w:rPr>
      </w:pPr>
      <w:r w:rsidRPr="00481B63">
        <w:rPr>
          <w:rFonts w:ascii="Garamond" w:hAnsi="Garamond"/>
          <w:b/>
          <w:bCs/>
          <w:sz w:val="22"/>
          <w:szCs w:val="22"/>
        </w:rPr>
        <w:t xml:space="preserve">Table 1.  </w:t>
      </w:r>
      <w:r w:rsidRPr="00481B63">
        <w:rPr>
          <w:rFonts w:ascii="Garamond" w:hAnsi="Garamond"/>
          <w:sz w:val="22"/>
          <w:szCs w:val="22"/>
        </w:rPr>
        <w:t>Model parameters and ranges</w:t>
      </w:r>
    </w:p>
    <w:p w14:paraId="1EBDB75B" w14:textId="77777777" w:rsidR="00664D41" w:rsidRPr="00481B63" w:rsidRDefault="00664D41" w:rsidP="00664D41">
      <w:pPr>
        <w:rPr>
          <w:rFonts w:ascii="Garamond" w:hAnsi="Garamond"/>
          <w:b/>
          <w:bCs/>
          <w:sz w:val="22"/>
          <w:szCs w:val="22"/>
        </w:rPr>
      </w:pPr>
    </w:p>
    <w:tbl>
      <w:tblPr>
        <w:tblStyle w:val="GridTable1Light"/>
        <w:tblW w:w="10720" w:type="dxa"/>
        <w:jc w:val="center"/>
        <w:tblLayout w:type="fixed"/>
        <w:tblLook w:val="04A0" w:firstRow="1" w:lastRow="0" w:firstColumn="1" w:lastColumn="0" w:noHBand="0" w:noVBand="1"/>
      </w:tblPr>
      <w:tblGrid>
        <w:gridCol w:w="4627"/>
        <w:gridCol w:w="914"/>
        <w:gridCol w:w="1564"/>
        <w:gridCol w:w="1082"/>
        <w:gridCol w:w="1348"/>
        <w:gridCol w:w="1185"/>
      </w:tblGrid>
      <w:tr w:rsidR="00664D41" w:rsidRPr="00481B63" w14:paraId="59C4824E" w14:textId="77777777" w:rsidTr="00664D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7" w:type="dxa"/>
          </w:tcPr>
          <w:p w14:paraId="6F2FD3EE" w14:textId="77777777" w:rsidR="00664D41" w:rsidRPr="00481B63" w:rsidRDefault="00664D41" w:rsidP="00037B58">
            <w:pPr>
              <w:rPr>
                <w:rFonts w:ascii="Garamond" w:hAnsi="Garamond"/>
                <w:sz w:val="18"/>
                <w:szCs w:val="18"/>
              </w:rPr>
            </w:pPr>
            <w:r w:rsidRPr="00481B63">
              <w:rPr>
                <w:rFonts w:ascii="Garamond" w:hAnsi="Garamond"/>
                <w:sz w:val="18"/>
                <w:szCs w:val="18"/>
              </w:rPr>
              <w:t>Parameter</w:t>
            </w:r>
          </w:p>
        </w:tc>
        <w:tc>
          <w:tcPr>
            <w:tcW w:w="914" w:type="dxa"/>
          </w:tcPr>
          <w:p w14:paraId="18E2424E" w14:textId="77777777" w:rsidR="00664D41" w:rsidRPr="00481B63" w:rsidRDefault="00664D41" w:rsidP="00037B58">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Value</w:t>
            </w:r>
          </w:p>
        </w:tc>
        <w:tc>
          <w:tcPr>
            <w:tcW w:w="1564" w:type="dxa"/>
          </w:tcPr>
          <w:p w14:paraId="3B167318" w14:textId="77777777" w:rsidR="00664D41" w:rsidRPr="00481B63" w:rsidRDefault="00664D41" w:rsidP="00037B58">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Range</w:t>
            </w:r>
          </w:p>
        </w:tc>
        <w:tc>
          <w:tcPr>
            <w:tcW w:w="1082" w:type="dxa"/>
          </w:tcPr>
          <w:p w14:paraId="674A2181" w14:textId="77777777" w:rsidR="00664D41" w:rsidRPr="00481B63" w:rsidRDefault="00664D41" w:rsidP="00037B58">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Distribution</w:t>
            </w:r>
          </w:p>
        </w:tc>
        <w:tc>
          <w:tcPr>
            <w:tcW w:w="1348" w:type="dxa"/>
          </w:tcPr>
          <w:p w14:paraId="21F43E23" w14:textId="77777777" w:rsidR="00664D41" w:rsidRPr="00481B63" w:rsidRDefault="00664D41" w:rsidP="00037B58">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Symbol</w:t>
            </w:r>
          </w:p>
        </w:tc>
        <w:tc>
          <w:tcPr>
            <w:tcW w:w="1185" w:type="dxa"/>
          </w:tcPr>
          <w:p w14:paraId="32008A40" w14:textId="77777777" w:rsidR="00664D41" w:rsidRPr="00481B63" w:rsidRDefault="00664D41" w:rsidP="00037B58">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Source</w:t>
            </w:r>
          </w:p>
        </w:tc>
      </w:tr>
      <w:tr w:rsidR="00664D41" w:rsidRPr="00481B63" w14:paraId="6D3D0884"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62C7C7FF" w14:textId="77777777" w:rsidR="00664D41" w:rsidRPr="00481B63" w:rsidRDefault="00664D41" w:rsidP="00037B58">
            <w:pPr>
              <w:rPr>
                <w:rFonts w:ascii="Garamond" w:hAnsi="Garamond"/>
                <w:sz w:val="18"/>
                <w:szCs w:val="18"/>
              </w:rPr>
            </w:pPr>
            <w:r w:rsidRPr="00481B63">
              <w:rPr>
                <w:rFonts w:ascii="Garamond" w:hAnsi="Garamond"/>
                <w:sz w:val="18"/>
                <w:szCs w:val="18"/>
              </w:rPr>
              <w:t>Populations</w:t>
            </w:r>
          </w:p>
        </w:tc>
        <w:tc>
          <w:tcPr>
            <w:tcW w:w="914" w:type="dxa"/>
          </w:tcPr>
          <w:p w14:paraId="25505D6D"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564" w:type="dxa"/>
          </w:tcPr>
          <w:p w14:paraId="171CE5A2"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082" w:type="dxa"/>
          </w:tcPr>
          <w:p w14:paraId="4AA232D2"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348" w:type="dxa"/>
          </w:tcPr>
          <w:p w14:paraId="4B847A41"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185" w:type="dxa"/>
          </w:tcPr>
          <w:p w14:paraId="3452F2E5"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r>
      <w:tr w:rsidR="00664D41" w:rsidRPr="00481B63" w14:paraId="469CD3E3"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597C9B2D"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Total students</w:t>
            </w:r>
          </w:p>
        </w:tc>
        <w:tc>
          <w:tcPr>
            <w:tcW w:w="914" w:type="dxa"/>
          </w:tcPr>
          <w:p w14:paraId="1C59E47E"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15,000</w:t>
            </w:r>
          </w:p>
        </w:tc>
        <w:tc>
          <w:tcPr>
            <w:tcW w:w="1564" w:type="dxa"/>
          </w:tcPr>
          <w:p w14:paraId="3F9F72C4"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082" w:type="dxa"/>
          </w:tcPr>
          <w:p w14:paraId="63029D7F"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348" w:type="dxa"/>
          </w:tcPr>
          <w:p w14:paraId="7660F83C"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185" w:type="dxa"/>
          </w:tcPr>
          <w:p w14:paraId="0120139B"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Univ. admin</w:t>
            </w:r>
          </w:p>
        </w:tc>
      </w:tr>
      <w:tr w:rsidR="00664D41" w:rsidRPr="00481B63" w14:paraId="60598A80"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09797640"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Students living on campus</w:t>
            </w:r>
          </w:p>
        </w:tc>
        <w:tc>
          <w:tcPr>
            <w:tcW w:w="914" w:type="dxa"/>
          </w:tcPr>
          <w:p w14:paraId="13BA1878"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4,500</w:t>
            </w:r>
          </w:p>
        </w:tc>
        <w:tc>
          <w:tcPr>
            <w:tcW w:w="1564" w:type="dxa"/>
          </w:tcPr>
          <w:p w14:paraId="6549754E"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1575 to 4500</w:t>
            </w:r>
          </w:p>
        </w:tc>
        <w:tc>
          <w:tcPr>
            <w:tcW w:w="1082" w:type="dxa"/>
          </w:tcPr>
          <w:p w14:paraId="4E2616A3"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Uniform</w:t>
            </w:r>
          </w:p>
        </w:tc>
        <w:tc>
          <w:tcPr>
            <w:tcW w:w="1348" w:type="dxa"/>
          </w:tcPr>
          <w:p w14:paraId="263F5B3C"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185" w:type="dxa"/>
          </w:tcPr>
          <w:p w14:paraId="679BD57A"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Univ. admin</w:t>
            </w:r>
          </w:p>
        </w:tc>
      </w:tr>
      <w:tr w:rsidR="00664D41" w:rsidRPr="00481B63" w14:paraId="3720D388"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662340E4"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Staff and faculty</w:t>
            </w:r>
          </w:p>
        </w:tc>
        <w:tc>
          <w:tcPr>
            <w:tcW w:w="914" w:type="dxa"/>
          </w:tcPr>
          <w:p w14:paraId="717D5659"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15,266</w:t>
            </w:r>
          </w:p>
        </w:tc>
        <w:tc>
          <w:tcPr>
            <w:tcW w:w="1564" w:type="dxa"/>
          </w:tcPr>
          <w:p w14:paraId="70668745"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082" w:type="dxa"/>
          </w:tcPr>
          <w:p w14:paraId="2860547C"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348" w:type="dxa"/>
          </w:tcPr>
          <w:p w14:paraId="1295DA9D"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185" w:type="dxa"/>
          </w:tcPr>
          <w:p w14:paraId="19F06A0A"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Univ. admin</w:t>
            </w:r>
          </w:p>
        </w:tc>
      </w:tr>
      <w:tr w:rsidR="00664D41" w:rsidRPr="00481B63" w14:paraId="04FADA83"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015FD057" w14:textId="77777777" w:rsidR="00664D41" w:rsidRPr="00481B63" w:rsidRDefault="00664D41" w:rsidP="00037B58">
            <w:pPr>
              <w:rPr>
                <w:rFonts w:ascii="Garamond" w:hAnsi="Garamond"/>
                <w:sz w:val="18"/>
                <w:szCs w:val="18"/>
              </w:rPr>
            </w:pPr>
            <w:r w:rsidRPr="00481B63">
              <w:rPr>
                <w:rFonts w:ascii="Garamond" w:hAnsi="Garamond"/>
                <w:sz w:val="18"/>
                <w:szCs w:val="18"/>
              </w:rPr>
              <w:t>Natural history and clinical</w:t>
            </w:r>
          </w:p>
        </w:tc>
        <w:tc>
          <w:tcPr>
            <w:tcW w:w="914" w:type="dxa"/>
          </w:tcPr>
          <w:p w14:paraId="53C85B77"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564" w:type="dxa"/>
          </w:tcPr>
          <w:p w14:paraId="4869D779"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082" w:type="dxa"/>
          </w:tcPr>
          <w:p w14:paraId="1F7C09D6"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348" w:type="dxa"/>
          </w:tcPr>
          <w:p w14:paraId="74921827"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185" w:type="dxa"/>
          </w:tcPr>
          <w:p w14:paraId="23B57FF7"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r>
      <w:tr w:rsidR="00664D41" w:rsidRPr="00481B63" w14:paraId="57AE6BB7"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269D7469"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Latent period (days)</w:t>
            </w:r>
          </w:p>
        </w:tc>
        <w:tc>
          <w:tcPr>
            <w:tcW w:w="914" w:type="dxa"/>
          </w:tcPr>
          <w:p w14:paraId="0187A90E"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3</w:t>
            </w:r>
          </w:p>
        </w:tc>
        <w:tc>
          <w:tcPr>
            <w:tcW w:w="1564" w:type="dxa"/>
          </w:tcPr>
          <w:p w14:paraId="4C6D2772"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2 to 4</w:t>
            </w:r>
          </w:p>
        </w:tc>
        <w:tc>
          <w:tcPr>
            <w:tcW w:w="1082" w:type="dxa"/>
          </w:tcPr>
          <w:p w14:paraId="128F2473"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Gamma</w:t>
            </w:r>
          </w:p>
        </w:tc>
        <w:tc>
          <w:tcPr>
            <w:tcW w:w="1348" w:type="dxa"/>
          </w:tcPr>
          <w:p w14:paraId="1875FB2A"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eastAsiaTheme="minorEastAsia" w:hAnsi="Garamond"/>
                <w:sz w:val="20"/>
                <w:szCs w:val="20"/>
              </w:rPr>
              <w:t>1/</w:t>
            </w:r>
            <m:oMath>
              <m:r>
                <w:rPr>
                  <w:rFonts w:ascii="Cambria Math" w:hAnsi="Cambria Math"/>
                  <w:sz w:val="20"/>
                  <w:szCs w:val="20"/>
                </w:rPr>
                <m:t>α</m:t>
              </m:r>
            </m:oMath>
          </w:p>
        </w:tc>
        <w:tc>
          <w:tcPr>
            <w:tcW w:w="1185" w:type="dxa"/>
          </w:tcPr>
          <w:p w14:paraId="01313442"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fldChar w:fldCharType="begin"/>
            </w:r>
            <w:r w:rsidRPr="00481B63">
              <w:rPr>
                <w:rFonts w:ascii="Garamond" w:hAnsi="Garamond"/>
                <w:sz w:val="18"/>
                <w:szCs w:val="18"/>
              </w:rPr>
              <w:instrText xml:space="preserve"> ADDIN ZOTERO_ITEM CSL_CITATION {"citationID":"XcloXgpD","properties":{"formattedCitation":"(8)","plainCitation":"(8)","noteIndex":0},"citationItems":[{"id":238,"uris":["http://zotero.org/users/3645254/items/FBBUEZZE"],"uri":["http://zotero.org/users/3645254/items/FBBUEZZE"],"itemData":{"id":238,"type":"article-journal","container-title":"Annals of Internal Medicine","DOI":"10.7326/M20-0504","ISSN":"0003-4819","issue":"9","journalAbbreviation":"Annals of Internal Medicine","note":"publisher: American College of Physicians","page":"577-582","source":"acpjournals.org (Atypon)","title":"The Incubation Period of Coronavirus Disease 2019 (COVID-19) From Publicly Reported Confirmed Cases: Estimation and Application","title-short":"The Incubation Period of Coronavirus Disease 2019 (COVID-19) From Publicly Reported Confirmed Cases","volume":"172","author":[{"family":"Lauer","given":"Stephen A."},{"family":"Grantz","given":"Kyra H."},{"family":"Bi","given":"Qifang"},{"family":"Jones","given":"Forrest K."},{"family":"Zheng","given":"Qulu"},{"family":"Meredith","given":"Hannah R."},{"family":"Azman","given":"Andrew S."},{"family":"Reich","given":"Nicholas G."},{"family":"Lessler","given":"Justin"}],"issued":{"date-parts":[["2020",3,10]]}}}],"schema":"https://github.com/citation-style-language/schema/raw/master/csl-citation.json"} </w:instrText>
            </w:r>
            <w:r w:rsidRPr="00481B63">
              <w:rPr>
                <w:rFonts w:ascii="Garamond" w:hAnsi="Garamond"/>
                <w:sz w:val="18"/>
                <w:szCs w:val="18"/>
              </w:rPr>
              <w:fldChar w:fldCharType="separate"/>
            </w:r>
            <w:r w:rsidRPr="00481B63">
              <w:rPr>
                <w:rFonts w:ascii="Garamond" w:hAnsi="Garamond" w:cs="Times New Roman"/>
                <w:sz w:val="18"/>
              </w:rPr>
              <w:t>(8)</w:t>
            </w:r>
            <w:r w:rsidRPr="00481B63">
              <w:rPr>
                <w:rFonts w:ascii="Garamond" w:hAnsi="Garamond"/>
                <w:sz w:val="18"/>
                <w:szCs w:val="18"/>
              </w:rPr>
              <w:fldChar w:fldCharType="end"/>
            </w:r>
          </w:p>
        </w:tc>
      </w:tr>
      <w:tr w:rsidR="00664D41" w:rsidRPr="00481B63" w14:paraId="639B3CC1"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59673DF9"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Infectious period (days)</w:t>
            </w:r>
          </w:p>
        </w:tc>
        <w:tc>
          <w:tcPr>
            <w:tcW w:w="914" w:type="dxa"/>
          </w:tcPr>
          <w:p w14:paraId="68C14D60"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7</w:t>
            </w:r>
          </w:p>
        </w:tc>
        <w:tc>
          <w:tcPr>
            <w:tcW w:w="1564" w:type="dxa"/>
          </w:tcPr>
          <w:p w14:paraId="5AC2467F"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6 to 8</w:t>
            </w:r>
          </w:p>
        </w:tc>
        <w:tc>
          <w:tcPr>
            <w:tcW w:w="1082" w:type="dxa"/>
          </w:tcPr>
          <w:p w14:paraId="6A17622E"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Gamma</w:t>
            </w:r>
          </w:p>
        </w:tc>
        <w:tc>
          <w:tcPr>
            <w:tcW w:w="1348" w:type="dxa"/>
          </w:tcPr>
          <w:p w14:paraId="1E1E7C12"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18"/>
                <w:vertAlign w:val="superscript"/>
              </w:rPr>
            </w:pPr>
            <m:oMathPara>
              <m:oMath>
                <m:r>
                  <w:rPr>
                    <w:rFonts w:ascii="Cambria Math" w:hAnsi="Cambria Math"/>
                    <w:sz w:val="20"/>
                    <w:szCs w:val="20"/>
                  </w:rPr>
                  <m:t>1/γ</m:t>
                </m:r>
              </m:oMath>
            </m:oMathPara>
          </w:p>
        </w:tc>
        <w:tc>
          <w:tcPr>
            <w:tcW w:w="1185" w:type="dxa"/>
          </w:tcPr>
          <w:p w14:paraId="128A6D99"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cs="Times New Roman"/>
                <w:sz w:val="18"/>
                <w:vertAlign w:val="superscript"/>
              </w:rPr>
              <w:fldChar w:fldCharType="begin"/>
            </w:r>
            <w:r w:rsidRPr="00481B63">
              <w:rPr>
                <w:rFonts w:ascii="Garamond" w:hAnsi="Garamond" w:cs="Times New Roman"/>
                <w:sz w:val="18"/>
                <w:vertAlign w:val="superscript"/>
              </w:rPr>
              <w:instrText xml:space="preserve"> ADDIN ZOTERO_ITEM CSL_CITATION {"citationID":"SHnV8cBV","properties":{"formattedCitation":"(14)","plainCitation":"(14)","noteIndex":0},"citationItems":[{"id":86,"uris":["http://zotero.org/groups/2460084/items/WHZLMYIW"],"uri":["http://zotero.org/groups/2460084/items/WHZLMYIW"],"itemData":{"id":86,"type":"article-journal","abstract":"&lt;p&gt;There is an urgent need to project how transmission of the novel betacoronavirus SARS-CoV-2 will unfold in coming years. These dynamics will depend on seasonality, the duration of immunity, and the strength of cross-immunity to/from the other human coronaviruses. Using data from the United States, we measured how these factors affect transmission of human betacoronaviruses HCoV-OC43 and HCoV-HKU1. We then built a mathematical model to simulate transmission of SARS-CoV-2 through the year 2025. We project that recurrent wintertime outbreaks of SARS-CoV-2 will probably occur after an initial pandemic wave. We summarize the full range of plausible transmission scenarios and identify key data still needed to distinguish between them, most importantly longitudinal serological studies to determine the duration of immunity to SARS-CoV-2.&lt;/p&gt;","container-title":"medRxiv","DOI":"10.1101/2020.03.04.20031112","language":"en","page":"2020.03.04.20031112","source":"www.medrxiv.org","title":"Projecting the transmission dynamics of SARS-CoV-2 through the post-pandemic period","author":[{"family":"Kissler","given":"Stephen M."},{"family":"Tedijanto","given":"Christine"},{"family":"Goldstein","given":"Edward"},{"family":"Grad","given":"Yonatan H."},{"family":"Lipsitch","given":"Marc"}],"issued":{"date-parts":[["2020",3,6]]}}}],"schema":"https://github.com/citation-style-language/schema/raw/master/csl-citation.json"} </w:instrText>
            </w:r>
            <w:r w:rsidRPr="00481B63">
              <w:rPr>
                <w:rFonts w:ascii="Garamond" w:hAnsi="Garamond" w:cs="Times New Roman"/>
                <w:sz w:val="18"/>
                <w:vertAlign w:val="superscript"/>
              </w:rPr>
              <w:fldChar w:fldCharType="separate"/>
            </w:r>
            <w:r w:rsidRPr="00481B63">
              <w:rPr>
                <w:rFonts w:ascii="Garamond" w:hAnsi="Garamond" w:cs="Times New Roman"/>
                <w:sz w:val="18"/>
              </w:rPr>
              <w:t>(14)</w:t>
            </w:r>
            <w:r w:rsidRPr="00481B63">
              <w:rPr>
                <w:rFonts w:ascii="Garamond" w:hAnsi="Garamond" w:cs="Times New Roman"/>
                <w:sz w:val="18"/>
                <w:vertAlign w:val="superscript"/>
              </w:rPr>
              <w:fldChar w:fldCharType="end"/>
            </w:r>
          </w:p>
        </w:tc>
      </w:tr>
      <w:tr w:rsidR="00664D41" w:rsidRPr="00481B63" w14:paraId="694AE2DE"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55769E77"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Proportion severe - students</w:t>
            </w:r>
          </w:p>
        </w:tc>
        <w:tc>
          <w:tcPr>
            <w:tcW w:w="914" w:type="dxa"/>
          </w:tcPr>
          <w:p w14:paraId="42AA19B7"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0.0224</w:t>
            </w:r>
          </w:p>
        </w:tc>
        <w:tc>
          <w:tcPr>
            <w:tcW w:w="1564" w:type="dxa"/>
          </w:tcPr>
          <w:p w14:paraId="12A95D32"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0.0133 to 0.0456</w:t>
            </w:r>
          </w:p>
        </w:tc>
        <w:tc>
          <w:tcPr>
            <w:tcW w:w="1082" w:type="dxa"/>
          </w:tcPr>
          <w:p w14:paraId="0669073B"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Beta</w:t>
            </w:r>
          </w:p>
        </w:tc>
        <w:tc>
          <w:tcPr>
            <w:tcW w:w="1348" w:type="dxa"/>
          </w:tcPr>
          <w:p w14:paraId="06472187"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185" w:type="dxa"/>
          </w:tcPr>
          <w:p w14:paraId="71DDE945"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fldChar w:fldCharType="begin"/>
            </w:r>
            <w:r w:rsidRPr="00481B63">
              <w:rPr>
                <w:rFonts w:ascii="Garamond" w:hAnsi="Garamond"/>
                <w:sz w:val="18"/>
                <w:szCs w:val="18"/>
              </w:rPr>
              <w:instrText xml:space="preserve"> ADDIN ZOTERO_ITEM CSL_CITATION {"citationID":"vPoMb9OL","properties":{"formattedCitation":"(6)","plainCitation":"(6)","noteIndex":0},"citationItems":[{"id":243,"uris":["http://zotero.org/users/3645254/items/45GEX9XM"],"uri":["http://zotero.org/users/3645254/items/45GEX9XM"],"itemData":{"id":243,"type":"article-journal","abstract":"&lt;h2&gt;Summary&lt;/h2&gt;&lt;h3&gt;Background&lt;/h3&gt;&lt;p&gt;In the face of rapidly changing data, a range of case fatality ratio estimates for coronavirus disease 2019 (COVID-19) have been produced that differ substantially in magnitude. We aimed to provide robust estimates, accounting for censoring and ascertainment biases.&lt;/p&gt;&lt;h3&gt;Methods&lt;/h3&gt;&lt;p&gt;We collected individual-case data for patients who died from COVID-19 in Hubei, mainland China (reported by national and provincial health commissions to Feb 8, 2020), and for cases outside of mainland China (from government or ministry of health websites and media reports for 37 countries, as well as Hong Kong and Macau, until Feb 25, 2020). These individual-case data were used to estimate the time between onset of symptoms and outcome (death or discharge from hospital). We next obtained age-stratified estimates of the case fatality ratio by relating the aggregate distribution of cases to the observed cumulative deaths in China, assuming a constant attack rate by age and adjusting for demography and age-based and location-based under-ascertainment. We also estimated the case fatality ratio from individual line-list data on 1334 cases identified outside of mainland China. Using data on the prevalence of PCR-confirmed cases in international residents repatriated from China, we obtained age-stratified estimates of the infection fatality ratio. Furthermore, data on age-stratified severity in a subset of 3665 cases from China were used to estimate the proportion of infected individuals who are likely to require hospitalisation.&lt;/p&gt;&lt;h3&gt;Findings&lt;/h3&gt;&lt;p&gt;Using data on 24 deaths that occurred in mainland China and 165 recoveries outside of China, we estimated the mean duration from onset of symptoms to death to be 17·8 days (95% credible interval [CrI] 16·9–19·2) and to hospital discharge to be 24·7 days (22·9–28·1). In all laboratory confirmed and clinically diagnosed cases from mainland China (n=70 117), we estimated a crude case fatality ratio (adjusted for censoring) of 3·67% (95% CrI 3·56–3·80). However, after further adjusting for demography and under-ascertainment, we obtained a best estimate of the case fatality ratio in China of 1·38% (1·23–1·53), with subs</w:instrText>
            </w:r>
            <w:r w:rsidRPr="00481B63">
              <w:rPr>
                <w:rFonts w:ascii="Garamond" w:hAnsi="Garamond" w:hint="eastAsia"/>
                <w:sz w:val="18"/>
                <w:szCs w:val="18"/>
              </w:rPr>
              <w:instrText>tantially higher ratios in older age groups (0</w:instrText>
            </w:r>
            <w:r w:rsidRPr="00481B63">
              <w:rPr>
                <w:rFonts w:ascii="Garamond" w:hAnsi="Garamond" w:hint="eastAsia"/>
                <w:sz w:val="18"/>
                <w:szCs w:val="18"/>
              </w:rPr>
              <w:instrText>·</w:instrText>
            </w:r>
            <w:r w:rsidRPr="00481B63">
              <w:rPr>
                <w:rFonts w:ascii="Garamond" w:hAnsi="Garamond" w:hint="eastAsia"/>
                <w:sz w:val="18"/>
                <w:szCs w:val="18"/>
              </w:rPr>
              <w:instrText>32% [0</w:instrText>
            </w:r>
            <w:r w:rsidRPr="00481B63">
              <w:rPr>
                <w:rFonts w:ascii="Garamond" w:hAnsi="Garamond" w:hint="eastAsia"/>
                <w:sz w:val="18"/>
                <w:szCs w:val="18"/>
              </w:rPr>
              <w:instrText>·</w:instrText>
            </w:r>
            <w:r w:rsidRPr="00481B63">
              <w:rPr>
                <w:rFonts w:ascii="Garamond" w:hAnsi="Garamond" w:hint="eastAsia"/>
                <w:sz w:val="18"/>
                <w:szCs w:val="18"/>
              </w:rPr>
              <w:instrText>27</w:instrText>
            </w:r>
            <w:r w:rsidRPr="00481B63">
              <w:rPr>
                <w:rFonts w:ascii="Garamond" w:hAnsi="Garamond" w:hint="eastAsia"/>
                <w:sz w:val="18"/>
                <w:szCs w:val="18"/>
              </w:rPr>
              <w:instrText>–</w:instrText>
            </w:r>
            <w:r w:rsidRPr="00481B63">
              <w:rPr>
                <w:rFonts w:ascii="Garamond" w:hAnsi="Garamond" w:hint="eastAsia"/>
                <w:sz w:val="18"/>
                <w:szCs w:val="18"/>
              </w:rPr>
              <w:instrText>0</w:instrText>
            </w:r>
            <w:r w:rsidRPr="00481B63">
              <w:rPr>
                <w:rFonts w:ascii="Garamond" w:hAnsi="Garamond" w:hint="eastAsia"/>
                <w:sz w:val="18"/>
                <w:szCs w:val="18"/>
              </w:rPr>
              <w:instrText>·</w:instrText>
            </w:r>
            <w:r w:rsidRPr="00481B63">
              <w:rPr>
                <w:rFonts w:ascii="Garamond" w:hAnsi="Garamond" w:hint="eastAsia"/>
                <w:sz w:val="18"/>
                <w:szCs w:val="18"/>
              </w:rPr>
              <w:instrText>38] in those aged &lt;60 years &lt;i&gt;vs&lt;/i&gt; 6</w:instrText>
            </w:r>
            <w:r w:rsidRPr="00481B63">
              <w:rPr>
                <w:rFonts w:ascii="Garamond" w:hAnsi="Garamond" w:hint="eastAsia"/>
                <w:sz w:val="18"/>
                <w:szCs w:val="18"/>
              </w:rPr>
              <w:instrText>·</w:instrText>
            </w:r>
            <w:r w:rsidRPr="00481B63">
              <w:rPr>
                <w:rFonts w:ascii="Garamond" w:hAnsi="Garamond" w:hint="eastAsia"/>
                <w:sz w:val="18"/>
                <w:szCs w:val="18"/>
              </w:rPr>
              <w:instrText>4% [5</w:instrText>
            </w:r>
            <w:r w:rsidRPr="00481B63">
              <w:rPr>
                <w:rFonts w:ascii="Garamond" w:hAnsi="Garamond" w:hint="eastAsia"/>
                <w:sz w:val="18"/>
                <w:szCs w:val="18"/>
              </w:rPr>
              <w:instrText>·</w:instrText>
            </w:r>
            <w:r w:rsidRPr="00481B63">
              <w:rPr>
                <w:rFonts w:ascii="Garamond" w:hAnsi="Garamond" w:hint="eastAsia"/>
                <w:sz w:val="18"/>
                <w:szCs w:val="18"/>
              </w:rPr>
              <w:instrText>7</w:instrText>
            </w:r>
            <w:r w:rsidRPr="00481B63">
              <w:rPr>
                <w:rFonts w:ascii="Garamond" w:hAnsi="Garamond" w:hint="eastAsia"/>
                <w:sz w:val="18"/>
                <w:szCs w:val="18"/>
              </w:rPr>
              <w:instrText>–</w:instrText>
            </w:r>
            <w:r w:rsidRPr="00481B63">
              <w:rPr>
                <w:rFonts w:ascii="Garamond" w:hAnsi="Garamond" w:hint="eastAsia"/>
                <w:sz w:val="18"/>
                <w:szCs w:val="18"/>
              </w:rPr>
              <w:instrText>7</w:instrText>
            </w:r>
            <w:r w:rsidRPr="00481B63">
              <w:rPr>
                <w:rFonts w:ascii="Garamond" w:hAnsi="Garamond" w:hint="eastAsia"/>
                <w:sz w:val="18"/>
                <w:szCs w:val="18"/>
              </w:rPr>
              <w:instrText>·</w:instrText>
            </w:r>
            <w:r w:rsidRPr="00481B63">
              <w:rPr>
                <w:rFonts w:ascii="Garamond" w:hAnsi="Garamond" w:hint="eastAsia"/>
                <w:sz w:val="18"/>
                <w:szCs w:val="18"/>
              </w:rPr>
              <w:instrText xml:space="preserve">2] in those aged </w:instrText>
            </w:r>
            <w:r w:rsidRPr="00481B63">
              <w:rPr>
                <w:rFonts w:ascii="Garamond" w:hAnsi="Garamond" w:hint="eastAsia"/>
                <w:sz w:val="18"/>
                <w:szCs w:val="18"/>
              </w:rPr>
              <w:instrText>≥</w:instrText>
            </w:r>
            <w:r w:rsidRPr="00481B63">
              <w:rPr>
                <w:rFonts w:ascii="Garamond" w:hAnsi="Garamond" w:hint="eastAsia"/>
                <w:sz w:val="18"/>
                <w:szCs w:val="18"/>
              </w:rPr>
              <w:instrText>60 years), up to 13</w:instrText>
            </w:r>
            <w:r w:rsidRPr="00481B63">
              <w:rPr>
                <w:rFonts w:ascii="Garamond" w:hAnsi="Garamond" w:hint="eastAsia"/>
                <w:sz w:val="18"/>
                <w:szCs w:val="18"/>
              </w:rPr>
              <w:instrText>·</w:instrText>
            </w:r>
            <w:r w:rsidRPr="00481B63">
              <w:rPr>
                <w:rFonts w:ascii="Garamond" w:hAnsi="Garamond" w:hint="eastAsia"/>
                <w:sz w:val="18"/>
                <w:szCs w:val="18"/>
              </w:rPr>
              <w:instrText>4% (11</w:instrText>
            </w:r>
            <w:r w:rsidRPr="00481B63">
              <w:rPr>
                <w:rFonts w:ascii="Garamond" w:hAnsi="Garamond" w:hint="eastAsia"/>
                <w:sz w:val="18"/>
                <w:szCs w:val="18"/>
              </w:rPr>
              <w:instrText>·</w:instrText>
            </w:r>
            <w:r w:rsidRPr="00481B63">
              <w:rPr>
                <w:rFonts w:ascii="Garamond" w:hAnsi="Garamond" w:hint="eastAsia"/>
                <w:sz w:val="18"/>
                <w:szCs w:val="18"/>
              </w:rPr>
              <w:instrText>2</w:instrText>
            </w:r>
            <w:r w:rsidRPr="00481B63">
              <w:rPr>
                <w:rFonts w:ascii="Garamond" w:hAnsi="Garamond" w:hint="eastAsia"/>
                <w:sz w:val="18"/>
                <w:szCs w:val="18"/>
              </w:rPr>
              <w:instrText>–</w:instrText>
            </w:r>
            <w:r w:rsidRPr="00481B63">
              <w:rPr>
                <w:rFonts w:ascii="Garamond" w:hAnsi="Garamond" w:hint="eastAsia"/>
                <w:sz w:val="18"/>
                <w:szCs w:val="18"/>
              </w:rPr>
              <w:instrText>15</w:instrText>
            </w:r>
            <w:r w:rsidRPr="00481B63">
              <w:rPr>
                <w:rFonts w:ascii="Garamond" w:hAnsi="Garamond" w:hint="eastAsia"/>
                <w:sz w:val="18"/>
                <w:szCs w:val="18"/>
              </w:rPr>
              <w:instrText>·</w:instrText>
            </w:r>
            <w:r w:rsidRPr="00481B63">
              <w:rPr>
                <w:rFonts w:ascii="Garamond" w:hAnsi="Garamond" w:hint="eastAsia"/>
                <w:sz w:val="18"/>
                <w:szCs w:val="18"/>
              </w:rPr>
              <w:instrText>9) in those aged 80 years or older. Estimates of case fatality ratio from international cases stratified by age were consistent with those from China (parametric estimate 1</w:instrText>
            </w:r>
            <w:r w:rsidRPr="00481B63">
              <w:rPr>
                <w:rFonts w:ascii="Garamond" w:hAnsi="Garamond" w:hint="eastAsia"/>
                <w:sz w:val="18"/>
                <w:szCs w:val="18"/>
              </w:rPr>
              <w:instrText>·</w:instrText>
            </w:r>
            <w:r w:rsidRPr="00481B63">
              <w:rPr>
                <w:rFonts w:ascii="Garamond" w:hAnsi="Garamond" w:hint="eastAsia"/>
                <w:sz w:val="18"/>
                <w:szCs w:val="18"/>
              </w:rPr>
              <w:instrText>4% [0</w:instrText>
            </w:r>
            <w:r w:rsidRPr="00481B63">
              <w:rPr>
                <w:rFonts w:ascii="Garamond" w:hAnsi="Garamond" w:hint="eastAsia"/>
                <w:sz w:val="18"/>
                <w:szCs w:val="18"/>
              </w:rPr>
              <w:instrText>·</w:instrText>
            </w:r>
            <w:r w:rsidRPr="00481B63">
              <w:rPr>
                <w:rFonts w:ascii="Garamond" w:hAnsi="Garamond" w:hint="eastAsia"/>
                <w:sz w:val="18"/>
                <w:szCs w:val="18"/>
              </w:rPr>
              <w:instrText>4</w:instrText>
            </w:r>
            <w:r w:rsidRPr="00481B63">
              <w:rPr>
                <w:rFonts w:ascii="Garamond" w:hAnsi="Garamond" w:hint="eastAsia"/>
                <w:sz w:val="18"/>
                <w:szCs w:val="18"/>
              </w:rPr>
              <w:instrText>–</w:instrText>
            </w:r>
            <w:r w:rsidRPr="00481B63">
              <w:rPr>
                <w:rFonts w:ascii="Garamond" w:hAnsi="Garamond" w:hint="eastAsia"/>
                <w:sz w:val="18"/>
                <w:szCs w:val="18"/>
              </w:rPr>
              <w:instrText>3</w:instrText>
            </w:r>
            <w:r w:rsidRPr="00481B63">
              <w:rPr>
                <w:rFonts w:ascii="Garamond" w:hAnsi="Garamond" w:hint="eastAsia"/>
                <w:sz w:val="18"/>
                <w:szCs w:val="18"/>
              </w:rPr>
              <w:instrText>·</w:instrText>
            </w:r>
            <w:r w:rsidRPr="00481B63">
              <w:rPr>
                <w:rFonts w:ascii="Garamond" w:hAnsi="Garamond" w:hint="eastAsia"/>
                <w:sz w:val="18"/>
                <w:szCs w:val="18"/>
              </w:rPr>
              <w:instrText>5] in those aged &lt;60 years [n=360] and 4</w:instrText>
            </w:r>
            <w:r w:rsidRPr="00481B63">
              <w:rPr>
                <w:rFonts w:ascii="Garamond" w:hAnsi="Garamond" w:hint="eastAsia"/>
                <w:sz w:val="18"/>
                <w:szCs w:val="18"/>
              </w:rPr>
              <w:instrText>·</w:instrText>
            </w:r>
            <w:r w:rsidRPr="00481B63">
              <w:rPr>
                <w:rFonts w:ascii="Garamond" w:hAnsi="Garamond" w:hint="eastAsia"/>
                <w:sz w:val="18"/>
                <w:szCs w:val="18"/>
              </w:rPr>
              <w:instrText>5% [1</w:instrText>
            </w:r>
            <w:r w:rsidRPr="00481B63">
              <w:rPr>
                <w:rFonts w:ascii="Garamond" w:hAnsi="Garamond" w:hint="eastAsia"/>
                <w:sz w:val="18"/>
                <w:szCs w:val="18"/>
              </w:rPr>
              <w:instrText>·</w:instrText>
            </w:r>
            <w:r w:rsidRPr="00481B63">
              <w:rPr>
                <w:rFonts w:ascii="Garamond" w:hAnsi="Garamond" w:hint="eastAsia"/>
                <w:sz w:val="18"/>
                <w:szCs w:val="18"/>
              </w:rPr>
              <w:instrText>8</w:instrText>
            </w:r>
            <w:r w:rsidRPr="00481B63">
              <w:rPr>
                <w:rFonts w:ascii="Garamond" w:hAnsi="Garamond" w:hint="eastAsia"/>
                <w:sz w:val="18"/>
                <w:szCs w:val="18"/>
              </w:rPr>
              <w:instrText>–</w:instrText>
            </w:r>
            <w:r w:rsidRPr="00481B63">
              <w:rPr>
                <w:rFonts w:ascii="Garamond" w:hAnsi="Garamond" w:hint="eastAsia"/>
                <w:sz w:val="18"/>
                <w:szCs w:val="18"/>
              </w:rPr>
              <w:instrText>11</w:instrText>
            </w:r>
            <w:r w:rsidRPr="00481B63">
              <w:rPr>
                <w:rFonts w:ascii="Garamond" w:hAnsi="Garamond" w:hint="eastAsia"/>
                <w:sz w:val="18"/>
                <w:szCs w:val="18"/>
              </w:rPr>
              <w:instrText>·</w:instrText>
            </w:r>
            <w:r w:rsidRPr="00481B63">
              <w:rPr>
                <w:rFonts w:ascii="Garamond" w:hAnsi="Garamond" w:hint="eastAsia"/>
                <w:sz w:val="18"/>
                <w:szCs w:val="18"/>
              </w:rPr>
              <w:instrText xml:space="preserve">1] in those aged </w:instrText>
            </w:r>
            <w:r w:rsidRPr="00481B63">
              <w:rPr>
                <w:rFonts w:ascii="Garamond" w:hAnsi="Garamond" w:hint="eastAsia"/>
                <w:sz w:val="18"/>
                <w:szCs w:val="18"/>
              </w:rPr>
              <w:instrText>≥</w:instrText>
            </w:r>
            <w:r w:rsidRPr="00481B63">
              <w:rPr>
                <w:rFonts w:ascii="Garamond" w:hAnsi="Garamond" w:hint="eastAsia"/>
                <w:sz w:val="18"/>
                <w:szCs w:val="18"/>
              </w:rPr>
              <w:instrText>60 years [n=151]). Our estimated overall infection fatality ratio for China was 0</w:instrText>
            </w:r>
            <w:r w:rsidRPr="00481B63">
              <w:rPr>
                <w:rFonts w:ascii="Garamond" w:hAnsi="Garamond" w:hint="eastAsia"/>
                <w:sz w:val="18"/>
                <w:szCs w:val="18"/>
              </w:rPr>
              <w:instrText>·</w:instrText>
            </w:r>
            <w:r w:rsidRPr="00481B63">
              <w:rPr>
                <w:rFonts w:ascii="Garamond" w:hAnsi="Garamond" w:hint="eastAsia"/>
                <w:sz w:val="18"/>
                <w:szCs w:val="18"/>
              </w:rPr>
              <w:instrText>66% (0</w:instrText>
            </w:r>
            <w:r w:rsidRPr="00481B63">
              <w:rPr>
                <w:rFonts w:ascii="Garamond" w:hAnsi="Garamond" w:hint="eastAsia"/>
                <w:sz w:val="18"/>
                <w:szCs w:val="18"/>
              </w:rPr>
              <w:instrText>·</w:instrText>
            </w:r>
            <w:r w:rsidRPr="00481B63">
              <w:rPr>
                <w:rFonts w:ascii="Garamond" w:hAnsi="Garamond" w:hint="eastAsia"/>
                <w:sz w:val="18"/>
                <w:szCs w:val="18"/>
              </w:rPr>
              <w:instrText>39</w:instrText>
            </w:r>
            <w:r w:rsidRPr="00481B63">
              <w:rPr>
                <w:rFonts w:ascii="Garamond" w:hAnsi="Garamond" w:hint="eastAsia"/>
                <w:sz w:val="18"/>
                <w:szCs w:val="18"/>
              </w:rPr>
              <w:instrText>–</w:instrText>
            </w:r>
            <w:r w:rsidRPr="00481B63">
              <w:rPr>
                <w:rFonts w:ascii="Garamond" w:hAnsi="Garamond" w:hint="eastAsia"/>
                <w:sz w:val="18"/>
                <w:szCs w:val="18"/>
              </w:rPr>
              <w:instrText>1</w:instrText>
            </w:r>
            <w:r w:rsidRPr="00481B63">
              <w:rPr>
                <w:rFonts w:ascii="Garamond" w:hAnsi="Garamond" w:hint="eastAsia"/>
                <w:sz w:val="18"/>
                <w:szCs w:val="18"/>
              </w:rPr>
              <w:instrText>·</w:instrText>
            </w:r>
            <w:r w:rsidRPr="00481B63">
              <w:rPr>
                <w:rFonts w:ascii="Garamond" w:hAnsi="Garamond" w:hint="eastAsia"/>
                <w:sz w:val="18"/>
                <w:szCs w:val="18"/>
              </w:rPr>
              <w:instrText>33),</w:instrText>
            </w:r>
            <w:r w:rsidRPr="00481B63">
              <w:rPr>
                <w:rFonts w:ascii="Garamond" w:hAnsi="Garamond"/>
                <w:sz w:val="18"/>
                <w:szCs w:val="18"/>
              </w:rPr>
              <w:instrText xml:space="preserve"> with an increasing profile with age. Similarly, estimates of the proportion of infected individuals likely to be hospitalised increased with age up to a maximum of 18·4% (11·0–37·6) in those aged 80 years or older.&lt;/p&gt;&lt;h3&gt;Interpretation&lt;/h3&gt;&lt;p&gt;These early estimates give an indication of the fatality ratio across the spectrum of COVID-19 disease and show a strong age gradient in risk of death.&lt;/p&gt;&lt;h3&gt;Funding&lt;/h3&gt;&lt;p&gt;UK Medical Research Council.&lt;/p&gt;","container-title":"The Lancet Infectious Diseases","DOI":"10.1016/S1473-3099(20)30243-7","ISSN":"1473-3099, 1474-4457","issue":"6","journalAbbreviation":"The Lancet Infectious Diseases","language":"English","note":"publisher: Elsevier\nPMID: 32240634","page":"669-677","source":"www.thelancet.com","title":"Estimates of the severity of coronavirus disease 2019: a model-based analysis","title-short":"Estimates of the severity of coronavirus disease 2019","volume":"20","author":[{"family":"Verity","given":"Robert"},{"family":"Okell","given":"Lucy C."},{"family":"Dorigatti","given":"Ilaria"},{"family":"Winskill","given":"Peter"},{"family":"Whittaker","given":"Charles"},{"family":"Imai","given":"Natsuko"},{"family":"Cuomo-Dannenburg","given":"Gina"},{"family":"Thompson","given":"Hayley"},{"family":"Walker","given":"Patrick G. T."},{"family":"Fu","given":"Han"},{"family":"Dighe","given":"Amy"},{"family":"Griffin","given":"Jamie T."},{"family":"Baguelin","given":"Marc"},{"family":"Bhatia","given":"Sangeeta"},{"family":"Boonyasiri","given":"Adhiratha"},{"family":"Cori","given":"Anne"},{"family":"Cucunubá","given":"Zulma"},{"family":"FitzJohn","given":"Rich"},{"family":"Gaythorpe","given":"Katy"},{"family":"Green","given":"Will"},{"family":"Hamlet","given":"Arran"},{"family":"Hinsley","given":"Wes"},{"family":"Laydon","given":"Daniel"},{"family":"Nedjati-Gilani","given":"Gemma"},{"family":"Riley","given":"Steven"},{"family":"Elsland","given":"Sabine","dropping-particle":"van"},{"family":"Volz","given":"Erik"},{"family":"Wang","given":"Haowei"},{"family":"Wang","given":"Yuanrong"},{"family":"Xi","given":"Xiaoyue"},{"family":"Donnelly","given":"Christl A."},{"family":"Ghani","given":"Azra C."},{"family":"Ferguson","given":"Neil M."}],"issued":{"date-parts":[["2020",6,1]]}}}],"schema":"https://github.com/citation-style-language/schema/raw/master/csl-citation.json"} </w:instrText>
            </w:r>
            <w:r w:rsidRPr="00481B63">
              <w:rPr>
                <w:rFonts w:ascii="Garamond" w:hAnsi="Garamond"/>
                <w:sz w:val="18"/>
                <w:szCs w:val="18"/>
              </w:rPr>
              <w:fldChar w:fldCharType="separate"/>
            </w:r>
            <w:r w:rsidRPr="00481B63">
              <w:rPr>
                <w:rFonts w:ascii="Garamond" w:hAnsi="Garamond" w:cs="Times New Roman"/>
                <w:sz w:val="18"/>
              </w:rPr>
              <w:t>(6)</w:t>
            </w:r>
            <w:r w:rsidRPr="00481B63">
              <w:rPr>
                <w:rFonts w:ascii="Garamond" w:hAnsi="Garamond"/>
                <w:sz w:val="18"/>
                <w:szCs w:val="18"/>
              </w:rPr>
              <w:fldChar w:fldCharType="end"/>
            </w:r>
          </w:p>
        </w:tc>
      </w:tr>
      <w:tr w:rsidR="00664D41" w:rsidRPr="00481B63" w14:paraId="77EFDBDE"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78EE4094"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Proportion severe - staff/faculty</w:t>
            </w:r>
          </w:p>
        </w:tc>
        <w:tc>
          <w:tcPr>
            <w:tcW w:w="914" w:type="dxa"/>
          </w:tcPr>
          <w:p w14:paraId="6730571D"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0.055</w:t>
            </w:r>
          </w:p>
        </w:tc>
        <w:tc>
          <w:tcPr>
            <w:tcW w:w="1564" w:type="dxa"/>
          </w:tcPr>
          <w:p w14:paraId="448ADC5C"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0.0327 to 0.1122</w:t>
            </w:r>
          </w:p>
        </w:tc>
        <w:tc>
          <w:tcPr>
            <w:tcW w:w="1082" w:type="dxa"/>
          </w:tcPr>
          <w:p w14:paraId="1E3493AF"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Beta</w:t>
            </w:r>
          </w:p>
        </w:tc>
        <w:tc>
          <w:tcPr>
            <w:tcW w:w="1348" w:type="dxa"/>
          </w:tcPr>
          <w:p w14:paraId="62126761"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185" w:type="dxa"/>
          </w:tcPr>
          <w:p w14:paraId="7714E706"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fldChar w:fldCharType="begin"/>
            </w:r>
            <w:r w:rsidRPr="00481B63">
              <w:rPr>
                <w:rFonts w:ascii="Garamond" w:hAnsi="Garamond"/>
                <w:sz w:val="18"/>
                <w:szCs w:val="18"/>
              </w:rPr>
              <w:instrText xml:space="preserve"> ADDIN ZOTERO_ITEM CSL_CITATION {"citationID":"pRRsqWYG","properties":{"formattedCitation":"(6)","plainCitation":"(6)","noteIndex":0},"citationItems":[{"id":243,"uris":["http://zotero.org/users/3645254/items/45GEX9XM"],"uri":["http://zotero.org/users/3645254/items/45GEX9XM"],"itemData":{"id":243,"type":"article-journal","abstract":"&lt;h2&gt;Summary&lt;/h2&gt;&lt;h3&gt;Background&lt;/h3&gt;&lt;p&gt;In the face of rapidly changing data, a range of case fatality ratio estimates for coronavirus disease 2019 (COVID-19) have been produced that differ substantially in magnitude. We aimed to provide robust estimates, accounting for censoring and ascertainment biases.&lt;/p&gt;&lt;h3&gt;Methods&lt;/h3&gt;&lt;p&gt;We collected individual-case data for patients who died from COVID-19 in Hubei, mainland China (reported by national and provincial health commissions to Feb 8, 2020), and for cases outside of mainland China (from government or ministry of health websites and media reports for 37 countries, as well as Hong Kong and Macau, until Feb 25, 2020). These individual-case data were used to estimate the time between onset of symptoms and outcome (death or discharge from hospital). We next obtained age-stratified estimates of the case fatality ratio by relating the aggregate distribution of cases to the observed cumulative deaths in China, assuming a constant attack rate by age and adjusting for demography and age-based and location-based under-ascertainment. We also estimated the case fatality ratio from individual line-list data on 1334 cases identified outside of mainland China. Using data on the prevalence of PCR-confirmed cases in international residents repatriated from China, we obtained age-stratified estimates of the infection fatality ratio. Furthermore, data on age-stratified severity in a subset of 3665 cases from China were used to estimate the proportion of infected individuals who are likely to require hospitalisation.&lt;/p&gt;&lt;h3&gt;Findings&lt;/h3&gt;&lt;p&gt;Using data on 24 deaths that occurred in mainland China and 165 recoveries outside of China, we estimated the mean duration from onset of symptoms to death to be 17·8 days (95% credible interval [CrI] 16·9–19·2) and to hospital discharge to be 24·7 days (22·9–28·1). In all laboratory confirmed and clinically diagnosed cases from mainland China (n=70 117), we estimated a crude case fatality ratio (adjusted for censoring) of 3·67% (95% CrI 3·56–3·80). However, after further adjusting for demography and under-ascertainment, we obtained a best estimate of the case fatality ratio in China of 1·38% (1·23–1·53), with subs</w:instrText>
            </w:r>
            <w:r w:rsidRPr="00481B63">
              <w:rPr>
                <w:rFonts w:ascii="Garamond" w:hAnsi="Garamond" w:hint="eastAsia"/>
                <w:sz w:val="18"/>
                <w:szCs w:val="18"/>
              </w:rPr>
              <w:instrText>tantially higher ratios in older age groups (0</w:instrText>
            </w:r>
            <w:r w:rsidRPr="00481B63">
              <w:rPr>
                <w:rFonts w:ascii="Garamond" w:hAnsi="Garamond" w:hint="eastAsia"/>
                <w:sz w:val="18"/>
                <w:szCs w:val="18"/>
              </w:rPr>
              <w:instrText>·</w:instrText>
            </w:r>
            <w:r w:rsidRPr="00481B63">
              <w:rPr>
                <w:rFonts w:ascii="Garamond" w:hAnsi="Garamond" w:hint="eastAsia"/>
                <w:sz w:val="18"/>
                <w:szCs w:val="18"/>
              </w:rPr>
              <w:instrText>32% [0</w:instrText>
            </w:r>
            <w:r w:rsidRPr="00481B63">
              <w:rPr>
                <w:rFonts w:ascii="Garamond" w:hAnsi="Garamond" w:hint="eastAsia"/>
                <w:sz w:val="18"/>
                <w:szCs w:val="18"/>
              </w:rPr>
              <w:instrText>·</w:instrText>
            </w:r>
            <w:r w:rsidRPr="00481B63">
              <w:rPr>
                <w:rFonts w:ascii="Garamond" w:hAnsi="Garamond" w:hint="eastAsia"/>
                <w:sz w:val="18"/>
                <w:szCs w:val="18"/>
              </w:rPr>
              <w:instrText>27</w:instrText>
            </w:r>
            <w:r w:rsidRPr="00481B63">
              <w:rPr>
                <w:rFonts w:ascii="Garamond" w:hAnsi="Garamond" w:hint="eastAsia"/>
                <w:sz w:val="18"/>
                <w:szCs w:val="18"/>
              </w:rPr>
              <w:instrText>–</w:instrText>
            </w:r>
            <w:r w:rsidRPr="00481B63">
              <w:rPr>
                <w:rFonts w:ascii="Garamond" w:hAnsi="Garamond" w:hint="eastAsia"/>
                <w:sz w:val="18"/>
                <w:szCs w:val="18"/>
              </w:rPr>
              <w:instrText>0</w:instrText>
            </w:r>
            <w:r w:rsidRPr="00481B63">
              <w:rPr>
                <w:rFonts w:ascii="Garamond" w:hAnsi="Garamond" w:hint="eastAsia"/>
                <w:sz w:val="18"/>
                <w:szCs w:val="18"/>
              </w:rPr>
              <w:instrText>·</w:instrText>
            </w:r>
            <w:r w:rsidRPr="00481B63">
              <w:rPr>
                <w:rFonts w:ascii="Garamond" w:hAnsi="Garamond" w:hint="eastAsia"/>
                <w:sz w:val="18"/>
                <w:szCs w:val="18"/>
              </w:rPr>
              <w:instrText>38] in those aged &lt;60 years &lt;i&gt;vs&lt;/i&gt; 6</w:instrText>
            </w:r>
            <w:r w:rsidRPr="00481B63">
              <w:rPr>
                <w:rFonts w:ascii="Garamond" w:hAnsi="Garamond" w:hint="eastAsia"/>
                <w:sz w:val="18"/>
                <w:szCs w:val="18"/>
              </w:rPr>
              <w:instrText>·</w:instrText>
            </w:r>
            <w:r w:rsidRPr="00481B63">
              <w:rPr>
                <w:rFonts w:ascii="Garamond" w:hAnsi="Garamond" w:hint="eastAsia"/>
                <w:sz w:val="18"/>
                <w:szCs w:val="18"/>
              </w:rPr>
              <w:instrText>4% [5</w:instrText>
            </w:r>
            <w:r w:rsidRPr="00481B63">
              <w:rPr>
                <w:rFonts w:ascii="Garamond" w:hAnsi="Garamond" w:hint="eastAsia"/>
                <w:sz w:val="18"/>
                <w:szCs w:val="18"/>
              </w:rPr>
              <w:instrText>·</w:instrText>
            </w:r>
            <w:r w:rsidRPr="00481B63">
              <w:rPr>
                <w:rFonts w:ascii="Garamond" w:hAnsi="Garamond" w:hint="eastAsia"/>
                <w:sz w:val="18"/>
                <w:szCs w:val="18"/>
              </w:rPr>
              <w:instrText>7</w:instrText>
            </w:r>
            <w:r w:rsidRPr="00481B63">
              <w:rPr>
                <w:rFonts w:ascii="Garamond" w:hAnsi="Garamond" w:hint="eastAsia"/>
                <w:sz w:val="18"/>
                <w:szCs w:val="18"/>
              </w:rPr>
              <w:instrText>–</w:instrText>
            </w:r>
            <w:r w:rsidRPr="00481B63">
              <w:rPr>
                <w:rFonts w:ascii="Garamond" w:hAnsi="Garamond" w:hint="eastAsia"/>
                <w:sz w:val="18"/>
                <w:szCs w:val="18"/>
              </w:rPr>
              <w:instrText>7</w:instrText>
            </w:r>
            <w:r w:rsidRPr="00481B63">
              <w:rPr>
                <w:rFonts w:ascii="Garamond" w:hAnsi="Garamond" w:hint="eastAsia"/>
                <w:sz w:val="18"/>
                <w:szCs w:val="18"/>
              </w:rPr>
              <w:instrText>·</w:instrText>
            </w:r>
            <w:r w:rsidRPr="00481B63">
              <w:rPr>
                <w:rFonts w:ascii="Garamond" w:hAnsi="Garamond" w:hint="eastAsia"/>
                <w:sz w:val="18"/>
                <w:szCs w:val="18"/>
              </w:rPr>
              <w:instrText xml:space="preserve">2] in those aged </w:instrText>
            </w:r>
            <w:r w:rsidRPr="00481B63">
              <w:rPr>
                <w:rFonts w:ascii="Garamond" w:hAnsi="Garamond" w:hint="eastAsia"/>
                <w:sz w:val="18"/>
                <w:szCs w:val="18"/>
              </w:rPr>
              <w:instrText>≥</w:instrText>
            </w:r>
            <w:r w:rsidRPr="00481B63">
              <w:rPr>
                <w:rFonts w:ascii="Garamond" w:hAnsi="Garamond" w:hint="eastAsia"/>
                <w:sz w:val="18"/>
                <w:szCs w:val="18"/>
              </w:rPr>
              <w:instrText>60 years), up to 13</w:instrText>
            </w:r>
            <w:r w:rsidRPr="00481B63">
              <w:rPr>
                <w:rFonts w:ascii="Garamond" w:hAnsi="Garamond" w:hint="eastAsia"/>
                <w:sz w:val="18"/>
                <w:szCs w:val="18"/>
              </w:rPr>
              <w:instrText>·</w:instrText>
            </w:r>
            <w:r w:rsidRPr="00481B63">
              <w:rPr>
                <w:rFonts w:ascii="Garamond" w:hAnsi="Garamond" w:hint="eastAsia"/>
                <w:sz w:val="18"/>
                <w:szCs w:val="18"/>
              </w:rPr>
              <w:instrText>4% (11</w:instrText>
            </w:r>
            <w:r w:rsidRPr="00481B63">
              <w:rPr>
                <w:rFonts w:ascii="Garamond" w:hAnsi="Garamond" w:hint="eastAsia"/>
                <w:sz w:val="18"/>
                <w:szCs w:val="18"/>
              </w:rPr>
              <w:instrText>·</w:instrText>
            </w:r>
            <w:r w:rsidRPr="00481B63">
              <w:rPr>
                <w:rFonts w:ascii="Garamond" w:hAnsi="Garamond" w:hint="eastAsia"/>
                <w:sz w:val="18"/>
                <w:szCs w:val="18"/>
              </w:rPr>
              <w:instrText>2</w:instrText>
            </w:r>
            <w:r w:rsidRPr="00481B63">
              <w:rPr>
                <w:rFonts w:ascii="Garamond" w:hAnsi="Garamond" w:hint="eastAsia"/>
                <w:sz w:val="18"/>
                <w:szCs w:val="18"/>
              </w:rPr>
              <w:instrText>–</w:instrText>
            </w:r>
            <w:r w:rsidRPr="00481B63">
              <w:rPr>
                <w:rFonts w:ascii="Garamond" w:hAnsi="Garamond" w:hint="eastAsia"/>
                <w:sz w:val="18"/>
                <w:szCs w:val="18"/>
              </w:rPr>
              <w:instrText>15</w:instrText>
            </w:r>
            <w:r w:rsidRPr="00481B63">
              <w:rPr>
                <w:rFonts w:ascii="Garamond" w:hAnsi="Garamond" w:hint="eastAsia"/>
                <w:sz w:val="18"/>
                <w:szCs w:val="18"/>
              </w:rPr>
              <w:instrText>·</w:instrText>
            </w:r>
            <w:r w:rsidRPr="00481B63">
              <w:rPr>
                <w:rFonts w:ascii="Garamond" w:hAnsi="Garamond" w:hint="eastAsia"/>
                <w:sz w:val="18"/>
                <w:szCs w:val="18"/>
              </w:rPr>
              <w:instrText>9) in those aged 80 years or older. Estimates of case fatality ratio from international cases stratified by age were consistent with those from China (parametric estimate 1</w:instrText>
            </w:r>
            <w:r w:rsidRPr="00481B63">
              <w:rPr>
                <w:rFonts w:ascii="Garamond" w:hAnsi="Garamond" w:hint="eastAsia"/>
                <w:sz w:val="18"/>
                <w:szCs w:val="18"/>
              </w:rPr>
              <w:instrText>·</w:instrText>
            </w:r>
            <w:r w:rsidRPr="00481B63">
              <w:rPr>
                <w:rFonts w:ascii="Garamond" w:hAnsi="Garamond" w:hint="eastAsia"/>
                <w:sz w:val="18"/>
                <w:szCs w:val="18"/>
              </w:rPr>
              <w:instrText>4% [0</w:instrText>
            </w:r>
            <w:r w:rsidRPr="00481B63">
              <w:rPr>
                <w:rFonts w:ascii="Garamond" w:hAnsi="Garamond" w:hint="eastAsia"/>
                <w:sz w:val="18"/>
                <w:szCs w:val="18"/>
              </w:rPr>
              <w:instrText>·</w:instrText>
            </w:r>
            <w:r w:rsidRPr="00481B63">
              <w:rPr>
                <w:rFonts w:ascii="Garamond" w:hAnsi="Garamond" w:hint="eastAsia"/>
                <w:sz w:val="18"/>
                <w:szCs w:val="18"/>
              </w:rPr>
              <w:instrText>4</w:instrText>
            </w:r>
            <w:r w:rsidRPr="00481B63">
              <w:rPr>
                <w:rFonts w:ascii="Garamond" w:hAnsi="Garamond" w:hint="eastAsia"/>
                <w:sz w:val="18"/>
                <w:szCs w:val="18"/>
              </w:rPr>
              <w:instrText>–</w:instrText>
            </w:r>
            <w:r w:rsidRPr="00481B63">
              <w:rPr>
                <w:rFonts w:ascii="Garamond" w:hAnsi="Garamond" w:hint="eastAsia"/>
                <w:sz w:val="18"/>
                <w:szCs w:val="18"/>
              </w:rPr>
              <w:instrText>3</w:instrText>
            </w:r>
            <w:r w:rsidRPr="00481B63">
              <w:rPr>
                <w:rFonts w:ascii="Garamond" w:hAnsi="Garamond" w:hint="eastAsia"/>
                <w:sz w:val="18"/>
                <w:szCs w:val="18"/>
              </w:rPr>
              <w:instrText>·</w:instrText>
            </w:r>
            <w:r w:rsidRPr="00481B63">
              <w:rPr>
                <w:rFonts w:ascii="Garamond" w:hAnsi="Garamond" w:hint="eastAsia"/>
                <w:sz w:val="18"/>
                <w:szCs w:val="18"/>
              </w:rPr>
              <w:instrText>5] in those aged &lt;60 years [n=360] and 4</w:instrText>
            </w:r>
            <w:r w:rsidRPr="00481B63">
              <w:rPr>
                <w:rFonts w:ascii="Garamond" w:hAnsi="Garamond" w:hint="eastAsia"/>
                <w:sz w:val="18"/>
                <w:szCs w:val="18"/>
              </w:rPr>
              <w:instrText>·</w:instrText>
            </w:r>
            <w:r w:rsidRPr="00481B63">
              <w:rPr>
                <w:rFonts w:ascii="Garamond" w:hAnsi="Garamond" w:hint="eastAsia"/>
                <w:sz w:val="18"/>
                <w:szCs w:val="18"/>
              </w:rPr>
              <w:instrText>5% [1</w:instrText>
            </w:r>
            <w:r w:rsidRPr="00481B63">
              <w:rPr>
                <w:rFonts w:ascii="Garamond" w:hAnsi="Garamond" w:hint="eastAsia"/>
                <w:sz w:val="18"/>
                <w:szCs w:val="18"/>
              </w:rPr>
              <w:instrText>·</w:instrText>
            </w:r>
            <w:r w:rsidRPr="00481B63">
              <w:rPr>
                <w:rFonts w:ascii="Garamond" w:hAnsi="Garamond" w:hint="eastAsia"/>
                <w:sz w:val="18"/>
                <w:szCs w:val="18"/>
              </w:rPr>
              <w:instrText>8</w:instrText>
            </w:r>
            <w:r w:rsidRPr="00481B63">
              <w:rPr>
                <w:rFonts w:ascii="Garamond" w:hAnsi="Garamond" w:hint="eastAsia"/>
                <w:sz w:val="18"/>
                <w:szCs w:val="18"/>
              </w:rPr>
              <w:instrText>–</w:instrText>
            </w:r>
            <w:r w:rsidRPr="00481B63">
              <w:rPr>
                <w:rFonts w:ascii="Garamond" w:hAnsi="Garamond" w:hint="eastAsia"/>
                <w:sz w:val="18"/>
                <w:szCs w:val="18"/>
              </w:rPr>
              <w:instrText>11</w:instrText>
            </w:r>
            <w:r w:rsidRPr="00481B63">
              <w:rPr>
                <w:rFonts w:ascii="Garamond" w:hAnsi="Garamond" w:hint="eastAsia"/>
                <w:sz w:val="18"/>
                <w:szCs w:val="18"/>
              </w:rPr>
              <w:instrText>·</w:instrText>
            </w:r>
            <w:r w:rsidRPr="00481B63">
              <w:rPr>
                <w:rFonts w:ascii="Garamond" w:hAnsi="Garamond" w:hint="eastAsia"/>
                <w:sz w:val="18"/>
                <w:szCs w:val="18"/>
              </w:rPr>
              <w:instrText xml:space="preserve">1] in those aged </w:instrText>
            </w:r>
            <w:r w:rsidRPr="00481B63">
              <w:rPr>
                <w:rFonts w:ascii="Garamond" w:hAnsi="Garamond" w:hint="eastAsia"/>
                <w:sz w:val="18"/>
                <w:szCs w:val="18"/>
              </w:rPr>
              <w:instrText>≥</w:instrText>
            </w:r>
            <w:r w:rsidRPr="00481B63">
              <w:rPr>
                <w:rFonts w:ascii="Garamond" w:hAnsi="Garamond" w:hint="eastAsia"/>
                <w:sz w:val="18"/>
                <w:szCs w:val="18"/>
              </w:rPr>
              <w:instrText>60 years [n=151]). Our estimated overall infection fatality ratio for China was 0</w:instrText>
            </w:r>
            <w:r w:rsidRPr="00481B63">
              <w:rPr>
                <w:rFonts w:ascii="Garamond" w:hAnsi="Garamond" w:hint="eastAsia"/>
                <w:sz w:val="18"/>
                <w:szCs w:val="18"/>
              </w:rPr>
              <w:instrText>·</w:instrText>
            </w:r>
            <w:r w:rsidRPr="00481B63">
              <w:rPr>
                <w:rFonts w:ascii="Garamond" w:hAnsi="Garamond" w:hint="eastAsia"/>
                <w:sz w:val="18"/>
                <w:szCs w:val="18"/>
              </w:rPr>
              <w:instrText>66% (0</w:instrText>
            </w:r>
            <w:r w:rsidRPr="00481B63">
              <w:rPr>
                <w:rFonts w:ascii="Garamond" w:hAnsi="Garamond" w:hint="eastAsia"/>
                <w:sz w:val="18"/>
                <w:szCs w:val="18"/>
              </w:rPr>
              <w:instrText>·</w:instrText>
            </w:r>
            <w:r w:rsidRPr="00481B63">
              <w:rPr>
                <w:rFonts w:ascii="Garamond" w:hAnsi="Garamond" w:hint="eastAsia"/>
                <w:sz w:val="18"/>
                <w:szCs w:val="18"/>
              </w:rPr>
              <w:instrText>39</w:instrText>
            </w:r>
            <w:r w:rsidRPr="00481B63">
              <w:rPr>
                <w:rFonts w:ascii="Garamond" w:hAnsi="Garamond" w:hint="eastAsia"/>
                <w:sz w:val="18"/>
                <w:szCs w:val="18"/>
              </w:rPr>
              <w:instrText>–</w:instrText>
            </w:r>
            <w:r w:rsidRPr="00481B63">
              <w:rPr>
                <w:rFonts w:ascii="Garamond" w:hAnsi="Garamond" w:hint="eastAsia"/>
                <w:sz w:val="18"/>
                <w:szCs w:val="18"/>
              </w:rPr>
              <w:instrText>1</w:instrText>
            </w:r>
            <w:r w:rsidRPr="00481B63">
              <w:rPr>
                <w:rFonts w:ascii="Garamond" w:hAnsi="Garamond" w:hint="eastAsia"/>
                <w:sz w:val="18"/>
                <w:szCs w:val="18"/>
              </w:rPr>
              <w:instrText>·</w:instrText>
            </w:r>
            <w:r w:rsidRPr="00481B63">
              <w:rPr>
                <w:rFonts w:ascii="Garamond" w:hAnsi="Garamond" w:hint="eastAsia"/>
                <w:sz w:val="18"/>
                <w:szCs w:val="18"/>
              </w:rPr>
              <w:instrText>33),</w:instrText>
            </w:r>
            <w:r w:rsidRPr="00481B63">
              <w:rPr>
                <w:rFonts w:ascii="Garamond" w:hAnsi="Garamond"/>
                <w:sz w:val="18"/>
                <w:szCs w:val="18"/>
              </w:rPr>
              <w:instrText xml:space="preserve"> with an increasing profile with age. Similarly, estimates of the proportion of infected individuals likely to be hospitalised increased with age up to a maximum of 18·4% (11·0–37·6) in those aged 80 years or older.&lt;/p&gt;&lt;h3&gt;Interpretation&lt;/h3&gt;&lt;p&gt;These early estimates give an indication of the fatality ratio across the spectrum of COVID-19 disease and show a strong age gradient in risk of death.&lt;/p&gt;&lt;h3&gt;Funding&lt;/h3&gt;&lt;p&gt;UK Medical Research Council.&lt;/p&gt;","container-title":"The Lancet Infectious Diseases","DOI":"10.1016/S1473-3099(20)30243-7","ISSN":"1473-3099, 1474-4457","issue":"6","journalAbbreviation":"The Lancet Infectious Diseases","language":"English","note":"publisher: Elsevier\nPMID: 32240634","page":"669-677","source":"www.thelancet.com","title":"Estimates of the severity of coronavirus disease 2019: a model-based analysis","title-short":"Estimates of the severity of coronavirus disease 2019","volume":"20","author":[{"family":"Verity","given":"Robert"},{"family":"Okell","given":"Lucy C."},{"family":"Dorigatti","given":"Ilaria"},{"family":"Winskill","given":"Peter"},{"family":"Whittaker","given":"Charles"},{"family":"Imai","given":"Natsuko"},{"family":"Cuomo-Dannenburg","given":"Gina"},{"family":"Thompson","given":"Hayley"},{"family":"Walker","given":"Patrick G. T."},{"family":"Fu","given":"Han"},{"family":"Dighe","given":"Amy"},{"family":"Griffin","given":"Jamie T."},{"family":"Baguelin","given":"Marc"},{"family":"Bhatia","given":"Sangeeta"},{"family":"Boonyasiri","given":"Adhiratha"},{"family":"Cori","given":"Anne"},{"family":"Cucunubá","given":"Zulma"},{"family":"FitzJohn","given":"Rich"},{"family":"Gaythorpe","given":"Katy"},{"family":"Green","given":"Will"},{"family":"Hamlet","given":"Arran"},{"family":"Hinsley","given":"Wes"},{"family":"Laydon","given":"Daniel"},{"family":"Nedjati-Gilani","given":"Gemma"},{"family":"Riley","given":"Steven"},{"family":"Elsland","given":"Sabine","dropping-particle":"van"},{"family":"Volz","given":"Erik"},{"family":"Wang","given":"Haowei"},{"family":"Wang","given":"Yuanrong"},{"family":"Xi","given":"Xiaoyue"},{"family":"Donnelly","given":"Christl A."},{"family":"Ghani","given":"Azra C."},{"family":"Ferguson","given":"Neil M."}],"issued":{"date-parts":[["2020",6,1]]}}}],"schema":"https://github.com/citation-style-language/schema/raw/master/csl-citation.json"} </w:instrText>
            </w:r>
            <w:r w:rsidRPr="00481B63">
              <w:rPr>
                <w:rFonts w:ascii="Garamond" w:hAnsi="Garamond"/>
                <w:sz w:val="18"/>
                <w:szCs w:val="18"/>
              </w:rPr>
              <w:fldChar w:fldCharType="separate"/>
            </w:r>
            <w:r w:rsidRPr="00481B63">
              <w:rPr>
                <w:rFonts w:ascii="Garamond" w:hAnsi="Garamond" w:cs="Times New Roman"/>
                <w:sz w:val="18"/>
              </w:rPr>
              <w:t>(6)</w:t>
            </w:r>
            <w:r w:rsidRPr="00481B63">
              <w:rPr>
                <w:rFonts w:ascii="Garamond" w:hAnsi="Garamond"/>
                <w:sz w:val="18"/>
                <w:szCs w:val="18"/>
              </w:rPr>
              <w:fldChar w:fldCharType="end"/>
            </w:r>
          </w:p>
        </w:tc>
      </w:tr>
      <w:tr w:rsidR="00664D41" w:rsidRPr="00481B63" w14:paraId="5A263709"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47D2DC3E"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Proportion fatal - students</w:t>
            </w:r>
          </w:p>
        </w:tc>
        <w:tc>
          <w:tcPr>
            <w:tcW w:w="914" w:type="dxa"/>
          </w:tcPr>
          <w:p w14:paraId="7F581574"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0.0006</w:t>
            </w:r>
          </w:p>
        </w:tc>
        <w:tc>
          <w:tcPr>
            <w:tcW w:w="1564" w:type="dxa"/>
          </w:tcPr>
          <w:p w14:paraId="713C08A9"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0.0003 to 0.0014</w:t>
            </w:r>
          </w:p>
        </w:tc>
        <w:tc>
          <w:tcPr>
            <w:tcW w:w="1082" w:type="dxa"/>
          </w:tcPr>
          <w:p w14:paraId="27252F9C"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Uniform</w:t>
            </w:r>
          </w:p>
        </w:tc>
        <w:tc>
          <w:tcPr>
            <w:tcW w:w="1348" w:type="dxa"/>
          </w:tcPr>
          <w:p w14:paraId="58A04305"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185" w:type="dxa"/>
          </w:tcPr>
          <w:p w14:paraId="1737FE5F"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fldChar w:fldCharType="begin"/>
            </w:r>
            <w:r w:rsidRPr="00481B63">
              <w:rPr>
                <w:rFonts w:ascii="Garamond" w:hAnsi="Garamond"/>
                <w:sz w:val="18"/>
                <w:szCs w:val="18"/>
              </w:rPr>
              <w:instrText xml:space="preserve"> ADDIN ZOTERO_ITEM CSL_CITATION {"citationID":"dqywNGQo","properties":{"formattedCitation":"(6)","plainCitation":"(6)","noteIndex":0},"citationItems":[{"id":243,"uris":["http://zotero.org/users/3645254/items/45GEX9XM"],"uri":["http://zotero.org/users/3645254/items/45GEX9XM"],"itemData":{"id":243,"type":"article-journal","abstract":"&lt;h2&gt;Summary&lt;/h2&gt;&lt;h3&gt;Background&lt;/h3&gt;&lt;p&gt;In the face of rapidly changing data, a range of case fatality ratio estimates for coronavirus disease 2019 (COVID-19) have been produced that differ substantially in magnitude. We aimed to provide robust estimates, accounting for censoring and ascertainment biases.&lt;/p&gt;&lt;h3&gt;Methods&lt;/h3&gt;&lt;p&gt;We collected individual-case data for patients who died from COVID-19 in Hubei, mainland China (reported by national and provincial health commissions to Feb 8, 2020), and for cases outside of mainland China (from government or ministry of health websites and media reports for 37 countries, as well as Hong Kong and Macau, until Feb 25, 2020). These individual-case data were used to estimate the time between onset of symptoms and outcome (death or discharge from hospital). We next obtained age-stratified estimates of the case fatality ratio by relating the aggregate distribution of cases to the observed cumulative deaths in China, assuming a constant attack rate by age and adjusting for demography and age-based and location-based under-ascertainment. We also estimated the case fatality ratio from individual line-list data on 1334 cases identified outside of mainland China. Using data on the prevalence of PCR-confirmed cases in international residents repatriated from China, we obtained age-stratified estimates of the infection fatality ratio. Furthermore, data on age-stratified severity in a subset of 3665 cases from China were used to estimate the proportion of infected individuals who are likely to require hospitalisation.&lt;/p&gt;&lt;h3&gt;Findings&lt;/h3&gt;&lt;p&gt;Using data on 24 deaths that occurred in mainland China and 165 recoveries outside of China, we estimated the mean duration from onset of symptoms to death to be 17·8 days (95% credible interval [CrI] 16·9–19·2) and to hospital discharge to be 24·7 days (22·9–28·1). In all laboratory confirmed and clinically diagnosed cases from mainland China (n=70 117), we estimated a crude case fatality ratio (adjusted for censoring) of 3·67% (95% CrI 3·56–3·80). However, after further adjusting for demography and under-ascertainment, we obtained a best estimate of the case fatality ratio in China of 1·38% (1·23–1·53), with subs</w:instrText>
            </w:r>
            <w:r w:rsidRPr="00481B63">
              <w:rPr>
                <w:rFonts w:ascii="Garamond" w:hAnsi="Garamond" w:hint="eastAsia"/>
                <w:sz w:val="18"/>
                <w:szCs w:val="18"/>
              </w:rPr>
              <w:instrText>tantially higher ratios in older age groups (0</w:instrText>
            </w:r>
            <w:r w:rsidRPr="00481B63">
              <w:rPr>
                <w:rFonts w:ascii="Garamond" w:hAnsi="Garamond" w:hint="eastAsia"/>
                <w:sz w:val="18"/>
                <w:szCs w:val="18"/>
              </w:rPr>
              <w:instrText>·</w:instrText>
            </w:r>
            <w:r w:rsidRPr="00481B63">
              <w:rPr>
                <w:rFonts w:ascii="Garamond" w:hAnsi="Garamond" w:hint="eastAsia"/>
                <w:sz w:val="18"/>
                <w:szCs w:val="18"/>
              </w:rPr>
              <w:instrText>32% [0</w:instrText>
            </w:r>
            <w:r w:rsidRPr="00481B63">
              <w:rPr>
                <w:rFonts w:ascii="Garamond" w:hAnsi="Garamond" w:hint="eastAsia"/>
                <w:sz w:val="18"/>
                <w:szCs w:val="18"/>
              </w:rPr>
              <w:instrText>·</w:instrText>
            </w:r>
            <w:r w:rsidRPr="00481B63">
              <w:rPr>
                <w:rFonts w:ascii="Garamond" w:hAnsi="Garamond" w:hint="eastAsia"/>
                <w:sz w:val="18"/>
                <w:szCs w:val="18"/>
              </w:rPr>
              <w:instrText>27</w:instrText>
            </w:r>
            <w:r w:rsidRPr="00481B63">
              <w:rPr>
                <w:rFonts w:ascii="Garamond" w:hAnsi="Garamond" w:hint="eastAsia"/>
                <w:sz w:val="18"/>
                <w:szCs w:val="18"/>
              </w:rPr>
              <w:instrText>–</w:instrText>
            </w:r>
            <w:r w:rsidRPr="00481B63">
              <w:rPr>
                <w:rFonts w:ascii="Garamond" w:hAnsi="Garamond" w:hint="eastAsia"/>
                <w:sz w:val="18"/>
                <w:szCs w:val="18"/>
              </w:rPr>
              <w:instrText>0</w:instrText>
            </w:r>
            <w:r w:rsidRPr="00481B63">
              <w:rPr>
                <w:rFonts w:ascii="Garamond" w:hAnsi="Garamond" w:hint="eastAsia"/>
                <w:sz w:val="18"/>
                <w:szCs w:val="18"/>
              </w:rPr>
              <w:instrText>·</w:instrText>
            </w:r>
            <w:r w:rsidRPr="00481B63">
              <w:rPr>
                <w:rFonts w:ascii="Garamond" w:hAnsi="Garamond" w:hint="eastAsia"/>
                <w:sz w:val="18"/>
                <w:szCs w:val="18"/>
              </w:rPr>
              <w:instrText>38] in those aged &lt;60 years &lt;i&gt;vs&lt;/i&gt; 6</w:instrText>
            </w:r>
            <w:r w:rsidRPr="00481B63">
              <w:rPr>
                <w:rFonts w:ascii="Garamond" w:hAnsi="Garamond" w:hint="eastAsia"/>
                <w:sz w:val="18"/>
                <w:szCs w:val="18"/>
              </w:rPr>
              <w:instrText>·</w:instrText>
            </w:r>
            <w:r w:rsidRPr="00481B63">
              <w:rPr>
                <w:rFonts w:ascii="Garamond" w:hAnsi="Garamond" w:hint="eastAsia"/>
                <w:sz w:val="18"/>
                <w:szCs w:val="18"/>
              </w:rPr>
              <w:instrText>4% [5</w:instrText>
            </w:r>
            <w:r w:rsidRPr="00481B63">
              <w:rPr>
                <w:rFonts w:ascii="Garamond" w:hAnsi="Garamond" w:hint="eastAsia"/>
                <w:sz w:val="18"/>
                <w:szCs w:val="18"/>
              </w:rPr>
              <w:instrText>·</w:instrText>
            </w:r>
            <w:r w:rsidRPr="00481B63">
              <w:rPr>
                <w:rFonts w:ascii="Garamond" w:hAnsi="Garamond" w:hint="eastAsia"/>
                <w:sz w:val="18"/>
                <w:szCs w:val="18"/>
              </w:rPr>
              <w:instrText>7</w:instrText>
            </w:r>
            <w:r w:rsidRPr="00481B63">
              <w:rPr>
                <w:rFonts w:ascii="Garamond" w:hAnsi="Garamond" w:hint="eastAsia"/>
                <w:sz w:val="18"/>
                <w:szCs w:val="18"/>
              </w:rPr>
              <w:instrText>–</w:instrText>
            </w:r>
            <w:r w:rsidRPr="00481B63">
              <w:rPr>
                <w:rFonts w:ascii="Garamond" w:hAnsi="Garamond" w:hint="eastAsia"/>
                <w:sz w:val="18"/>
                <w:szCs w:val="18"/>
              </w:rPr>
              <w:instrText>7</w:instrText>
            </w:r>
            <w:r w:rsidRPr="00481B63">
              <w:rPr>
                <w:rFonts w:ascii="Garamond" w:hAnsi="Garamond" w:hint="eastAsia"/>
                <w:sz w:val="18"/>
                <w:szCs w:val="18"/>
              </w:rPr>
              <w:instrText>·</w:instrText>
            </w:r>
            <w:r w:rsidRPr="00481B63">
              <w:rPr>
                <w:rFonts w:ascii="Garamond" w:hAnsi="Garamond" w:hint="eastAsia"/>
                <w:sz w:val="18"/>
                <w:szCs w:val="18"/>
              </w:rPr>
              <w:instrText xml:space="preserve">2] in those aged </w:instrText>
            </w:r>
            <w:r w:rsidRPr="00481B63">
              <w:rPr>
                <w:rFonts w:ascii="Garamond" w:hAnsi="Garamond" w:hint="eastAsia"/>
                <w:sz w:val="18"/>
                <w:szCs w:val="18"/>
              </w:rPr>
              <w:instrText>≥</w:instrText>
            </w:r>
            <w:r w:rsidRPr="00481B63">
              <w:rPr>
                <w:rFonts w:ascii="Garamond" w:hAnsi="Garamond" w:hint="eastAsia"/>
                <w:sz w:val="18"/>
                <w:szCs w:val="18"/>
              </w:rPr>
              <w:instrText>60 years), up to 13</w:instrText>
            </w:r>
            <w:r w:rsidRPr="00481B63">
              <w:rPr>
                <w:rFonts w:ascii="Garamond" w:hAnsi="Garamond" w:hint="eastAsia"/>
                <w:sz w:val="18"/>
                <w:szCs w:val="18"/>
              </w:rPr>
              <w:instrText>·</w:instrText>
            </w:r>
            <w:r w:rsidRPr="00481B63">
              <w:rPr>
                <w:rFonts w:ascii="Garamond" w:hAnsi="Garamond" w:hint="eastAsia"/>
                <w:sz w:val="18"/>
                <w:szCs w:val="18"/>
              </w:rPr>
              <w:instrText>4% (11</w:instrText>
            </w:r>
            <w:r w:rsidRPr="00481B63">
              <w:rPr>
                <w:rFonts w:ascii="Garamond" w:hAnsi="Garamond" w:hint="eastAsia"/>
                <w:sz w:val="18"/>
                <w:szCs w:val="18"/>
              </w:rPr>
              <w:instrText>·</w:instrText>
            </w:r>
            <w:r w:rsidRPr="00481B63">
              <w:rPr>
                <w:rFonts w:ascii="Garamond" w:hAnsi="Garamond" w:hint="eastAsia"/>
                <w:sz w:val="18"/>
                <w:szCs w:val="18"/>
              </w:rPr>
              <w:instrText>2</w:instrText>
            </w:r>
            <w:r w:rsidRPr="00481B63">
              <w:rPr>
                <w:rFonts w:ascii="Garamond" w:hAnsi="Garamond" w:hint="eastAsia"/>
                <w:sz w:val="18"/>
                <w:szCs w:val="18"/>
              </w:rPr>
              <w:instrText>–</w:instrText>
            </w:r>
            <w:r w:rsidRPr="00481B63">
              <w:rPr>
                <w:rFonts w:ascii="Garamond" w:hAnsi="Garamond" w:hint="eastAsia"/>
                <w:sz w:val="18"/>
                <w:szCs w:val="18"/>
              </w:rPr>
              <w:instrText>15</w:instrText>
            </w:r>
            <w:r w:rsidRPr="00481B63">
              <w:rPr>
                <w:rFonts w:ascii="Garamond" w:hAnsi="Garamond" w:hint="eastAsia"/>
                <w:sz w:val="18"/>
                <w:szCs w:val="18"/>
              </w:rPr>
              <w:instrText>·</w:instrText>
            </w:r>
            <w:r w:rsidRPr="00481B63">
              <w:rPr>
                <w:rFonts w:ascii="Garamond" w:hAnsi="Garamond" w:hint="eastAsia"/>
                <w:sz w:val="18"/>
                <w:szCs w:val="18"/>
              </w:rPr>
              <w:instrText>9) in those aged 80 years or older. Estimates of case fatality ratio from international cases stratified by age were consistent with those from China (parametric estimate 1</w:instrText>
            </w:r>
            <w:r w:rsidRPr="00481B63">
              <w:rPr>
                <w:rFonts w:ascii="Garamond" w:hAnsi="Garamond" w:hint="eastAsia"/>
                <w:sz w:val="18"/>
                <w:szCs w:val="18"/>
              </w:rPr>
              <w:instrText>·</w:instrText>
            </w:r>
            <w:r w:rsidRPr="00481B63">
              <w:rPr>
                <w:rFonts w:ascii="Garamond" w:hAnsi="Garamond" w:hint="eastAsia"/>
                <w:sz w:val="18"/>
                <w:szCs w:val="18"/>
              </w:rPr>
              <w:instrText>4% [0</w:instrText>
            </w:r>
            <w:r w:rsidRPr="00481B63">
              <w:rPr>
                <w:rFonts w:ascii="Garamond" w:hAnsi="Garamond" w:hint="eastAsia"/>
                <w:sz w:val="18"/>
                <w:szCs w:val="18"/>
              </w:rPr>
              <w:instrText>·</w:instrText>
            </w:r>
            <w:r w:rsidRPr="00481B63">
              <w:rPr>
                <w:rFonts w:ascii="Garamond" w:hAnsi="Garamond" w:hint="eastAsia"/>
                <w:sz w:val="18"/>
                <w:szCs w:val="18"/>
              </w:rPr>
              <w:instrText>4</w:instrText>
            </w:r>
            <w:r w:rsidRPr="00481B63">
              <w:rPr>
                <w:rFonts w:ascii="Garamond" w:hAnsi="Garamond" w:hint="eastAsia"/>
                <w:sz w:val="18"/>
                <w:szCs w:val="18"/>
              </w:rPr>
              <w:instrText>–</w:instrText>
            </w:r>
            <w:r w:rsidRPr="00481B63">
              <w:rPr>
                <w:rFonts w:ascii="Garamond" w:hAnsi="Garamond" w:hint="eastAsia"/>
                <w:sz w:val="18"/>
                <w:szCs w:val="18"/>
              </w:rPr>
              <w:instrText>3</w:instrText>
            </w:r>
            <w:r w:rsidRPr="00481B63">
              <w:rPr>
                <w:rFonts w:ascii="Garamond" w:hAnsi="Garamond" w:hint="eastAsia"/>
                <w:sz w:val="18"/>
                <w:szCs w:val="18"/>
              </w:rPr>
              <w:instrText>·</w:instrText>
            </w:r>
            <w:r w:rsidRPr="00481B63">
              <w:rPr>
                <w:rFonts w:ascii="Garamond" w:hAnsi="Garamond" w:hint="eastAsia"/>
                <w:sz w:val="18"/>
                <w:szCs w:val="18"/>
              </w:rPr>
              <w:instrText>5] in those aged &lt;60 years [n=360] and 4</w:instrText>
            </w:r>
            <w:r w:rsidRPr="00481B63">
              <w:rPr>
                <w:rFonts w:ascii="Garamond" w:hAnsi="Garamond" w:hint="eastAsia"/>
                <w:sz w:val="18"/>
                <w:szCs w:val="18"/>
              </w:rPr>
              <w:instrText>·</w:instrText>
            </w:r>
            <w:r w:rsidRPr="00481B63">
              <w:rPr>
                <w:rFonts w:ascii="Garamond" w:hAnsi="Garamond" w:hint="eastAsia"/>
                <w:sz w:val="18"/>
                <w:szCs w:val="18"/>
              </w:rPr>
              <w:instrText>5% [1</w:instrText>
            </w:r>
            <w:r w:rsidRPr="00481B63">
              <w:rPr>
                <w:rFonts w:ascii="Garamond" w:hAnsi="Garamond" w:hint="eastAsia"/>
                <w:sz w:val="18"/>
                <w:szCs w:val="18"/>
              </w:rPr>
              <w:instrText>·</w:instrText>
            </w:r>
            <w:r w:rsidRPr="00481B63">
              <w:rPr>
                <w:rFonts w:ascii="Garamond" w:hAnsi="Garamond" w:hint="eastAsia"/>
                <w:sz w:val="18"/>
                <w:szCs w:val="18"/>
              </w:rPr>
              <w:instrText>8</w:instrText>
            </w:r>
            <w:r w:rsidRPr="00481B63">
              <w:rPr>
                <w:rFonts w:ascii="Garamond" w:hAnsi="Garamond" w:hint="eastAsia"/>
                <w:sz w:val="18"/>
                <w:szCs w:val="18"/>
              </w:rPr>
              <w:instrText>–</w:instrText>
            </w:r>
            <w:r w:rsidRPr="00481B63">
              <w:rPr>
                <w:rFonts w:ascii="Garamond" w:hAnsi="Garamond" w:hint="eastAsia"/>
                <w:sz w:val="18"/>
                <w:szCs w:val="18"/>
              </w:rPr>
              <w:instrText>11</w:instrText>
            </w:r>
            <w:r w:rsidRPr="00481B63">
              <w:rPr>
                <w:rFonts w:ascii="Garamond" w:hAnsi="Garamond" w:hint="eastAsia"/>
                <w:sz w:val="18"/>
                <w:szCs w:val="18"/>
              </w:rPr>
              <w:instrText>·</w:instrText>
            </w:r>
            <w:r w:rsidRPr="00481B63">
              <w:rPr>
                <w:rFonts w:ascii="Garamond" w:hAnsi="Garamond" w:hint="eastAsia"/>
                <w:sz w:val="18"/>
                <w:szCs w:val="18"/>
              </w:rPr>
              <w:instrText xml:space="preserve">1] in those aged </w:instrText>
            </w:r>
            <w:r w:rsidRPr="00481B63">
              <w:rPr>
                <w:rFonts w:ascii="Garamond" w:hAnsi="Garamond" w:hint="eastAsia"/>
                <w:sz w:val="18"/>
                <w:szCs w:val="18"/>
              </w:rPr>
              <w:instrText>≥</w:instrText>
            </w:r>
            <w:r w:rsidRPr="00481B63">
              <w:rPr>
                <w:rFonts w:ascii="Garamond" w:hAnsi="Garamond" w:hint="eastAsia"/>
                <w:sz w:val="18"/>
                <w:szCs w:val="18"/>
              </w:rPr>
              <w:instrText>60 years [n=151]). Our estimated overall infection fatality ratio for China was 0</w:instrText>
            </w:r>
            <w:r w:rsidRPr="00481B63">
              <w:rPr>
                <w:rFonts w:ascii="Garamond" w:hAnsi="Garamond" w:hint="eastAsia"/>
                <w:sz w:val="18"/>
                <w:szCs w:val="18"/>
              </w:rPr>
              <w:instrText>·</w:instrText>
            </w:r>
            <w:r w:rsidRPr="00481B63">
              <w:rPr>
                <w:rFonts w:ascii="Garamond" w:hAnsi="Garamond" w:hint="eastAsia"/>
                <w:sz w:val="18"/>
                <w:szCs w:val="18"/>
              </w:rPr>
              <w:instrText>66% (0</w:instrText>
            </w:r>
            <w:r w:rsidRPr="00481B63">
              <w:rPr>
                <w:rFonts w:ascii="Garamond" w:hAnsi="Garamond" w:hint="eastAsia"/>
                <w:sz w:val="18"/>
                <w:szCs w:val="18"/>
              </w:rPr>
              <w:instrText>·</w:instrText>
            </w:r>
            <w:r w:rsidRPr="00481B63">
              <w:rPr>
                <w:rFonts w:ascii="Garamond" w:hAnsi="Garamond" w:hint="eastAsia"/>
                <w:sz w:val="18"/>
                <w:szCs w:val="18"/>
              </w:rPr>
              <w:instrText>39</w:instrText>
            </w:r>
            <w:r w:rsidRPr="00481B63">
              <w:rPr>
                <w:rFonts w:ascii="Garamond" w:hAnsi="Garamond" w:hint="eastAsia"/>
                <w:sz w:val="18"/>
                <w:szCs w:val="18"/>
              </w:rPr>
              <w:instrText>–</w:instrText>
            </w:r>
            <w:r w:rsidRPr="00481B63">
              <w:rPr>
                <w:rFonts w:ascii="Garamond" w:hAnsi="Garamond" w:hint="eastAsia"/>
                <w:sz w:val="18"/>
                <w:szCs w:val="18"/>
              </w:rPr>
              <w:instrText>1</w:instrText>
            </w:r>
            <w:r w:rsidRPr="00481B63">
              <w:rPr>
                <w:rFonts w:ascii="Garamond" w:hAnsi="Garamond" w:hint="eastAsia"/>
                <w:sz w:val="18"/>
                <w:szCs w:val="18"/>
              </w:rPr>
              <w:instrText>·</w:instrText>
            </w:r>
            <w:r w:rsidRPr="00481B63">
              <w:rPr>
                <w:rFonts w:ascii="Garamond" w:hAnsi="Garamond" w:hint="eastAsia"/>
                <w:sz w:val="18"/>
                <w:szCs w:val="18"/>
              </w:rPr>
              <w:instrText>33),</w:instrText>
            </w:r>
            <w:r w:rsidRPr="00481B63">
              <w:rPr>
                <w:rFonts w:ascii="Garamond" w:hAnsi="Garamond"/>
                <w:sz w:val="18"/>
                <w:szCs w:val="18"/>
              </w:rPr>
              <w:instrText xml:space="preserve"> with an increasing profile with age. Similarly, estimates of the proportion of infected individuals likely to be hospitalised increased with age up to a maximum of 18·4% (11·0–37·6) in those aged 80 years or older.&lt;/p&gt;&lt;h3&gt;Interpretation&lt;/h3&gt;&lt;p&gt;These early estimates give an indication of the fatality ratio across the spectrum of COVID-19 disease and show a strong age gradient in risk of death.&lt;/p&gt;&lt;h3&gt;Funding&lt;/h3&gt;&lt;p&gt;UK Medical Research Council.&lt;/p&gt;","container-title":"The Lancet Infectious Diseases","DOI":"10.1016/S1473-3099(20)30243-7","ISSN":"1473-3099, 1474-4457","issue":"6","journalAbbreviation":"The Lancet Infectious Diseases","language":"English","note":"publisher: Elsevier\nPMID: 32240634","page":"669-677","source":"www.thelancet.com","title":"Estimates of the severity of coronavirus disease 2019: a model-based analysis","title-short":"Estimates of the severity of coronavirus disease 2019","volume":"20","author":[{"family":"Verity","given":"Robert"},{"family":"Okell","given":"Lucy C."},{"family":"Dorigatti","given":"Ilaria"},{"family":"Winskill","given":"Peter"},{"family":"Whittaker","given":"Charles"},{"family":"Imai","given":"Natsuko"},{"family":"Cuomo-Dannenburg","given":"Gina"},{"family":"Thompson","given":"Hayley"},{"family":"Walker","given":"Patrick G. T."},{"family":"Fu","given":"Han"},{"family":"Dighe","given":"Amy"},{"family":"Griffin","given":"Jamie T."},{"family":"Baguelin","given":"Marc"},{"family":"Bhatia","given":"Sangeeta"},{"family":"Boonyasiri","given":"Adhiratha"},{"family":"Cori","given":"Anne"},{"family":"Cucunubá","given":"Zulma"},{"family":"FitzJohn","given":"Rich"},{"family":"Gaythorpe","given":"Katy"},{"family":"Green","given":"Will"},{"family":"Hamlet","given":"Arran"},{"family":"Hinsley","given":"Wes"},{"family":"Laydon","given":"Daniel"},{"family":"Nedjati-Gilani","given":"Gemma"},{"family":"Riley","given":"Steven"},{"family":"Elsland","given":"Sabine","dropping-particle":"van"},{"family":"Volz","given":"Erik"},{"family":"Wang","given":"Haowei"},{"family":"Wang","given":"Yuanrong"},{"family":"Xi","given":"Xiaoyue"},{"family":"Donnelly","given":"Christl A."},{"family":"Ghani","given":"Azra C."},{"family":"Ferguson","given":"Neil M."}],"issued":{"date-parts":[["2020",6,1]]}}}],"schema":"https://github.com/citation-style-language/schema/raw/master/csl-citation.json"} </w:instrText>
            </w:r>
            <w:r w:rsidRPr="00481B63">
              <w:rPr>
                <w:rFonts w:ascii="Garamond" w:hAnsi="Garamond"/>
                <w:sz w:val="18"/>
                <w:szCs w:val="18"/>
              </w:rPr>
              <w:fldChar w:fldCharType="separate"/>
            </w:r>
            <w:r w:rsidRPr="00481B63">
              <w:rPr>
                <w:rFonts w:ascii="Garamond" w:hAnsi="Garamond" w:cs="Times New Roman"/>
                <w:sz w:val="18"/>
              </w:rPr>
              <w:t>(6)</w:t>
            </w:r>
            <w:r w:rsidRPr="00481B63">
              <w:rPr>
                <w:rFonts w:ascii="Garamond" w:hAnsi="Garamond"/>
                <w:sz w:val="18"/>
                <w:szCs w:val="18"/>
              </w:rPr>
              <w:fldChar w:fldCharType="end"/>
            </w:r>
          </w:p>
        </w:tc>
      </w:tr>
      <w:tr w:rsidR="00664D41" w:rsidRPr="00481B63" w14:paraId="16606CD9"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071A3AC6"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Proportion fatal - staff/faculty</w:t>
            </w:r>
          </w:p>
        </w:tc>
        <w:tc>
          <w:tcPr>
            <w:tcW w:w="914" w:type="dxa"/>
          </w:tcPr>
          <w:p w14:paraId="144D83FE"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0.0052</w:t>
            </w:r>
          </w:p>
        </w:tc>
        <w:tc>
          <w:tcPr>
            <w:tcW w:w="1564" w:type="dxa"/>
          </w:tcPr>
          <w:p w14:paraId="7CCD5460"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0.0029 to 0.0105</w:t>
            </w:r>
          </w:p>
        </w:tc>
        <w:tc>
          <w:tcPr>
            <w:tcW w:w="1082" w:type="dxa"/>
          </w:tcPr>
          <w:p w14:paraId="6C2AF46A"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Uniform</w:t>
            </w:r>
          </w:p>
        </w:tc>
        <w:tc>
          <w:tcPr>
            <w:tcW w:w="1348" w:type="dxa"/>
          </w:tcPr>
          <w:p w14:paraId="46EF64FE"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185" w:type="dxa"/>
          </w:tcPr>
          <w:p w14:paraId="6902400F"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fldChar w:fldCharType="begin"/>
            </w:r>
            <w:r w:rsidRPr="00481B63">
              <w:rPr>
                <w:rFonts w:ascii="Garamond" w:hAnsi="Garamond"/>
                <w:sz w:val="18"/>
                <w:szCs w:val="18"/>
              </w:rPr>
              <w:instrText xml:space="preserve"> ADDIN ZOTERO_ITEM CSL_CITATION {"citationID":"o3LCjBFD","properties":{"formattedCitation":"(6)","plainCitation":"(6)","noteIndex":0},"citationItems":[{"id":243,"uris":["http://zotero.org/users/3645254/items/45GEX9XM"],"uri":["http://zotero.org/users/3645254/items/45GEX9XM"],"itemData":{"id":243,"type":"article-journal","abstract":"&lt;h2&gt;Summary&lt;/h2&gt;&lt;h3&gt;Background&lt;/h3&gt;&lt;p&gt;In the face of rapidly changing data, a range of case fatality ratio estimates for coronavirus disease 2019 (COVID-19) have been produced that differ substantially in magnitude. We aimed to provide robust estimates, accounting for censoring and ascertainment biases.&lt;/p&gt;&lt;h3&gt;Methods&lt;/h3&gt;&lt;p&gt;We collected individual-case data for patients who died from COVID-19 in Hubei, mainland China (reported by national and provincial health commissions to Feb 8, 2020), and for cases outside of mainland China (from government or ministry of health websites and media reports for 37 countries, as well as Hong Kong and Macau, until Feb 25, 2020). These individual-case data were used to estimate the time between onset of symptoms and outcome (death or discharge from hospital). We next obtained age-stratified estimates of the case fatality ratio by relating the aggregate distribution of cases to the observed cumulative deaths in China, assuming a constant attack rate by age and adjusting for demography and age-based and location-based under-ascertainment. We also estimated the case fatality ratio from individual line-list data on 1334 cases identified outside of mainland China. Using data on the prevalence of PCR-confirmed cases in international residents repatriated from China, we obtained age-stratified estimates of the infection fatality ratio. Furthermore, data on age-stratified severity in a subset of 3665 cases from China were used to estimate the proportion of infected individuals who are likely to require hospitalisation.&lt;/p&gt;&lt;h3&gt;Findings&lt;/h3&gt;&lt;p&gt;Using data on 24 deaths that occurred in mainland China and 165 recoveries outside of China, we estimated the mean duration from onset of symptoms to death to be 17·8 days (95% credible interval [CrI] 16·9–19·2) and to hospital discharge to be 24·7 days (22·9–28·1). In all laboratory confirmed and clinically diagnosed cases from mainland China (n=70 117), we estimated a crude case fatality ratio (adjusted for censoring) of 3·67% (95% CrI 3·56–3·80). However, after further adjusting for demography and under-ascertainment, we obtained a best estimate of the case fatality ratio in China of 1·38% (1·23–1·53), with subs</w:instrText>
            </w:r>
            <w:r w:rsidRPr="00481B63">
              <w:rPr>
                <w:rFonts w:ascii="Garamond" w:hAnsi="Garamond" w:hint="eastAsia"/>
                <w:sz w:val="18"/>
                <w:szCs w:val="18"/>
              </w:rPr>
              <w:instrText>tantially higher ratios in older age groups (0</w:instrText>
            </w:r>
            <w:r w:rsidRPr="00481B63">
              <w:rPr>
                <w:rFonts w:ascii="Garamond" w:hAnsi="Garamond" w:hint="eastAsia"/>
                <w:sz w:val="18"/>
                <w:szCs w:val="18"/>
              </w:rPr>
              <w:instrText>·</w:instrText>
            </w:r>
            <w:r w:rsidRPr="00481B63">
              <w:rPr>
                <w:rFonts w:ascii="Garamond" w:hAnsi="Garamond" w:hint="eastAsia"/>
                <w:sz w:val="18"/>
                <w:szCs w:val="18"/>
              </w:rPr>
              <w:instrText>32% [0</w:instrText>
            </w:r>
            <w:r w:rsidRPr="00481B63">
              <w:rPr>
                <w:rFonts w:ascii="Garamond" w:hAnsi="Garamond" w:hint="eastAsia"/>
                <w:sz w:val="18"/>
                <w:szCs w:val="18"/>
              </w:rPr>
              <w:instrText>·</w:instrText>
            </w:r>
            <w:r w:rsidRPr="00481B63">
              <w:rPr>
                <w:rFonts w:ascii="Garamond" w:hAnsi="Garamond" w:hint="eastAsia"/>
                <w:sz w:val="18"/>
                <w:szCs w:val="18"/>
              </w:rPr>
              <w:instrText>27</w:instrText>
            </w:r>
            <w:r w:rsidRPr="00481B63">
              <w:rPr>
                <w:rFonts w:ascii="Garamond" w:hAnsi="Garamond" w:hint="eastAsia"/>
                <w:sz w:val="18"/>
                <w:szCs w:val="18"/>
              </w:rPr>
              <w:instrText>–</w:instrText>
            </w:r>
            <w:r w:rsidRPr="00481B63">
              <w:rPr>
                <w:rFonts w:ascii="Garamond" w:hAnsi="Garamond" w:hint="eastAsia"/>
                <w:sz w:val="18"/>
                <w:szCs w:val="18"/>
              </w:rPr>
              <w:instrText>0</w:instrText>
            </w:r>
            <w:r w:rsidRPr="00481B63">
              <w:rPr>
                <w:rFonts w:ascii="Garamond" w:hAnsi="Garamond" w:hint="eastAsia"/>
                <w:sz w:val="18"/>
                <w:szCs w:val="18"/>
              </w:rPr>
              <w:instrText>·</w:instrText>
            </w:r>
            <w:r w:rsidRPr="00481B63">
              <w:rPr>
                <w:rFonts w:ascii="Garamond" w:hAnsi="Garamond" w:hint="eastAsia"/>
                <w:sz w:val="18"/>
                <w:szCs w:val="18"/>
              </w:rPr>
              <w:instrText>38] in those aged &lt;60 years &lt;i&gt;vs&lt;/i&gt; 6</w:instrText>
            </w:r>
            <w:r w:rsidRPr="00481B63">
              <w:rPr>
                <w:rFonts w:ascii="Garamond" w:hAnsi="Garamond" w:hint="eastAsia"/>
                <w:sz w:val="18"/>
                <w:szCs w:val="18"/>
              </w:rPr>
              <w:instrText>·</w:instrText>
            </w:r>
            <w:r w:rsidRPr="00481B63">
              <w:rPr>
                <w:rFonts w:ascii="Garamond" w:hAnsi="Garamond" w:hint="eastAsia"/>
                <w:sz w:val="18"/>
                <w:szCs w:val="18"/>
              </w:rPr>
              <w:instrText>4% [5</w:instrText>
            </w:r>
            <w:r w:rsidRPr="00481B63">
              <w:rPr>
                <w:rFonts w:ascii="Garamond" w:hAnsi="Garamond" w:hint="eastAsia"/>
                <w:sz w:val="18"/>
                <w:szCs w:val="18"/>
              </w:rPr>
              <w:instrText>·</w:instrText>
            </w:r>
            <w:r w:rsidRPr="00481B63">
              <w:rPr>
                <w:rFonts w:ascii="Garamond" w:hAnsi="Garamond" w:hint="eastAsia"/>
                <w:sz w:val="18"/>
                <w:szCs w:val="18"/>
              </w:rPr>
              <w:instrText>7</w:instrText>
            </w:r>
            <w:r w:rsidRPr="00481B63">
              <w:rPr>
                <w:rFonts w:ascii="Garamond" w:hAnsi="Garamond" w:hint="eastAsia"/>
                <w:sz w:val="18"/>
                <w:szCs w:val="18"/>
              </w:rPr>
              <w:instrText>–</w:instrText>
            </w:r>
            <w:r w:rsidRPr="00481B63">
              <w:rPr>
                <w:rFonts w:ascii="Garamond" w:hAnsi="Garamond" w:hint="eastAsia"/>
                <w:sz w:val="18"/>
                <w:szCs w:val="18"/>
              </w:rPr>
              <w:instrText>7</w:instrText>
            </w:r>
            <w:r w:rsidRPr="00481B63">
              <w:rPr>
                <w:rFonts w:ascii="Garamond" w:hAnsi="Garamond" w:hint="eastAsia"/>
                <w:sz w:val="18"/>
                <w:szCs w:val="18"/>
              </w:rPr>
              <w:instrText>·</w:instrText>
            </w:r>
            <w:r w:rsidRPr="00481B63">
              <w:rPr>
                <w:rFonts w:ascii="Garamond" w:hAnsi="Garamond" w:hint="eastAsia"/>
                <w:sz w:val="18"/>
                <w:szCs w:val="18"/>
              </w:rPr>
              <w:instrText xml:space="preserve">2] in those aged </w:instrText>
            </w:r>
            <w:r w:rsidRPr="00481B63">
              <w:rPr>
                <w:rFonts w:ascii="Garamond" w:hAnsi="Garamond" w:hint="eastAsia"/>
                <w:sz w:val="18"/>
                <w:szCs w:val="18"/>
              </w:rPr>
              <w:instrText>≥</w:instrText>
            </w:r>
            <w:r w:rsidRPr="00481B63">
              <w:rPr>
                <w:rFonts w:ascii="Garamond" w:hAnsi="Garamond" w:hint="eastAsia"/>
                <w:sz w:val="18"/>
                <w:szCs w:val="18"/>
              </w:rPr>
              <w:instrText>60 years), up to 13</w:instrText>
            </w:r>
            <w:r w:rsidRPr="00481B63">
              <w:rPr>
                <w:rFonts w:ascii="Garamond" w:hAnsi="Garamond" w:hint="eastAsia"/>
                <w:sz w:val="18"/>
                <w:szCs w:val="18"/>
              </w:rPr>
              <w:instrText>·</w:instrText>
            </w:r>
            <w:r w:rsidRPr="00481B63">
              <w:rPr>
                <w:rFonts w:ascii="Garamond" w:hAnsi="Garamond" w:hint="eastAsia"/>
                <w:sz w:val="18"/>
                <w:szCs w:val="18"/>
              </w:rPr>
              <w:instrText>4% (11</w:instrText>
            </w:r>
            <w:r w:rsidRPr="00481B63">
              <w:rPr>
                <w:rFonts w:ascii="Garamond" w:hAnsi="Garamond" w:hint="eastAsia"/>
                <w:sz w:val="18"/>
                <w:szCs w:val="18"/>
              </w:rPr>
              <w:instrText>·</w:instrText>
            </w:r>
            <w:r w:rsidRPr="00481B63">
              <w:rPr>
                <w:rFonts w:ascii="Garamond" w:hAnsi="Garamond" w:hint="eastAsia"/>
                <w:sz w:val="18"/>
                <w:szCs w:val="18"/>
              </w:rPr>
              <w:instrText>2</w:instrText>
            </w:r>
            <w:r w:rsidRPr="00481B63">
              <w:rPr>
                <w:rFonts w:ascii="Garamond" w:hAnsi="Garamond" w:hint="eastAsia"/>
                <w:sz w:val="18"/>
                <w:szCs w:val="18"/>
              </w:rPr>
              <w:instrText>–</w:instrText>
            </w:r>
            <w:r w:rsidRPr="00481B63">
              <w:rPr>
                <w:rFonts w:ascii="Garamond" w:hAnsi="Garamond" w:hint="eastAsia"/>
                <w:sz w:val="18"/>
                <w:szCs w:val="18"/>
              </w:rPr>
              <w:instrText>15</w:instrText>
            </w:r>
            <w:r w:rsidRPr="00481B63">
              <w:rPr>
                <w:rFonts w:ascii="Garamond" w:hAnsi="Garamond" w:hint="eastAsia"/>
                <w:sz w:val="18"/>
                <w:szCs w:val="18"/>
              </w:rPr>
              <w:instrText>·</w:instrText>
            </w:r>
            <w:r w:rsidRPr="00481B63">
              <w:rPr>
                <w:rFonts w:ascii="Garamond" w:hAnsi="Garamond" w:hint="eastAsia"/>
                <w:sz w:val="18"/>
                <w:szCs w:val="18"/>
              </w:rPr>
              <w:instrText>9) in those aged 80 years or older. Estimates of case fatality ratio from international cases stratified by age were consistent with those from China (parametric estimate 1</w:instrText>
            </w:r>
            <w:r w:rsidRPr="00481B63">
              <w:rPr>
                <w:rFonts w:ascii="Garamond" w:hAnsi="Garamond" w:hint="eastAsia"/>
                <w:sz w:val="18"/>
                <w:szCs w:val="18"/>
              </w:rPr>
              <w:instrText>·</w:instrText>
            </w:r>
            <w:r w:rsidRPr="00481B63">
              <w:rPr>
                <w:rFonts w:ascii="Garamond" w:hAnsi="Garamond" w:hint="eastAsia"/>
                <w:sz w:val="18"/>
                <w:szCs w:val="18"/>
              </w:rPr>
              <w:instrText>4% [0</w:instrText>
            </w:r>
            <w:r w:rsidRPr="00481B63">
              <w:rPr>
                <w:rFonts w:ascii="Garamond" w:hAnsi="Garamond" w:hint="eastAsia"/>
                <w:sz w:val="18"/>
                <w:szCs w:val="18"/>
              </w:rPr>
              <w:instrText>·</w:instrText>
            </w:r>
            <w:r w:rsidRPr="00481B63">
              <w:rPr>
                <w:rFonts w:ascii="Garamond" w:hAnsi="Garamond" w:hint="eastAsia"/>
                <w:sz w:val="18"/>
                <w:szCs w:val="18"/>
              </w:rPr>
              <w:instrText>4</w:instrText>
            </w:r>
            <w:r w:rsidRPr="00481B63">
              <w:rPr>
                <w:rFonts w:ascii="Garamond" w:hAnsi="Garamond" w:hint="eastAsia"/>
                <w:sz w:val="18"/>
                <w:szCs w:val="18"/>
              </w:rPr>
              <w:instrText>–</w:instrText>
            </w:r>
            <w:r w:rsidRPr="00481B63">
              <w:rPr>
                <w:rFonts w:ascii="Garamond" w:hAnsi="Garamond" w:hint="eastAsia"/>
                <w:sz w:val="18"/>
                <w:szCs w:val="18"/>
              </w:rPr>
              <w:instrText>3</w:instrText>
            </w:r>
            <w:r w:rsidRPr="00481B63">
              <w:rPr>
                <w:rFonts w:ascii="Garamond" w:hAnsi="Garamond" w:hint="eastAsia"/>
                <w:sz w:val="18"/>
                <w:szCs w:val="18"/>
              </w:rPr>
              <w:instrText>·</w:instrText>
            </w:r>
            <w:r w:rsidRPr="00481B63">
              <w:rPr>
                <w:rFonts w:ascii="Garamond" w:hAnsi="Garamond" w:hint="eastAsia"/>
                <w:sz w:val="18"/>
                <w:szCs w:val="18"/>
              </w:rPr>
              <w:instrText>5] in those aged &lt;60 years [n=360] and 4</w:instrText>
            </w:r>
            <w:r w:rsidRPr="00481B63">
              <w:rPr>
                <w:rFonts w:ascii="Garamond" w:hAnsi="Garamond" w:hint="eastAsia"/>
                <w:sz w:val="18"/>
                <w:szCs w:val="18"/>
              </w:rPr>
              <w:instrText>·</w:instrText>
            </w:r>
            <w:r w:rsidRPr="00481B63">
              <w:rPr>
                <w:rFonts w:ascii="Garamond" w:hAnsi="Garamond" w:hint="eastAsia"/>
                <w:sz w:val="18"/>
                <w:szCs w:val="18"/>
              </w:rPr>
              <w:instrText>5% [1</w:instrText>
            </w:r>
            <w:r w:rsidRPr="00481B63">
              <w:rPr>
                <w:rFonts w:ascii="Garamond" w:hAnsi="Garamond" w:hint="eastAsia"/>
                <w:sz w:val="18"/>
                <w:szCs w:val="18"/>
              </w:rPr>
              <w:instrText>·</w:instrText>
            </w:r>
            <w:r w:rsidRPr="00481B63">
              <w:rPr>
                <w:rFonts w:ascii="Garamond" w:hAnsi="Garamond" w:hint="eastAsia"/>
                <w:sz w:val="18"/>
                <w:szCs w:val="18"/>
              </w:rPr>
              <w:instrText>8</w:instrText>
            </w:r>
            <w:r w:rsidRPr="00481B63">
              <w:rPr>
                <w:rFonts w:ascii="Garamond" w:hAnsi="Garamond" w:hint="eastAsia"/>
                <w:sz w:val="18"/>
                <w:szCs w:val="18"/>
              </w:rPr>
              <w:instrText>–</w:instrText>
            </w:r>
            <w:r w:rsidRPr="00481B63">
              <w:rPr>
                <w:rFonts w:ascii="Garamond" w:hAnsi="Garamond" w:hint="eastAsia"/>
                <w:sz w:val="18"/>
                <w:szCs w:val="18"/>
              </w:rPr>
              <w:instrText>11</w:instrText>
            </w:r>
            <w:r w:rsidRPr="00481B63">
              <w:rPr>
                <w:rFonts w:ascii="Garamond" w:hAnsi="Garamond" w:hint="eastAsia"/>
                <w:sz w:val="18"/>
                <w:szCs w:val="18"/>
              </w:rPr>
              <w:instrText>·</w:instrText>
            </w:r>
            <w:r w:rsidRPr="00481B63">
              <w:rPr>
                <w:rFonts w:ascii="Garamond" w:hAnsi="Garamond" w:hint="eastAsia"/>
                <w:sz w:val="18"/>
                <w:szCs w:val="18"/>
              </w:rPr>
              <w:instrText xml:space="preserve">1] in those aged </w:instrText>
            </w:r>
            <w:r w:rsidRPr="00481B63">
              <w:rPr>
                <w:rFonts w:ascii="Garamond" w:hAnsi="Garamond" w:hint="eastAsia"/>
                <w:sz w:val="18"/>
                <w:szCs w:val="18"/>
              </w:rPr>
              <w:instrText>≥</w:instrText>
            </w:r>
            <w:r w:rsidRPr="00481B63">
              <w:rPr>
                <w:rFonts w:ascii="Garamond" w:hAnsi="Garamond" w:hint="eastAsia"/>
                <w:sz w:val="18"/>
                <w:szCs w:val="18"/>
              </w:rPr>
              <w:instrText>60 years [n=151]). Our estimated overall infection fatality ratio for China was 0</w:instrText>
            </w:r>
            <w:r w:rsidRPr="00481B63">
              <w:rPr>
                <w:rFonts w:ascii="Garamond" w:hAnsi="Garamond" w:hint="eastAsia"/>
                <w:sz w:val="18"/>
                <w:szCs w:val="18"/>
              </w:rPr>
              <w:instrText>·</w:instrText>
            </w:r>
            <w:r w:rsidRPr="00481B63">
              <w:rPr>
                <w:rFonts w:ascii="Garamond" w:hAnsi="Garamond" w:hint="eastAsia"/>
                <w:sz w:val="18"/>
                <w:szCs w:val="18"/>
              </w:rPr>
              <w:instrText>66% (0</w:instrText>
            </w:r>
            <w:r w:rsidRPr="00481B63">
              <w:rPr>
                <w:rFonts w:ascii="Garamond" w:hAnsi="Garamond" w:hint="eastAsia"/>
                <w:sz w:val="18"/>
                <w:szCs w:val="18"/>
              </w:rPr>
              <w:instrText>·</w:instrText>
            </w:r>
            <w:r w:rsidRPr="00481B63">
              <w:rPr>
                <w:rFonts w:ascii="Garamond" w:hAnsi="Garamond" w:hint="eastAsia"/>
                <w:sz w:val="18"/>
                <w:szCs w:val="18"/>
              </w:rPr>
              <w:instrText>39</w:instrText>
            </w:r>
            <w:r w:rsidRPr="00481B63">
              <w:rPr>
                <w:rFonts w:ascii="Garamond" w:hAnsi="Garamond" w:hint="eastAsia"/>
                <w:sz w:val="18"/>
                <w:szCs w:val="18"/>
              </w:rPr>
              <w:instrText>–</w:instrText>
            </w:r>
            <w:r w:rsidRPr="00481B63">
              <w:rPr>
                <w:rFonts w:ascii="Garamond" w:hAnsi="Garamond" w:hint="eastAsia"/>
                <w:sz w:val="18"/>
                <w:szCs w:val="18"/>
              </w:rPr>
              <w:instrText>1</w:instrText>
            </w:r>
            <w:r w:rsidRPr="00481B63">
              <w:rPr>
                <w:rFonts w:ascii="Garamond" w:hAnsi="Garamond" w:hint="eastAsia"/>
                <w:sz w:val="18"/>
                <w:szCs w:val="18"/>
              </w:rPr>
              <w:instrText>·</w:instrText>
            </w:r>
            <w:r w:rsidRPr="00481B63">
              <w:rPr>
                <w:rFonts w:ascii="Garamond" w:hAnsi="Garamond" w:hint="eastAsia"/>
                <w:sz w:val="18"/>
                <w:szCs w:val="18"/>
              </w:rPr>
              <w:instrText>33),</w:instrText>
            </w:r>
            <w:r w:rsidRPr="00481B63">
              <w:rPr>
                <w:rFonts w:ascii="Garamond" w:hAnsi="Garamond"/>
                <w:sz w:val="18"/>
                <w:szCs w:val="18"/>
              </w:rPr>
              <w:instrText xml:space="preserve"> with an increasing profile with age. Similarly, estimates of the proportion of infected individuals likely to be hospitalised increased with age up to a maximum of 18·4% (11·0–37·6) in those aged 80 years or older.&lt;/p&gt;&lt;h3&gt;Interpretation&lt;/h3&gt;&lt;p&gt;These early estimates give an indication of the fatality ratio across the spectrum of COVID-19 disease and show a strong age gradient in risk of death.&lt;/p&gt;&lt;h3&gt;Funding&lt;/h3&gt;&lt;p&gt;UK Medical Research Council.&lt;/p&gt;","container-title":"The Lancet Infectious Diseases","DOI":"10.1016/S1473-3099(20)30243-7","ISSN":"1473-3099, 1474-4457","issue":"6","journalAbbreviation":"The Lancet Infectious Diseases","language":"English","note":"publisher: Elsevier\nPMID: 32240634","page":"669-677","source":"www.thelancet.com","title":"Estimates of the severity of coronavirus disease 2019: a model-based analysis","title-short":"Estimates of the severity of coronavirus disease 2019","volume":"20","author":[{"family":"Verity","given":"Robert"},{"family":"Okell","given":"Lucy C."},{"family":"Dorigatti","given":"Ilaria"},{"family":"Winskill","given":"Peter"},{"family":"Whittaker","given":"Charles"},{"family":"Imai","given":"Natsuko"},{"family":"Cuomo-Dannenburg","given":"Gina"},{"family":"Thompson","given":"Hayley"},{"family":"Walker","given":"Patrick G. T."},{"family":"Fu","given":"Han"},{"family":"Dighe","given":"Amy"},{"family":"Griffin","given":"Jamie T."},{"family":"Baguelin","given":"Marc"},{"family":"Bhatia","given":"Sangeeta"},{"family":"Boonyasiri","given":"Adhiratha"},{"family":"Cori","given":"Anne"},{"family":"Cucunubá","given":"Zulma"},{"family":"FitzJohn","given":"Rich"},{"family":"Gaythorpe","given":"Katy"},{"family":"Green","given":"Will"},{"family":"Hamlet","given":"Arran"},{"family":"Hinsley","given":"Wes"},{"family":"Laydon","given":"Daniel"},{"family":"Nedjati-Gilani","given":"Gemma"},{"family":"Riley","given":"Steven"},{"family":"Elsland","given":"Sabine","dropping-particle":"van"},{"family":"Volz","given":"Erik"},{"family":"Wang","given":"Haowei"},{"family":"Wang","given":"Yuanrong"},{"family":"Xi","given":"Xiaoyue"},{"family":"Donnelly","given":"Christl A."},{"family":"Ghani","given":"Azra C."},{"family":"Ferguson","given":"Neil M."}],"issued":{"date-parts":[["2020",6,1]]}}}],"schema":"https://github.com/citation-style-language/schema/raw/master/csl-citation.json"} </w:instrText>
            </w:r>
            <w:r w:rsidRPr="00481B63">
              <w:rPr>
                <w:rFonts w:ascii="Garamond" w:hAnsi="Garamond"/>
                <w:sz w:val="18"/>
                <w:szCs w:val="18"/>
              </w:rPr>
              <w:fldChar w:fldCharType="separate"/>
            </w:r>
            <w:r w:rsidRPr="00481B63">
              <w:rPr>
                <w:rFonts w:ascii="Garamond" w:hAnsi="Garamond" w:cs="Times New Roman"/>
                <w:sz w:val="18"/>
              </w:rPr>
              <w:t>(6)</w:t>
            </w:r>
            <w:r w:rsidRPr="00481B63">
              <w:rPr>
                <w:rFonts w:ascii="Garamond" w:hAnsi="Garamond"/>
                <w:sz w:val="18"/>
                <w:szCs w:val="18"/>
              </w:rPr>
              <w:fldChar w:fldCharType="end"/>
            </w:r>
          </w:p>
        </w:tc>
      </w:tr>
      <w:tr w:rsidR="00664D41" w:rsidRPr="00481B63" w14:paraId="7160A367"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0C3C7BCE"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Proportion symptomatic - students</w:t>
            </w:r>
          </w:p>
        </w:tc>
        <w:tc>
          <w:tcPr>
            <w:tcW w:w="914" w:type="dxa"/>
          </w:tcPr>
          <w:p w14:paraId="07663F71"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0.35</w:t>
            </w:r>
          </w:p>
        </w:tc>
        <w:tc>
          <w:tcPr>
            <w:tcW w:w="1564" w:type="dxa"/>
          </w:tcPr>
          <w:p w14:paraId="789C8EF7"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0.27 to 0.43</w:t>
            </w:r>
          </w:p>
        </w:tc>
        <w:tc>
          <w:tcPr>
            <w:tcW w:w="1082" w:type="dxa"/>
          </w:tcPr>
          <w:p w14:paraId="29258D6C"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Beta</w:t>
            </w:r>
          </w:p>
        </w:tc>
        <w:tc>
          <w:tcPr>
            <w:tcW w:w="1348" w:type="dxa"/>
          </w:tcPr>
          <w:p w14:paraId="20AF2D19"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m:oMathPara>
              <m:oMath>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asy,stu</m:t>
                    </m:r>
                  </m:sub>
                </m:sSub>
              </m:oMath>
            </m:oMathPara>
          </w:p>
        </w:tc>
        <w:tc>
          <w:tcPr>
            <w:tcW w:w="1185" w:type="dxa"/>
          </w:tcPr>
          <w:p w14:paraId="7B61C8C8"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fldChar w:fldCharType="begin"/>
            </w:r>
            <w:r w:rsidRPr="00481B63">
              <w:rPr>
                <w:rFonts w:ascii="Garamond" w:hAnsi="Garamond"/>
                <w:sz w:val="18"/>
                <w:szCs w:val="18"/>
              </w:rPr>
              <w:instrText xml:space="preserve"> ADDIN ZOTERO_ITEM CSL_CITATION {"citationID":"yoQuH7zT","properties":{"formattedCitation":"(15)","plainCitation":"(15)","noteIndex":0},"citationItems":[{"id":"e0c1zYab/UZRy56sU","uris":["http://zotero.org/users/3645254/items/WSHTJZRL"],"uri":["http://zotero.org/users/3645254/items/WSHTJZRL"],"itemData":{"id":247,"type":"report","abstract":"The COVID-19 pandemic has shown a markedly low proportion of cases among children. Age disparities in observed cases could be explained by children having lower susceptibility to infection, lower propensity to show clinical symptoms, or both. We evaluate these possibilities by fitting an age-structured mathematical model to epidemic data from six countries. We estimate that clinical symptoms occur in 25% (95% CrI: 19-32%) of infections in 10-19-year-olds, rising to 76% (68-82%) in over-70s, and that susceptibility to infection in under-20s is approximately half that of older adults. Accordingly, we find that interventions aimed at children may have a relatively small impact on total cases, particularly if the transmissibility of subclinical infections is low. The age-specific clinical fraction and susceptibility we have estimated has implications for the expected global burden of COVID-19 because of demographic differences across settings: in younger populations, the expected clinical attack rate would be lower, although it is likely that comorbidities in low-income countries will affect disease severity. Without effective control measures, regions with older populations may see disproportionally more clinical cases, particularly in the later stages of the pandemic.","genre":"preprint","language":"en","note":"DOI: 10.1101/2020.03.24.20043018","publisher":"Epidemiology","source":"DOI.org (Crossref)","title":"Age-dependent effects in the transmission and control of COVID-19 epidemics","URL":"http://medrxiv.org/lookup/doi/10.1101/2020.03.24.20043018","author":[{"family":"Davies","given":"Nicholas G"},{"family":"Klepac","given":"Petra"},{"family":"Liu","given":"Yang"},{"family":"Prem","given":"Kiesha"},{"family":"Jit","given":"Mark"},{"literal":"CMMID COVID-19 working group"},{"family":"Eggo","given":"Rosalind M"}],"accessed":{"date-parts":[["2020",6,5]]},"issued":{"date-parts":[["2020",3,27]]}}}],"schema":"https://github.com/citation-style-language/schema/raw/master/csl-citation.json"} </w:instrText>
            </w:r>
            <w:r w:rsidRPr="00481B63">
              <w:rPr>
                <w:rFonts w:ascii="Garamond" w:hAnsi="Garamond"/>
                <w:sz w:val="18"/>
                <w:szCs w:val="18"/>
              </w:rPr>
              <w:fldChar w:fldCharType="separate"/>
            </w:r>
            <w:r w:rsidRPr="00481B63">
              <w:rPr>
                <w:rFonts w:ascii="Garamond" w:hAnsi="Garamond" w:cs="Times New Roman"/>
                <w:sz w:val="18"/>
              </w:rPr>
              <w:t>(15)</w:t>
            </w:r>
            <w:r w:rsidRPr="00481B63">
              <w:rPr>
                <w:rFonts w:ascii="Garamond" w:hAnsi="Garamond"/>
                <w:sz w:val="18"/>
                <w:szCs w:val="18"/>
              </w:rPr>
              <w:fldChar w:fldCharType="end"/>
            </w:r>
          </w:p>
        </w:tc>
      </w:tr>
      <w:tr w:rsidR="00664D41" w:rsidRPr="00481B63" w14:paraId="5E113DE6"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2369A546"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Proportion symptomatic - staff/faculty</w:t>
            </w:r>
          </w:p>
        </w:tc>
        <w:tc>
          <w:tcPr>
            <w:tcW w:w="914" w:type="dxa"/>
          </w:tcPr>
          <w:p w14:paraId="26F635D7"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0.51</w:t>
            </w:r>
          </w:p>
        </w:tc>
        <w:tc>
          <w:tcPr>
            <w:tcW w:w="1564" w:type="dxa"/>
          </w:tcPr>
          <w:p w14:paraId="4E7C308D"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0.41 to 0.59</w:t>
            </w:r>
          </w:p>
        </w:tc>
        <w:tc>
          <w:tcPr>
            <w:tcW w:w="1082" w:type="dxa"/>
          </w:tcPr>
          <w:p w14:paraId="0D5F7AF3"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Beta</w:t>
            </w:r>
          </w:p>
        </w:tc>
        <w:tc>
          <w:tcPr>
            <w:tcW w:w="1348" w:type="dxa"/>
          </w:tcPr>
          <w:p w14:paraId="22FC7B12"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m:oMathPara>
              <m:oMath>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asy,saf</m:t>
                    </m:r>
                  </m:sub>
                </m:sSub>
              </m:oMath>
            </m:oMathPara>
          </w:p>
        </w:tc>
        <w:tc>
          <w:tcPr>
            <w:tcW w:w="1185" w:type="dxa"/>
          </w:tcPr>
          <w:p w14:paraId="4B0A1D42"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fldChar w:fldCharType="begin"/>
            </w:r>
            <w:r w:rsidRPr="00481B63">
              <w:rPr>
                <w:rFonts w:ascii="Garamond" w:hAnsi="Garamond"/>
                <w:sz w:val="18"/>
                <w:szCs w:val="18"/>
              </w:rPr>
              <w:instrText xml:space="preserve"> ADDIN ZOTERO_ITEM CSL_CITATION {"citationID":"Azs4c9py","properties":{"formattedCitation":"(15)","plainCitation":"(15)","noteIndex":0},"citationItems":[{"id":"e0c1zYab/UZRy56sU","uris":["http://zotero.org/users/3645254/items/WSHTJZRL"],"uri":["http://zotero.org/users/3645254/items/WSHTJZRL"],"itemData":{"id":247,"type":"report","abstract":"The COVID-19 pandemic has shown a markedly low proportion of cases among children. Age disparities in observed cases could be explained by children having lower susceptibility to infection, lower propensity to show clinical symptoms, or both. We evaluate these possibilities by fitting an age-structured mathematical model to epidemic data from six countries. We estimate that clinical symptoms occur in 25% (95% CrI: 19-32%) of infections in 10-19-year-olds, rising to 76% (68-82%) in over-70s, and that susceptibility to infection in under-20s is approximately half that of older adults. Accordingly, we find that interventions aimed at children may have a relatively small impact on total cases, particularly if the transmissibility of subclinical infections is low. The age-specific clinical fraction and susceptibility we have estimated has implications for the expected global burden of COVID-19 because of demographic differences across settings: in younger populations, the expected clinical attack rate would be lower, although it is likely that comorbidities in low-income countries will affect disease severity. Without effective control measures, regions with older populations may see disproportionally more clinical cases, particularly in the later stages of the pandemic.","genre":"preprint","language":"en","note":"DOI: 10.1101/2020.03.24.20043018","publisher":"Epidemiology","source":"DOI.org (Crossref)","title":"Age-dependent effects in the transmission and control of COVID-19 epidemics","URL":"http://medrxiv.org/lookup/doi/10.1101/2020.03.24.20043018","author":[{"family":"Davies","given":"Nicholas G"},{"family":"Klepac","given":"Petra"},{"family":"Liu","given":"Yang"},{"family":"Prem","given":"Kiesha"},{"family":"Jit","given":"Mark"},{"literal":"CMMID COVID-19 working group"},{"family":"Eggo","given":"Rosalind M"}],"accessed":{"date-parts":[["2020",6,5]]},"issued":{"date-parts":[["2020",3,27]]}}}],"schema":"https://github.com/citation-style-language/schema/raw/master/csl-citation.json"} </w:instrText>
            </w:r>
            <w:r w:rsidRPr="00481B63">
              <w:rPr>
                <w:rFonts w:ascii="Garamond" w:hAnsi="Garamond"/>
                <w:sz w:val="18"/>
                <w:szCs w:val="18"/>
              </w:rPr>
              <w:fldChar w:fldCharType="separate"/>
            </w:r>
            <w:r w:rsidRPr="00481B63">
              <w:rPr>
                <w:rFonts w:ascii="Garamond" w:hAnsi="Garamond" w:cs="Times New Roman"/>
                <w:sz w:val="18"/>
              </w:rPr>
              <w:t>(15)</w:t>
            </w:r>
            <w:r w:rsidRPr="00481B63">
              <w:rPr>
                <w:rFonts w:ascii="Garamond" w:hAnsi="Garamond"/>
                <w:sz w:val="18"/>
                <w:szCs w:val="18"/>
              </w:rPr>
              <w:fldChar w:fldCharType="end"/>
            </w:r>
          </w:p>
        </w:tc>
      </w:tr>
      <w:tr w:rsidR="00664D41" w:rsidRPr="00481B63" w14:paraId="636C19B3"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568080FD" w14:textId="77777777" w:rsidR="00664D41" w:rsidRPr="00481B63" w:rsidRDefault="00664D41" w:rsidP="00037B58">
            <w:pPr>
              <w:rPr>
                <w:rFonts w:ascii="Garamond" w:hAnsi="Garamond"/>
                <w:sz w:val="18"/>
                <w:szCs w:val="18"/>
              </w:rPr>
            </w:pPr>
            <w:r w:rsidRPr="00481B63">
              <w:rPr>
                <w:rFonts w:ascii="Garamond" w:hAnsi="Garamond"/>
                <w:sz w:val="18"/>
                <w:szCs w:val="18"/>
              </w:rPr>
              <w:t>Transmission</w:t>
            </w:r>
          </w:p>
        </w:tc>
        <w:tc>
          <w:tcPr>
            <w:tcW w:w="914" w:type="dxa"/>
          </w:tcPr>
          <w:p w14:paraId="1AE13AFC"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564" w:type="dxa"/>
          </w:tcPr>
          <w:p w14:paraId="4DA09D8D"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082" w:type="dxa"/>
          </w:tcPr>
          <w:p w14:paraId="25C9196B"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348" w:type="dxa"/>
          </w:tcPr>
          <w:p w14:paraId="2EE0E6A1"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185" w:type="dxa"/>
          </w:tcPr>
          <w:p w14:paraId="04FC7047"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r>
      <w:tr w:rsidR="00664D41" w:rsidRPr="00481B63" w14:paraId="289B3C27"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4522D3ED"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R</w:t>
            </w:r>
            <w:r w:rsidRPr="00481B63">
              <w:rPr>
                <w:rFonts w:ascii="Garamond" w:hAnsi="Garamond"/>
                <w:b w:val="0"/>
                <w:bCs w:val="0"/>
                <w:sz w:val="18"/>
                <w:szCs w:val="18"/>
                <w:vertAlign w:val="subscript"/>
              </w:rPr>
              <w:t>0</w:t>
            </w:r>
            <w:r w:rsidRPr="00481B63">
              <w:rPr>
                <w:rFonts w:ascii="Garamond" w:hAnsi="Garamond"/>
                <w:b w:val="0"/>
                <w:bCs w:val="0"/>
                <w:sz w:val="18"/>
                <w:szCs w:val="18"/>
              </w:rPr>
              <w:t>: students to students</w:t>
            </w:r>
          </w:p>
        </w:tc>
        <w:tc>
          <w:tcPr>
            <w:tcW w:w="914" w:type="dxa"/>
          </w:tcPr>
          <w:p w14:paraId="6428F427"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2</w:t>
            </w:r>
          </w:p>
        </w:tc>
        <w:tc>
          <w:tcPr>
            <w:tcW w:w="1564" w:type="dxa"/>
          </w:tcPr>
          <w:p w14:paraId="122B59D5"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0.7 to 2.5</w:t>
            </w:r>
          </w:p>
        </w:tc>
        <w:tc>
          <w:tcPr>
            <w:tcW w:w="1082" w:type="dxa"/>
          </w:tcPr>
          <w:p w14:paraId="2421F5CE"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Uniform</w:t>
            </w:r>
          </w:p>
        </w:tc>
        <w:tc>
          <w:tcPr>
            <w:tcW w:w="1348" w:type="dxa"/>
          </w:tcPr>
          <w:p w14:paraId="45DFA6DE"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m:oMathPara>
              <m:oMath>
                <m:sSub>
                  <m:sSubPr>
                    <m:ctrlPr>
                      <w:rPr>
                        <w:rFonts w:ascii="Cambria Math" w:hAnsi="Cambria Math"/>
                        <w:i/>
                        <w:sz w:val="20"/>
                        <w:szCs w:val="20"/>
                      </w:rPr>
                    </m:ctrlPr>
                  </m:sSubPr>
                  <m:e>
                    <m:r>
                      <w:rPr>
                        <w:rFonts w:ascii="Cambria Math" w:hAnsi="Cambria Math"/>
                        <w:sz w:val="20"/>
                        <w:szCs w:val="20"/>
                      </w:rPr>
                      <m:t>Ro</m:t>
                    </m:r>
                  </m:e>
                  <m:sub>
                    <m:r>
                      <w:rPr>
                        <w:rFonts w:ascii="Cambria Math" w:hAnsi="Cambria Math"/>
                        <w:sz w:val="20"/>
                        <w:szCs w:val="20"/>
                      </w:rPr>
                      <m:t>stu,stu</m:t>
                    </m:r>
                  </m:sub>
                </m:sSub>
              </m:oMath>
            </m:oMathPara>
          </w:p>
        </w:tc>
        <w:tc>
          <w:tcPr>
            <w:tcW w:w="1185" w:type="dxa"/>
          </w:tcPr>
          <w:p w14:paraId="301173FB"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r>
      <w:tr w:rsidR="00664D41" w:rsidRPr="00481B63" w14:paraId="2CDDD4C9"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665F6115"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R</w:t>
            </w:r>
            <w:r w:rsidRPr="00481B63">
              <w:rPr>
                <w:rFonts w:ascii="Garamond" w:hAnsi="Garamond"/>
                <w:b w:val="0"/>
                <w:bCs w:val="0"/>
                <w:sz w:val="18"/>
                <w:szCs w:val="18"/>
                <w:vertAlign w:val="subscript"/>
              </w:rPr>
              <w:t>0</w:t>
            </w:r>
            <w:r w:rsidRPr="00481B63">
              <w:rPr>
                <w:rFonts w:ascii="Garamond" w:hAnsi="Garamond"/>
                <w:b w:val="0"/>
                <w:bCs w:val="0"/>
                <w:sz w:val="18"/>
                <w:szCs w:val="18"/>
              </w:rPr>
              <w:t>: on campus students to other on campus students</w:t>
            </w:r>
          </w:p>
        </w:tc>
        <w:tc>
          <w:tcPr>
            <w:tcW w:w="914" w:type="dxa"/>
          </w:tcPr>
          <w:p w14:paraId="741C5651"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1</w:t>
            </w:r>
          </w:p>
        </w:tc>
        <w:tc>
          <w:tcPr>
            <w:tcW w:w="1564" w:type="dxa"/>
          </w:tcPr>
          <w:p w14:paraId="7E284CA5"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0.3 to 1.4</w:t>
            </w:r>
          </w:p>
        </w:tc>
        <w:tc>
          <w:tcPr>
            <w:tcW w:w="1082" w:type="dxa"/>
          </w:tcPr>
          <w:p w14:paraId="6B115372"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Uniform</w:t>
            </w:r>
          </w:p>
        </w:tc>
        <w:tc>
          <w:tcPr>
            <w:tcW w:w="1348" w:type="dxa"/>
          </w:tcPr>
          <w:p w14:paraId="12BB1FD9"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m:oMathPara>
              <m:oMath>
                <m:sSub>
                  <m:sSubPr>
                    <m:ctrlPr>
                      <w:rPr>
                        <w:rFonts w:ascii="Cambria Math" w:hAnsi="Cambria Math"/>
                        <w:i/>
                        <w:sz w:val="20"/>
                        <w:szCs w:val="20"/>
                      </w:rPr>
                    </m:ctrlPr>
                  </m:sSubPr>
                  <m:e>
                    <m:r>
                      <w:rPr>
                        <w:rFonts w:ascii="Cambria Math" w:hAnsi="Cambria Math"/>
                        <w:sz w:val="20"/>
                        <w:szCs w:val="20"/>
                      </w:rPr>
                      <m:t>Ro</m:t>
                    </m:r>
                  </m:e>
                  <m:sub>
                    <m:r>
                      <w:rPr>
                        <w:rFonts w:ascii="Cambria Math" w:hAnsi="Cambria Math"/>
                        <w:sz w:val="20"/>
                        <w:szCs w:val="20"/>
                      </w:rPr>
                      <m:t>on,on</m:t>
                    </m:r>
                  </m:sub>
                </m:sSub>
              </m:oMath>
            </m:oMathPara>
          </w:p>
        </w:tc>
        <w:tc>
          <w:tcPr>
            <w:tcW w:w="1185" w:type="dxa"/>
          </w:tcPr>
          <w:p w14:paraId="2FC17CCF"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r>
      <w:tr w:rsidR="00664D41" w:rsidRPr="00481B63" w14:paraId="6A09C0D8"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5538F6B7"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R</w:t>
            </w:r>
            <w:r w:rsidRPr="00481B63">
              <w:rPr>
                <w:rFonts w:ascii="Garamond" w:hAnsi="Garamond"/>
                <w:b w:val="0"/>
                <w:bCs w:val="0"/>
                <w:sz w:val="18"/>
                <w:szCs w:val="18"/>
                <w:vertAlign w:val="subscript"/>
              </w:rPr>
              <w:t>0</w:t>
            </w:r>
            <w:r w:rsidRPr="00481B63">
              <w:rPr>
                <w:rFonts w:ascii="Garamond" w:hAnsi="Garamond"/>
                <w:b w:val="0"/>
                <w:bCs w:val="0"/>
                <w:sz w:val="18"/>
                <w:szCs w:val="18"/>
              </w:rPr>
              <w:t>: Staff/faculty to student; staff/faculty to staff/faculty</w:t>
            </w:r>
          </w:p>
        </w:tc>
        <w:tc>
          <w:tcPr>
            <w:tcW w:w="914" w:type="dxa"/>
          </w:tcPr>
          <w:p w14:paraId="055DA034"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0.5</w:t>
            </w:r>
          </w:p>
        </w:tc>
        <w:tc>
          <w:tcPr>
            <w:tcW w:w="1564" w:type="dxa"/>
          </w:tcPr>
          <w:p w14:paraId="73D79692"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0.15 to 0.7</w:t>
            </w:r>
          </w:p>
        </w:tc>
        <w:tc>
          <w:tcPr>
            <w:tcW w:w="1082" w:type="dxa"/>
          </w:tcPr>
          <w:p w14:paraId="30B85B45"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Uniform</w:t>
            </w:r>
          </w:p>
        </w:tc>
        <w:tc>
          <w:tcPr>
            <w:tcW w:w="1348" w:type="dxa"/>
          </w:tcPr>
          <w:p w14:paraId="2B924633"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m:oMathPara>
              <m:oMath>
                <m:sSub>
                  <m:sSubPr>
                    <m:ctrlPr>
                      <w:rPr>
                        <w:rFonts w:ascii="Cambria Math" w:hAnsi="Cambria Math"/>
                        <w:i/>
                        <w:sz w:val="20"/>
                        <w:szCs w:val="20"/>
                      </w:rPr>
                    </m:ctrlPr>
                  </m:sSubPr>
                  <m:e>
                    <m:r>
                      <w:rPr>
                        <w:rFonts w:ascii="Cambria Math" w:hAnsi="Cambria Math"/>
                        <w:sz w:val="20"/>
                        <w:szCs w:val="20"/>
                      </w:rPr>
                      <m:t>Ro</m:t>
                    </m:r>
                  </m:e>
                  <m:sub>
                    <m:r>
                      <w:rPr>
                        <w:rFonts w:ascii="Cambria Math" w:hAnsi="Cambria Math"/>
                        <w:sz w:val="20"/>
                        <w:szCs w:val="20"/>
                      </w:rPr>
                      <m:t>saf</m:t>
                    </m:r>
                  </m:sub>
                </m:sSub>
              </m:oMath>
            </m:oMathPara>
          </w:p>
        </w:tc>
        <w:tc>
          <w:tcPr>
            <w:tcW w:w="1185" w:type="dxa"/>
          </w:tcPr>
          <w:p w14:paraId="259BEE17"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r>
      <w:tr w:rsidR="00664D41" w:rsidRPr="00481B63" w14:paraId="639060E4" w14:textId="77777777" w:rsidTr="00664D41">
        <w:trPr>
          <w:jc w:val="center"/>
        </w:trPr>
        <w:tc>
          <w:tcPr>
            <w:tcW w:w="4627" w:type="dxa"/>
          </w:tcPr>
          <w:p w14:paraId="13380C2B" w14:textId="77777777" w:rsidR="00664D41" w:rsidRPr="00481B63" w:rsidRDefault="00664D41" w:rsidP="00037B58">
            <w:pPr>
              <w:cnfStyle w:val="001000000000" w:firstRow="0" w:lastRow="0" w:firstColumn="1" w:lastColumn="0" w:oddVBand="0" w:evenVBand="0" w:oddHBand="0" w:evenHBand="0" w:firstRowFirstColumn="0" w:firstRowLastColumn="0" w:lastRowFirstColumn="0" w:lastRowLastColumn="0"/>
              <w:rPr>
                <w:rFonts w:ascii="Garamond" w:hAnsi="Garamond"/>
                <w:b w:val="0"/>
                <w:bCs w:val="0"/>
                <w:sz w:val="18"/>
                <w:szCs w:val="18"/>
              </w:rPr>
            </w:pPr>
            <w:r w:rsidRPr="00664D41">
              <w:rPr>
                <w:rFonts w:ascii="Garamond" w:hAnsi="Garamond"/>
                <w:b w:val="0"/>
                <w:bCs w:val="0"/>
                <w:sz w:val="18"/>
                <w:szCs w:val="18"/>
              </w:rPr>
              <w:t>Daily new cases in community (proportion)</w:t>
            </w:r>
          </w:p>
        </w:tc>
        <w:tc>
          <w:tcPr>
            <w:tcW w:w="914" w:type="dxa"/>
          </w:tcPr>
          <w:p w14:paraId="68377E19" w14:textId="77777777" w:rsidR="00664D41" w:rsidRPr="00481B63" w:rsidRDefault="00664D41" w:rsidP="00037B58">
            <w:pPr>
              <w:jc w:val="center"/>
              <w:rPr>
                <w:rFonts w:ascii="Garamond" w:hAnsi="Garamond"/>
                <w:sz w:val="18"/>
                <w:szCs w:val="18"/>
              </w:rPr>
            </w:pPr>
            <w:r w:rsidRPr="00481B63">
              <w:rPr>
                <w:rFonts w:ascii="Garamond" w:hAnsi="Garamond"/>
                <w:sz w:val="18"/>
                <w:szCs w:val="18"/>
              </w:rPr>
              <w:t>0.000</w:t>
            </w:r>
            <w:r>
              <w:rPr>
                <w:rFonts w:ascii="Garamond" w:hAnsi="Garamond"/>
                <w:sz w:val="18"/>
                <w:szCs w:val="18"/>
              </w:rPr>
              <w:t>0</w:t>
            </w:r>
            <w:r w:rsidRPr="00481B63">
              <w:rPr>
                <w:rFonts w:ascii="Garamond" w:hAnsi="Garamond"/>
                <w:sz w:val="18"/>
                <w:szCs w:val="18"/>
              </w:rPr>
              <w:t>5</w:t>
            </w:r>
          </w:p>
        </w:tc>
        <w:tc>
          <w:tcPr>
            <w:tcW w:w="1564" w:type="dxa"/>
          </w:tcPr>
          <w:p w14:paraId="33ED72EE" w14:textId="77777777" w:rsidR="00664D41" w:rsidRPr="00481B63" w:rsidRDefault="00664D41" w:rsidP="00037B58">
            <w:pPr>
              <w:jc w:val="center"/>
              <w:rPr>
                <w:rFonts w:ascii="Garamond" w:hAnsi="Garamond"/>
                <w:sz w:val="18"/>
                <w:szCs w:val="18"/>
              </w:rPr>
            </w:pPr>
            <w:r w:rsidRPr="00481B63">
              <w:rPr>
                <w:rFonts w:ascii="Garamond" w:hAnsi="Garamond"/>
                <w:sz w:val="18"/>
                <w:szCs w:val="18"/>
              </w:rPr>
              <w:t>0.000</w:t>
            </w:r>
            <w:r>
              <w:rPr>
                <w:rFonts w:ascii="Garamond" w:hAnsi="Garamond"/>
                <w:sz w:val="18"/>
                <w:szCs w:val="18"/>
              </w:rPr>
              <w:t>0</w:t>
            </w:r>
            <w:r w:rsidRPr="00481B63">
              <w:rPr>
                <w:rFonts w:ascii="Garamond" w:hAnsi="Garamond"/>
                <w:sz w:val="18"/>
                <w:szCs w:val="18"/>
              </w:rPr>
              <w:t>25 to 0.00</w:t>
            </w:r>
            <w:r>
              <w:rPr>
                <w:rFonts w:ascii="Garamond" w:hAnsi="Garamond"/>
                <w:sz w:val="18"/>
                <w:szCs w:val="18"/>
              </w:rPr>
              <w:t>0</w:t>
            </w:r>
            <w:r w:rsidRPr="00481B63">
              <w:rPr>
                <w:rFonts w:ascii="Garamond" w:hAnsi="Garamond"/>
                <w:sz w:val="18"/>
                <w:szCs w:val="18"/>
              </w:rPr>
              <w:t>1</w:t>
            </w:r>
          </w:p>
        </w:tc>
        <w:tc>
          <w:tcPr>
            <w:tcW w:w="1082" w:type="dxa"/>
          </w:tcPr>
          <w:p w14:paraId="375ED2E1" w14:textId="77777777" w:rsidR="00664D41" w:rsidRPr="00481B63" w:rsidRDefault="00664D41" w:rsidP="00037B58">
            <w:pPr>
              <w:jc w:val="center"/>
              <w:rPr>
                <w:rFonts w:ascii="Garamond" w:hAnsi="Garamond"/>
                <w:sz w:val="18"/>
                <w:szCs w:val="18"/>
              </w:rPr>
            </w:pPr>
            <w:r w:rsidRPr="00481B63">
              <w:rPr>
                <w:rFonts w:ascii="Garamond" w:hAnsi="Garamond"/>
                <w:sz w:val="18"/>
                <w:szCs w:val="18"/>
              </w:rPr>
              <w:t>Beta</w:t>
            </w:r>
          </w:p>
        </w:tc>
        <w:tc>
          <w:tcPr>
            <w:tcW w:w="1348" w:type="dxa"/>
          </w:tcPr>
          <w:p w14:paraId="4BCCC0FA" w14:textId="77777777" w:rsidR="00664D41" w:rsidRPr="00481B63" w:rsidRDefault="00664D41" w:rsidP="00037B58">
            <w:pPr>
              <w:jc w:val="center"/>
              <w:rPr>
                <w:rFonts w:ascii="Garamond" w:hAnsi="Garamond"/>
                <w:sz w:val="18"/>
                <w:szCs w:val="18"/>
              </w:rPr>
            </w:pPr>
            <w:proofErr w:type="spellStart"/>
            <w:r>
              <w:rPr>
                <w:rFonts w:ascii="Garamond" w:hAnsi="Garamond"/>
                <w:sz w:val="18"/>
                <w:szCs w:val="18"/>
              </w:rPr>
              <w:t>daily_new_case</w:t>
            </w:r>
            <w:proofErr w:type="spellEnd"/>
          </w:p>
        </w:tc>
        <w:tc>
          <w:tcPr>
            <w:tcW w:w="1185" w:type="dxa"/>
          </w:tcPr>
          <w:p w14:paraId="09141C5A" w14:textId="77777777" w:rsidR="00664D41" w:rsidRPr="00481B63" w:rsidRDefault="00664D41" w:rsidP="00037B58">
            <w:pPr>
              <w:jc w:val="center"/>
              <w:rPr>
                <w:rFonts w:ascii="Garamond" w:hAnsi="Garamond"/>
                <w:sz w:val="18"/>
                <w:szCs w:val="18"/>
              </w:rPr>
            </w:pPr>
          </w:p>
        </w:tc>
      </w:tr>
      <w:tr w:rsidR="00664D41" w:rsidRPr="00481B63" w14:paraId="2C14DF2C"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34E1ED82" w14:textId="77777777" w:rsidR="00664D41" w:rsidRPr="00481B63" w:rsidRDefault="00664D41" w:rsidP="00037B58">
            <w:pPr>
              <w:rPr>
                <w:rFonts w:ascii="Garamond" w:hAnsi="Garamond"/>
                <w:b w:val="0"/>
                <w:bCs w:val="0"/>
                <w:sz w:val="18"/>
                <w:szCs w:val="18"/>
              </w:rPr>
            </w:pPr>
            <w:r>
              <w:rPr>
                <w:rFonts w:ascii="Garamond" w:hAnsi="Garamond"/>
                <w:b w:val="0"/>
                <w:bCs w:val="0"/>
                <w:sz w:val="18"/>
                <w:szCs w:val="18"/>
              </w:rPr>
              <w:t>Under-reporting factor for community infections</w:t>
            </w:r>
          </w:p>
        </w:tc>
        <w:tc>
          <w:tcPr>
            <w:tcW w:w="914" w:type="dxa"/>
          </w:tcPr>
          <w:p w14:paraId="5A617688"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Pr>
                <w:rFonts w:ascii="Garamond" w:hAnsi="Garamond"/>
                <w:sz w:val="18"/>
                <w:szCs w:val="18"/>
              </w:rPr>
              <w:t>10</w:t>
            </w:r>
          </w:p>
        </w:tc>
        <w:tc>
          <w:tcPr>
            <w:tcW w:w="1564" w:type="dxa"/>
          </w:tcPr>
          <w:p w14:paraId="680D253B"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082" w:type="dxa"/>
          </w:tcPr>
          <w:p w14:paraId="5B5A42DD"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348" w:type="dxa"/>
          </w:tcPr>
          <w:p w14:paraId="30C410D9"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roofErr w:type="spellStart"/>
            <w:r>
              <w:rPr>
                <w:rFonts w:ascii="Garamond" w:hAnsi="Garamond"/>
                <w:sz w:val="18"/>
                <w:szCs w:val="18"/>
              </w:rPr>
              <w:t>under_report</w:t>
            </w:r>
            <w:proofErr w:type="spellEnd"/>
          </w:p>
        </w:tc>
        <w:tc>
          <w:tcPr>
            <w:tcW w:w="1185" w:type="dxa"/>
          </w:tcPr>
          <w:p w14:paraId="6CC71245"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r>
      <w:tr w:rsidR="00664D41" w:rsidRPr="00481B63" w14:paraId="5E08C95F"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37C2696F"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 xml:space="preserve">Efficacy of face-coverings and social distancing </w:t>
            </w:r>
          </w:p>
        </w:tc>
        <w:tc>
          <w:tcPr>
            <w:tcW w:w="914" w:type="dxa"/>
          </w:tcPr>
          <w:p w14:paraId="3853A7FC"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0.7</w:t>
            </w:r>
          </w:p>
        </w:tc>
        <w:tc>
          <w:tcPr>
            <w:tcW w:w="1564" w:type="dxa"/>
          </w:tcPr>
          <w:p w14:paraId="7C602E28"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0.36 to 0.86</w:t>
            </w:r>
          </w:p>
        </w:tc>
        <w:tc>
          <w:tcPr>
            <w:tcW w:w="1082" w:type="dxa"/>
          </w:tcPr>
          <w:p w14:paraId="10D7BCE7"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Beta</w:t>
            </w:r>
          </w:p>
        </w:tc>
        <w:tc>
          <w:tcPr>
            <w:tcW w:w="1348" w:type="dxa"/>
          </w:tcPr>
          <w:p w14:paraId="3F76B3DF"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roofErr w:type="spellStart"/>
            <w:r w:rsidRPr="00481B63">
              <w:rPr>
                <w:rFonts w:ascii="Garamond" w:hAnsi="Garamond"/>
                <w:sz w:val="18"/>
                <w:szCs w:val="18"/>
              </w:rPr>
              <w:t>eff_npi</w:t>
            </w:r>
            <w:proofErr w:type="spellEnd"/>
          </w:p>
        </w:tc>
        <w:tc>
          <w:tcPr>
            <w:tcW w:w="1185" w:type="dxa"/>
          </w:tcPr>
          <w:p w14:paraId="47DF5691"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r>
      <w:tr w:rsidR="00664D41" w:rsidRPr="00481B63" w14:paraId="6A27C5B0"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12223368" w14:textId="77777777" w:rsidR="00664D41" w:rsidRPr="00481B63" w:rsidRDefault="00664D41" w:rsidP="00037B58">
            <w:pPr>
              <w:rPr>
                <w:rFonts w:ascii="Garamond" w:hAnsi="Garamond"/>
                <w:b w:val="0"/>
                <w:bCs w:val="0"/>
                <w:sz w:val="18"/>
                <w:szCs w:val="18"/>
              </w:rPr>
            </w:pPr>
            <w:r w:rsidRPr="00481B63">
              <w:rPr>
                <w:rFonts w:ascii="Garamond" w:hAnsi="Garamond"/>
                <w:sz w:val="18"/>
                <w:szCs w:val="18"/>
              </w:rPr>
              <w:t>Testing and quarantine</w:t>
            </w:r>
          </w:p>
        </w:tc>
        <w:tc>
          <w:tcPr>
            <w:tcW w:w="914" w:type="dxa"/>
          </w:tcPr>
          <w:p w14:paraId="451AD3DB"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564" w:type="dxa"/>
          </w:tcPr>
          <w:p w14:paraId="313E3F71"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082" w:type="dxa"/>
          </w:tcPr>
          <w:p w14:paraId="3C14A572"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348" w:type="dxa"/>
          </w:tcPr>
          <w:p w14:paraId="7F1BE69E"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185" w:type="dxa"/>
          </w:tcPr>
          <w:p w14:paraId="6C6B444A"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r>
      <w:tr w:rsidR="00664D41" w:rsidRPr="00481B63" w14:paraId="382157DE"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12D7E60E"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Time from onset of infectiousness to testing (1/days)</w:t>
            </w:r>
          </w:p>
        </w:tc>
        <w:tc>
          <w:tcPr>
            <w:tcW w:w="914" w:type="dxa"/>
          </w:tcPr>
          <w:p w14:paraId="7FA156E3"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2</w:t>
            </w:r>
          </w:p>
        </w:tc>
        <w:tc>
          <w:tcPr>
            <w:tcW w:w="1564" w:type="dxa"/>
          </w:tcPr>
          <w:p w14:paraId="6B8F3E52"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7 to 1</w:t>
            </w:r>
          </w:p>
        </w:tc>
        <w:tc>
          <w:tcPr>
            <w:tcW w:w="1082" w:type="dxa"/>
          </w:tcPr>
          <w:p w14:paraId="7156B35E"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Uniform</w:t>
            </w:r>
          </w:p>
        </w:tc>
        <w:tc>
          <w:tcPr>
            <w:tcW w:w="1348" w:type="dxa"/>
          </w:tcPr>
          <w:p w14:paraId="262C066D"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185" w:type="dxa"/>
          </w:tcPr>
          <w:p w14:paraId="01FF3F05"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r>
      <w:tr w:rsidR="00664D41" w:rsidRPr="00481B63" w14:paraId="6859A996"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7234AA34"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Screening frequency (1/days)</w:t>
            </w:r>
          </w:p>
        </w:tc>
        <w:tc>
          <w:tcPr>
            <w:tcW w:w="914" w:type="dxa"/>
          </w:tcPr>
          <w:p w14:paraId="69727377"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30</w:t>
            </w:r>
          </w:p>
        </w:tc>
        <w:tc>
          <w:tcPr>
            <w:tcW w:w="1564" w:type="dxa"/>
          </w:tcPr>
          <w:p w14:paraId="66C48FB1"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120 to 1</w:t>
            </w:r>
          </w:p>
        </w:tc>
        <w:tc>
          <w:tcPr>
            <w:tcW w:w="1082" w:type="dxa"/>
          </w:tcPr>
          <w:p w14:paraId="1DC975FC"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Uniform</w:t>
            </w:r>
          </w:p>
        </w:tc>
        <w:tc>
          <w:tcPr>
            <w:tcW w:w="1348" w:type="dxa"/>
          </w:tcPr>
          <w:p w14:paraId="54C0019D"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185" w:type="dxa"/>
          </w:tcPr>
          <w:p w14:paraId="650ABF4C"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r>
      <w:tr w:rsidR="00664D41" w:rsidRPr="00481B63" w14:paraId="025EDCDE"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52CBDDAC"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Duration of quarantine (days)</w:t>
            </w:r>
          </w:p>
        </w:tc>
        <w:tc>
          <w:tcPr>
            <w:tcW w:w="914" w:type="dxa"/>
          </w:tcPr>
          <w:p w14:paraId="7203E4D3"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14</w:t>
            </w:r>
          </w:p>
        </w:tc>
        <w:tc>
          <w:tcPr>
            <w:tcW w:w="1564" w:type="dxa"/>
          </w:tcPr>
          <w:p w14:paraId="1A6E6E96"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082" w:type="dxa"/>
          </w:tcPr>
          <w:p w14:paraId="199534C1"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348" w:type="dxa"/>
          </w:tcPr>
          <w:p w14:paraId="0C1595CD"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eastAsiaTheme="minorEastAsia" w:hAnsi="Garamond"/>
                <w:sz w:val="20"/>
                <w:szCs w:val="20"/>
              </w:rPr>
              <w:t>1/δ</w:t>
            </w:r>
          </w:p>
        </w:tc>
        <w:tc>
          <w:tcPr>
            <w:tcW w:w="1185" w:type="dxa"/>
          </w:tcPr>
          <w:p w14:paraId="33208A1A"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r>
      <w:tr w:rsidR="00664D41" w:rsidRPr="00481B63" w14:paraId="7CF2E236"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0C4BE6D3" w14:textId="77777777" w:rsidR="00664D41" w:rsidRPr="00481B63" w:rsidRDefault="00664D41" w:rsidP="00037B58">
            <w:pPr>
              <w:rPr>
                <w:rFonts w:ascii="Garamond" w:hAnsi="Garamond"/>
                <w:sz w:val="18"/>
                <w:szCs w:val="18"/>
              </w:rPr>
            </w:pPr>
            <w:r w:rsidRPr="00481B63">
              <w:rPr>
                <w:rFonts w:ascii="Garamond" w:hAnsi="Garamond"/>
                <w:b w:val="0"/>
                <w:bCs w:val="0"/>
                <w:sz w:val="18"/>
                <w:szCs w:val="18"/>
              </w:rPr>
              <w:t>Number of contacts per case</w:t>
            </w:r>
          </w:p>
        </w:tc>
        <w:tc>
          <w:tcPr>
            <w:tcW w:w="914" w:type="dxa"/>
          </w:tcPr>
          <w:p w14:paraId="56E2ECA4"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14</w:t>
            </w:r>
          </w:p>
        </w:tc>
        <w:tc>
          <w:tcPr>
            <w:tcW w:w="1564" w:type="dxa"/>
          </w:tcPr>
          <w:p w14:paraId="5A9D450E"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12 to 16</w:t>
            </w:r>
          </w:p>
        </w:tc>
        <w:tc>
          <w:tcPr>
            <w:tcW w:w="1082" w:type="dxa"/>
          </w:tcPr>
          <w:p w14:paraId="5E6F13CF"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Uniform</w:t>
            </w:r>
          </w:p>
        </w:tc>
        <w:tc>
          <w:tcPr>
            <w:tcW w:w="1348" w:type="dxa"/>
          </w:tcPr>
          <w:p w14:paraId="6657D15A"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contacts</w:t>
            </w:r>
          </w:p>
        </w:tc>
        <w:tc>
          <w:tcPr>
            <w:tcW w:w="1185" w:type="dxa"/>
          </w:tcPr>
          <w:p w14:paraId="52074BC7"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fldChar w:fldCharType="begin"/>
            </w:r>
            <w:r w:rsidRPr="00481B63">
              <w:rPr>
                <w:rFonts w:ascii="Garamond" w:hAnsi="Garamond"/>
                <w:sz w:val="18"/>
                <w:szCs w:val="18"/>
              </w:rPr>
              <w:instrText xml:space="preserve"> ADDIN ZOTERO_ITEM CSL_CITATION {"citationID":"BAA4iR5Y","properties":{"formattedCitation":"(16)","plainCitation":"(16)","noteIndex":0},"citationItems":[{"id":128,"uris":["http://zotero.org/groups/2460084/items/BLLF9KKE"],"uri":["http://zotero.org/groups/2460084/items/BLLF9KKE"],"itemData":{"id":128,"type":"article-journal","abstract":"Background Mathematical modelling of infectious diseases transmitted by the respiratory or close-contact route (e.g., pandemic influenza) is increasingly being used to determine the impact of possible interventions. Although mixing patterns are known to be crucial determinants for model outcome, researchers often rely on a priori contact assumptions with little or no empirical basis. We conducted a population-based prospective survey of mixing patterns in eight European countries using a common paper-diary methodology. Methods and Findings 7,290 participants recorded characteristics of 97,904 contacts with different individuals during one day, including age, sex, location, duration, frequency, and occurrence of physical contact. We found that mixing patterns and contact characteristics were remarkably similar across different European countries. Contact patterns were highly assortative with age: schoolchildren and young adults in particular tended to mix with people of the same age. Contacts lasting at least one hour or occurring on a daily basis mostly involved physical contact, while short duration and infrequent contacts tended to be nonphysical. Contacts at home, school, or leisure were more likely to be physical than contacts at the workplace or while travelling. Preliminary modelling indicates that 5- to 19-year-olds are expected to suffer the highest incidence during the initial epidemic phase of an emerging infection transmitted through social contacts measured here when the population is completely susceptible. Conclusions To our knowledge, our study provides the first large-scale quantitative approach to contact patterns relevant for infections transmitted by the respiratory or close-contact route, and the results should lead to improved parameterisation of mathematical models used to design control strategies.","container-title":"PLOS Medicine","DOI":"10.1371/journal.pmed.0050074","ISSN":"1549-1676","issue":"3","journalAbbreviation":"PLOS Medicine","language":"en","note":"publisher: Public Library of Science","page":"e74","source":"PLoS Journals","title":"Social Contacts and Mixing Patterns Relevant to the Spread of Infectious Diseases","volume":"5","author":[{"family":"Mossong","given":"Joël"},{"family":"Hens","given":"Niel"},{"family":"Jit","given":"Mark"},{"family":"Beutels","given":"Philippe"},{"family":"Auranen","given":"Kari"},{"family":"Mikolajczyk","given":"Rafael"},{"family":"Massari","given":"Marco"},{"family":"Salmaso","given":"Stefania"},{"family":"Tomba","given":"Gianpaolo Scalia"},{"family":"Wallinga","given":"Jacco"},{"family":"Heijne","given":"Janneke"},{"family":"Sadkowska-Todys","given":"Malgorzata"},{"family":"Rosinska","given":"Magdalena"},{"family":"Edmunds","given":"W. John"}],"issued":{"date-parts":[["2008",3,25]]}}}],"schema":"https://github.com/citation-style-language/schema/raw/master/csl-citation.json"} </w:instrText>
            </w:r>
            <w:r w:rsidRPr="00481B63">
              <w:rPr>
                <w:rFonts w:ascii="Garamond" w:hAnsi="Garamond"/>
                <w:sz w:val="18"/>
                <w:szCs w:val="18"/>
              </w:rPr>
              <w:fldChar w:fldCharType="separate"/>
            </w:r>
            <w:r w:rsidRPr="00481B63">
              <w:rPr>
                <w:rFonts w:ascii="Garamond" w:hAnsi="Garamond" w:cs="Times New Roman"/>
                <w:sz w:val="18"/>
              </w:rPr>
              <w:t>(16)</w:t>
            </w:r>
            <w:r w:rsidRPr="00481B63">
              <w:rPr>
                <w:rFonts w:ascii="Garamond" w:hAnsi="Garamond"/>
                <w:sz w:val="18"/>
                <w:szCs w:val="18"/>
              </w:rPr>
              <w:fldChar w:fldCharType="end"/>
            </w:r>
          </w:p>
        </w:tc>
      </w:tr>
      <w:tr w:rsidR="00664D41" w:rsidRPr="00481B63" w14:paraId="65D04024"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0CDD386B"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Proportion of contacts reached</w:t>
            </w:r>
          </w:p>
        </w:tc>
        <w:tc>
          <w:tcPr>
            <w:tcW w:w="914" w:type="dxa"/>
          </w:tcPr>
          <w:p w14:paraId="1DCA0BA8"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0.75</w:t>
            </w:r>
          </w:p>
        </w:tc>
        <w:tc>
          <w:tcPr>
            <w:tcW w:w="1564" w:type="dxa"/>
          </w:tcPr>
          <w:p w14:paraId="6B2DFB01"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0.5 to 1</w:t>
            </w:r>
          </w:p>
        </w:tc>
        <w:tc>
          <w:tcPr>
            <w:tcW w:w="1082" w:type="dxa"/>
          </w:tcPr>
          <w:p w14:paraId="5E03406F"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Uniform</w:t>
            </w:r>
          </w:p>
        </w:tc>
        <w:tc>
          <w:tcPr>
            <w:tcW w:w="1348" w:type="dxa"/>
          </w:tcPr>
          <w:p w14:paraId="3DCBD1E5"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185" w:type="dxa"/>
          </w:tcPr>
          <w:p w14:paraId="4F40036D"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r>
      <w:tr w:rsidR="00664D41" w:rsidRPr="00481B63" w14:paraId="7203131F"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0139933A"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 xml:space="preserve">Proportion experiencing ILI symptoms per </w:t>
            </w:r>
            <w:r>
              <w:rPr>
                <w:rFonts w:ascii="Garamond" w:hAnsi="Garamond"/>
                <w:b w:val="0"/>
                <w:bCs w:val="0"/>
                <w:sz w:val="18"/>
                <w:szCs w:val="18"/>
              </w:rPr>
              <w:t>day</w:t>
            </w:r>
          </w:p>
        </w:tc>
        <w:tc>
          <w:tcPr>
            <w:tcW w:w="914" w:type="dxa"/>
          </w:tcPr>
          <w:p w14:paraId="18D1CC00"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w:t>
            </w:r>
            <w:r>
              <w:rPr>
                <w:rFonts w:ascii="Garamond" w:hAnsi="Garamond"/>
                <w:sz w:val="18"/>
                <w:szCs w:val="18"/>
              </w:rPr>
              <w:t>00333</w:t>
            </w:r>
          </w:p>
        </w:tc>
        <w:tc>
          <w:tcPr>
            <w:tcW w:w="1564" w:type="dxa"/>
          </w:tcPr>
          <w:p w14:paraId="438BCAC2"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0.0</w:t>
            </w:r>
            <w:r>
              <w:rPr>
                <w:rFonts w:ascii="Garamond" w:hAnsi="Garamond"/>
                <w:sz w:val="18"/>
                <w:szCs w:val="18"/>
              </w:rPr>
              <w:t>03</w:t>
            </w:r>
            <w:r w:rsidRPr="00481B63">
              <w:rPr>
                <w:rFonts w:ascii="Garamond" w:hAnsi="Garamond"/>
                <w:sz w:val="18"/>
                <w:szCs w:val="18"/>
              </w:rPr>
              <w:t xml:space="preserve"> to 0.</w:t>
            </w:r>
            <w:r>
              <w:rPr>
                <w:rFonts w:ascii="Garamond" w:hAnsi="Garamond"/>
                <w:sz w:val="18"/>
                <w:szCs w:val="18"/>
              </w:rPr>
              <w:t>003667</w:t>
            </w:r>
          </w:p>
        </w:tc>
        <w:tc>
          <w:tcPr>
            <w:tcW w:w="1082" w:type="dxa"/>
          </w:tcPr>
          <w:p w14:paraId="64EE40A4"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348" w:type="dxa"/>
          </w:tcPr>
          <w:p w14:paraId="2332B2BD"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185" w:type="dxa"/>
          </w:tcPr>
          <w:p w14:paraId="6AFFCA5C"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fldChar w:fldCharType="begin"/>
            </w:r>
            <w:r w:rsidRPr="00481B63">
              <w:rPr>
                <w:rFonts w:ascii="Garamond" w:hAnsi="Garamond"/>
                <w:sz w:val="18"/>
                <w:szCs w:val="18"/>
              </w:rPr>
              <w:instrText xml:space="preserve"> ADDIN ZOTERO_ITEM CSL_CITATION {"citationID":"apcc2gg02m","properties":{"formattedCitation":"(10,11)","plainCitation":"(10,11)","noteIndex":0},"citationItems":[{"id":"e0c1zYab/jiguvhs8","uris":["http://zotero.org/users/local/sg1ExR0d/items/7BD66BL3"],"uri":["http://zotero.org/users/local/sg1ExR0d/items/7BD66BL3"],"itemData":{"id":567,"type":"article-journal","abstract":"Background. Uncertainties regarding inﬂuenza disease impact and beneﬁts of vaccination may contribute to low vaccination rates among adults aged 50–64 years.\nMethods. This prospective cohort study assessed the burden of inﬂuenza-like illness (ILI) among working adults aged 50–64 years and the effectiveness of inﬂuenza vaccination in reducing the rate of ILI and productivity losses. Employees of the University of Minnesota (Minneapolis) were invited via e-mail to participate in the study during October 2006. The study data were collected using internet-based surveys at baseline (October 2006) and during the follow-up period (from November 2006 through April 2007). Months included in the 2006–2007 inﬂuenza season were identiﬁed retrospectively from Minnesota Department of Health surveillance data. Vaccine effectiveness for reducing the rate of ILI, ILI-associated health care use, the number of days of illness, work loss, and reduced on-the-job productivity during the inﬂuenza season were assessed using multivariable regression models after controlling for important confounders.\nResults. Four hundred ninety-seven persons were included in the study, 85 (17.1%) of whom experienced an ILI. Among unvaccinated participants, ILI was responsible for 45% of all days of illness during the inﬂuenza season, 39% of all illness-related work days lost, and 49% of all days with illness-related reduced on-the-job productivity. In the multivariable regression analyses, vaccination was associated with a signiﬁcant reduction in the rate of ILI (adjusted odds ratio, 0.48; 95% conﬁdence interval, 0.27–0.86) and fewer days of illness, absenteeism, and impaired on-the-job performance.\nConclusion. ILIs were common among our study participants, accounting for a large portion of illness, work loss, and impaired work performance during the inﬂuenza season. Vaccination was associated with substantial health and productivity beneﬁts. Vaccine delivery should be improved for this high-priority group.","container-title":"Clinical Infectious Diseases","DOI":"10.1086/595842","ISSN":"1058-4838, 1537-6591","issue":"3","journalAbbreviation":"CLIN INFECT DIS","language":"en",</w:instrText>
            </w:r>
            <w:r w:rsidRPr="00481B63">
              <w:rPr>
                <w:rFonts w:ascii="Garamond" w:hAnsi="Garamond" w:hint="eastAsia"/>
                <w:sz w:val="18"/>
                <w:szCs w:val="18"/>
              </w:rPr>
              <w:instrText>"page":"292-298","source":"DOI.org (Crossref)","title":"Burden of Influenza</w:instrText>
            </w:r>
            <w:r w:rsidRPr="00481B63">
              <w:rPr>
                <w:rFonts w:ascii="Garamond" w:hAnsi="Garamond" w:hint="eastAsia"/>
                <w:sz w:val="18"/>
                <w:szCs w:val="18"/>
              </w:rPr>
              <w:instrText>‐</w:instrText>
            </w:r>
            <w:r w:rsidRPr="00481B63">
              <w:rPr>
                <w:rFonts w:ascii="Garamond" w:hAnsi="Garamond" w:hint="eastAsia"/>
                <w:sz w:val="18"/>
                <w:szCs w:val="18"/>
              </w:rPr>
              <w:instrText>Like Illness and Effectiveness of Influenza Vaccination among Working Adults Aged 50</w:instrText>
            </w:r>
            <w:r w:rsidRPr="00481B63">
              <w:rPr>
                <w:rFonts w:ascii="Garamond" w:hAnsi="Garamond" w:hint="eastAsia"/>
                <w:sz w:val="18"/>
                <w:szCs w:val="18"/>
              </w:rPr>
              <w:instrText>–</w:instrText>
            </w:r>
            <w:r w:rsidRPr="00481B63">
              <w:rPr>
                <w:rFonts w:ascii="Garamond" w:hAnsi="Garamond" w:hint="eastAsia"/>
                <w:sz w:val="18"/>
                <w:szCs w:val="18"/>
              </w:rPr>
              <w:instrText>64 Years","volume":"48","author":[{"family":"Nichol","given":"Kristin L."},{"family":"D</w:instrText>
            </w:r>
            <w:r w:rsidRPr="00481B63">
              <w:rPr>
                <w:rFonts w:ascii="Garamond" w:hAnsi="Garamond" w:hint="eastAsia"/>
                <w:sz w:val="18"/>
                <w:szCs w:val="18"/>
              </w:rPr>
              <w:instrText>’</w:instrText>
            </w:r>
            <w:r w:rsidRPr="00481B63">
              <w:rPr>
                <w:rFonts w:ascii="Garamond" w:hAnsi="Garamond" w:hint="eastAsia"/>
                <w:sz w:val="18"/>
                <w:szCs w:val="18"/>
              </w:rPr>
              <w:instrText>Heilly</w:instrText>
            </w:r>
            <w:r w:rsidRPr="00481B63">
              <w:rPr>
                <w:rFonts w:ascii="Garamond" w:hAnsi="Garamond"/>
                <w:sz w:val="18"/>
                <w:szCs w:val="18"/>
              </w:rPr>
              <w:instrText xml:space="preserve">","given":"Sarah J."},{"family":"Greenberg","given":"Michael E."},{"family":"Ehlinger","given":"Edward"}],"issued":{"date-parts":[["2009",2]]}}},{"id":"e0c1zYab/WhXFSvDO","uris":["http://zotero.org/users/local/sg1ExR0d/items/IK826HVW"],"uri":["http://zotero.org/users/local/sg1ExR0d/items/IK826HVW"],"itemData":{"id":565,"type":"article-journal","abstract":"Background. In late April 2009, the ﬁrst documented 2009 pandemic inﬂuenza A (pH1N1) virus infection outbreak in a university setting occurred in Delaware, with large numbers of students presenting with respiratory illness. At the time of this investigation, little was known about the severity of illness, effectiveness of the vaccine, or transmission factors of pH1N1 virus infection. We characterized illness, determined the impact of this outbreak, and examined factors associated with transmission.\nMethods. Health clinic records were reviewed. An online survey was administered to all students, staff, and faculty to assess inﬂuenza-like illness (ILI), deﬁned as documented or subjective fever with cough or sore throat.\nResults. From 26 April–2 May 2009, the health clinic experienced a sharp increase in visits for respiratory illness, with 1080 such visits among a total of 1430 student visits, and then a return to baseline visit levels within 2 weeks. More than 500 courses of oseltamivir were distributed, and 24 cases of inﬂuenza A (pH1N1) virus infection were conﬁrmed. Of 29,000 university students and faculty/staff, 7450 (30%) responded to the survey. ILI was reported by 604 (10%) of the students and 73 (5%) of the faculty/staff. Travel to Mexico (relative risk [RR], 2.9; 95% conﬁdence interval [CI], 1.8–4.7) and participation in “Greek Week” activities (RR, 2.2; 95% CI, 1.8–2.8) were associated with ILI. Recipients of the 2008–2009 seasonal inﬂuenza vaccine had the same risk of ILI as nonrecipients (RR, 1.0). Four (3%) of the students with ILI were hospitalized; there were no deaths.\nConclusions. pH1N1 spread rapidly through the University of Delaware community with a surge in illness over a 2-week period. Although initial cases appear to be associated with travel to Mexico, a rapid increase in cases was likely facilitated by increased student interactions during Greek Week. No protective effect from receiving seasonal inﬂuenza vaccine was identiﬁed. Although severe illness was rare, the outbreak caused a substantial burden and challenge to the university health care system. Preparedness efforts in universities and similar settings should include enhancing health care surge capacity.","container-title":"Clinical Infectious Diseases","DOI":"10.1086/649555","ISSN":"1058-4838, 1537-6591","issue":"12","journalAbbreviation":"CLIN INFECT DIS","language":"en","page":"1811-1820","source":"DOI.org (Crossref)","title":"Notes from the Field: Outbreak of 2009 Pandemic Influenza A (H1N1) Virus at a Large Public University in Delaware, April–May 2009","title-short":"Notes from the Field","volume":"49","author":[{"family":"Iuliano","given":"A. Danielle"},{"family":"Reed","given":"Carrie"},{"family":"Guh","given":"Alice"},{"family":"Desai","given":"Mitesh"},{"family":"Dee","given":"D. L."},{"family":"Kutty","given":"Preeta"},{"family":"Gould","given":"L. Hannah"},{"family":"Sotir","given":"Mark"},{"family":"Grant","given":"Gavin"},{"family":"Lynch","given":"Michael"},{"family":"Mitchell","given":"Tarissa"},{"family":"Getchell","given":"Jane"},{"family":"Shu","given":"Bo"},{"family":"Villanueva","given":"J."},{"family":"Lindstrom","given":"Stephen"},{"family":"Massoudi","given":"Mehran S."},{"family":"Siebold","given":"Joseph"},{"family":"Silverman","given":"Paul R."},{"family":"Armstrong","given":"Gregory"},{"family":"Swerdlow","given":"David L."}],"issued":{"date-parts":[["2009",12,15]]}}}],"schema":"https://github.com/citation-style-language/schema/raw/master/csl-citation.json"} </w:instrText>
            </w:r>
            <w:r w:rsidRPr="00481B63">
              <w:rPr>
                <w:rFonts w:ascii="Garamond" w:hAnsi="Garamond"/>
                <w:sz w:val="18"/>
                <w:szCs w:val="18"/>
              </w:rPr>
              <w:fldChar w:fldCharType="separate"/>
            </w:r>
            <w:r w:rsidRPr="00481B63">
              <w:rPr>
                <w:rFonts w:ascii="Garamond" w:hAnsi="Garamond" w:cs="Times New Roman"/>
                <w:sz w:val="18"/>
              </w:rPr>
              <w:t>(10,11)</w:t>
            </w:r>
            <w:r w:rsidRPr="00481B63">
              <w:rPr>
                <w:rFonts w:ascii="Garamond" w:hAnsi="Garamond"/>
                <w:sz w:val="18"/>
                <w:szCs w:val="18"/>
              </w:rPr>
              <w:fldChar w:fldCharType="end"/>
            </w:r>
          </w:p>
        </w:tc>
      </w:tr>
      <w:tr w:rsidR="00664D41" w:rsidRPr="00481B63" w14:paraId="4B1B5676"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7B017515"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PCR sensitivity -- day 2 of infectiousness</w:t>
            </w:r>
          </w:p>
        </w:tc>
        <w:tc>
          <w:tcPr>
            <w:tcW w:w="914" w:type="dxa"/>
          </w:tcPr>
          <w:p w14:paraId="01F5AB55"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0.75</w:t>
            </w:r>
          </w:p>
        </w:tc>
        <w:tc>
          <w:tcPr>
            <w:tcW w:w="1564" w:type="dxa"/>
          </w:tcPr>
          <w:p w14:paraId="48BA835E"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0.6 to 0.83</w:t>
            </w:r>
          </w:p>
        </w:tc>
        <w:tc>
          <w:tcPr>
            <w:tcW w:w="1082" w:type="dxa"/>
          </w:tcPr>
          <w:p w14:paraId="364E7C6D"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Beta</w:t>
            </w:r>
          </w:p>
        </w:tc>
        <w:tc>
          <w:tcPr>
            <w:tcW w:w="1348" w:type="dxa"/>
          </w:tcPr>
          <w:p w14:paraId="7C0832D1"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m:oMathPara>
              <m:oMath>
                <m:sSub>
                  <m:sSubPr>
                    <m:ctrlPr>
                      <w:rPr>
                        <w:rFonts w:ascii="Cambria Math" w:hAnsi="Cambria Math"/>
                        <w:i/>
                        <w:sz w:val="20"/>
                        <w:szCs w:val="20"/>
                      </w:rPr>
                    </m:ctrlPr>
                  </m:sSubPr>
                  <m:e>
                    <m:r>
                      <w:rPr>
                        <w:rFonts w:ascii="Cambria Math" w:hAnsi="Cambria Math"/>
                        <w:sz w:val="20"/>
                        <w:szCs w:val="20"/>
                      </w:rPr>
                      <m:t>sen</m:t>
                    </m:r>
                  </m:e>
                  <m:sub>
                    <m:r>
                      <w:rPr>
                        <w:rFonts w:ascii="Cambria Math" w:hAnsi="Cambria Math"/>
                        <w:sz w:val="20"/>
                        <w:szCs w:val="20"/>
                      </w:rPr>
                      <m:t>2</m:t>
                    </m:r>
                  </m:sub>
                </m:sSub>
              </m:oMath>
            </m:oMathPara>
          </w:p>
        </w:tc>
        <w:tc>
          <w:tcPr>
            <w:tcW w:w="1185" w:type="dxa"/>
          </w:tcPr>
          <w:p w14:paraId="6192783B"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fldChar w:fldCharType="begin"/>
            </w:r>
            <w:r w:rsidRPr="00481B63">
              <w:rPr>
                <w:rFonts w:ascii="Garamond" w:hAnsi="Garamond"/>
                <w:sz w:val="18"/>
                <w:szCs w:val="18"/>
              </w:rPr>
              <w:instrText xml:space="preserve"> ADDIN ZOTERO_ITEM CSL_CITATION {"citationID":"8pEQymQT","properties":{"formattedCitation":"(12)","plainCitation":"(12)","noteIndex":0},"citationItems":[{"id":250,"uris":["http://zotero.org/users/3645254/items/ASWKZ3JJ"],"uri":["http://zotero.org/users/3645254/items/ASWKZ3JJ"],"itemData":{"id":250,"type":"article-journal","container-title":"Annals of Internal Medicine","DOI":"10.7326/M20-1495","ISSN":"0003-4819","journalAbbreviation":"Annals of Internal Medicine","note":"publisher: American College of Physicians","source":"acpjournals.org (Atypon)","title":"Variation in False-Negative Rate of Reverse Transcriptase Polymerase Chain Reaction–Based SARS-CoV-2 Tests by Time Since Exposure","URL":"https://www.acpjournals.org/doi/10.7326/M20-1495","author":[{"family":"Kucirka","given":"Lauren M."},{"family":"Lauer","given":"Stephen A."},{"family":"Laeyendecker","given":"Oliver"},{"family":"Boon","given":"Denali"},{"family":"Lessler","given":"Justin"}],"accessed":{"date-parts":[["2020",6,5]]},"issued":{"date-parts":[["2020",5,13]]}}}],"schema":"https://github.com/citation-style-language/schema/raw/master/csl-citation.json"} </w:instrText>
            </w:r>
            <w:r w:rsidRPr="00481B63">
              <w:rPr>
                <w:rFonts w:ascii="Garamond" w:hAnsi="Garamond"/>
                <w:sz w:val="18"/>
                <w:szCs w:val="18"/>
              </w:rPr>
              <w:fldChar w:fldCharType="separate"/>
            </w:r>
            <w:r w:rsidRPr="00481B63">
              <w:rPr>
                <w:rFonts w:ascii="Garamond" w:hAnsi="Garamond" w:cs="Times New Roman"/>
                <w:sz w:val="18"/>
              </w:rPr>
              <w:t>(12)</w:t>
            </w:r>
            <w:r w:rsidRPr="00481B63">
              <w:rPr>
                <w:rFonts w:ascii="Garamond" w:hAnsi="Garamond"/>
                <w:sz w:val="18"/>
                <w:szCs w:val="18"/>
              </w:rPr>
              <w:fldChar w:fldCharType="end"/>
            </w:r>
          </w:p>
        </w:tc>
      </w:tr>
      <w:tr w:rsidR="00664D41" w:rsidRPr="00481B63" w14:paraId="693183FB"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72D0BD56"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PCR sensitivity -- day 4 of infectiousness</w:t>
            </w:r>
          </w:p>
        </w:tc>
        <w:tc>
          <w:tcPr>
            <w:tcW w:w="914" w:type="dxa"/>
          </w:tcPr>
          <w:p w14:paraId="4CFC8F97"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0.8</w:t>
            </w:r>
          </w:p>
        </w:tc>
        <w:tc>
          <w:tcPr>
            <w:tcW w:w="1564" w:type="dxa"/>
          </w:tcPr>
          <w:p w14:paraId="101D7DBB"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0.7 to 0.85</w:t>
            </w:r>
          </w:p>
        </w:tc>
        <w:tc>
          <w:tcPr>
            <w:tcW w:w="1082" w:type="dxa"/>
          </w:tcPr>
          <w:p w14:paraId="566D3BA9"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Beta</w:t>
            </w:r>
          </w:p>
        </w:tc>
        <w:tc>
          <w:tcPr>
            <w:tcW w:w="1348" w:type="dxa"/>
          </w:tcPr>
          <w:p w14:paraId="37969C3C"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m:oMathPara>
              <m:oMath>
                <m:sSub>
                  <m:sSubPr>
                    <m:ctrlPr>
                      <w:rPr>
                        <w:rFonts w:ascii="Cambria Math" w:hAnsi="Cambria Math"/>
                        <w:i/>
                        <w:sz w:val="20"/>
                        <w:szCs w:val="20"/>
                      </w:rPr>
                    </m:ctrlPr>
                  </m:sSubPr>
                  <m:e>
                    <m:r>
                      <w:rPr>
                        <w:rFonts w:ascii="Cambria Math" w:hAnsi="Cambria Math"/>
                        <w:sz w:val="20"/>
                        <w:szCs w:val="20"/>
                      </w:rPr>
                      <m:t>sen</m:t>
                    </m:r>
                  </m:e>
                  <m:sub>
                    <m:r>
                      <w:rPr>
                        <w:rFonts w:ascii="Cambria Math" w:hAnsi="Cambria Math"/>
                        <w:sz w:val="20"/>
                        <w:szCs w:val="20"/>
                      </w:rPr>
                      <m:t>4</m:t>
                    </m:r>
                  </m:sub>
                </m:sSub>
              </m:oMath>
            </m:oMathPara>
          </w:p>
        </w:tc>
        <w:tc>
          <w:tcPr>
            <w:tcW w:w="1185" w:type="dxa"/>
          </w:tcPr>
          <w:p w14:paraId="27F47B78"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fldChar w:fldCharType="begin"/>
            </w:r>
            <w:r w:rsidRPr="00481B63">
              <w:rPr>
                <w:rFonts w:ascii="Garamond" w:hAnsi="Garamond"/>
                <w:sz w:val="18"/>
                <w:szCs w:val="18"/>
              </w:rPr>
              <w:instrText xml:space="preserve"> ADDIN ZOTERO_ITEM CSL_CITATION {"citationID":"fgsfAooE","properties":{"formattedCitation":"(12)","plainCitation":"(12)","noteIndex":0},"citationItems":[{"id":250,"uris":["http://zotero.org/users/3645254/items/ASWKZ3JJ"],"uri":["http://zotero.org/users/3645254/items/ASWKZ3JJ"],"itemData":{"id":250,"type":"article-journal","container-title":"Annals of Internal Medicine","DOI":"10.7326/M20-1495","ISSN":"0003-4819","journalAbbreviation":"Annals of Internal Medicine","note":"publisher: American College of Physicians","source":"acpjournals.org (Atypon)","title":"Variation in False-Negative Rate of Reverse Transcriptase Polymerase Chain Reaction–Based SARS-CoV-2 Tests by Time Since Exposure","URL":"https://www.acpjournals.org/doi/10.7326/M20-1495","author":[{"family":"Kucirka","given":"Lauren M."},{"family":"Lauer","given":"Stephen A."},{"family":"Laeyendecker","given":"Oliver"},{"family":"Boon","given":"Denali"},{"family":"Lessler","given":"Justin"}],"accessed":{"date-parts":[["2020",6,5]]},"issued":{"date-parts":[["2020",5,13]]}}}],"schema":"https://github.com/citation-style-language/schema/raw/master/csl-citation.json"} </w:instrText>
            </w:r>
            <w:r w:rsidRPr="00481B63">
              <w:rPr>
                <w:rFonts w:ascii="Garamond" w:hAnsi="Garamond"/>
                <w:sz w:val="18"/>
                <w:szCs w:val="18"/>
              </w:rPr>
              <w:fldChar w:fldCharType="separate"/>
            </w:r>
            <w:r w:rsidRPr="00481B63">
              <w:rPr>
                <w:rFonts w:ascii="Garamond" w:hAnsi="Garamond" w:cs="Times New Roman"/>
                <w:sz w:val="18"/>
              </w:rPr>
              <w:t>(12)</w:t>
            </w:r>
            <w:r w:rsidRPr="00481B63">
              <w:rPr>
                <w:rFonts w:ascii="Garamond" w:hAnsi="Garamond"/>
                <w:sz w:val="18"/>
                <w:szCs w:val="18"/>
              </w:rPr>
              <w:fldChar w:fldCharType="end"/>
            </w:r>
          </w:p>
        </w:tc>
      </w:tr>
      <w:tr w:rsidR="00664D41" w:rsidRPr="00481B63" w14:paraId="7F003DF8" w14:textId="77777777" w:rsidTr="00664D41">
        <w:trPr>
          <w:jc w:val="center"/>
        </w:trPr>
        <w:tc>
          <w:tcPr>
            <w:cnfStyle w:val="001000000000" w:firstRow="0" w:lastRow="0" w:firstColumn="1" w:lastColumn="0" w:oddVBand="0" w:evenVBand="0" w:oddHBand="0" w:evenHBand="0" w:firstRowFirstColumn="0" w:firstRowLastColumn="0" w:lastRowFirstColumn="0" w:lastRowLastColumn="0"/>
            <w:tcW w:w="4627" w:type="dxa"/>
          </w:tcPr>
          <w:p w14:paraId="2BA128C6" w14:textId="77777777" w:rsidR="00664D41" w:rsidRPr="00481B63" w:rsidRDefault="00664D41" w:rsidP="00037B58">
            <w:pPr>
              <w:rPr>
                <w:rFonts w:ascii="Garamond" w:hAnsi="Garamond"/>
                <w:b w:val="0"/>
                <w:bCs w:val="0"/>
                <w:sz w:val="18"/>
                <w:szCs w:val="18"/>
              </w:rPr>
            </w:pPr>
            <w:r w:rsidRPr="00481B63">
              <w:rPr>
                <w:rFonts w:ascii="Garamond" w:hAnsi="Garamond"/>
                <w:b w:val="0"/>
                <w:bCs w:val="0"/>
                <w:sz w:val="18"/>
                <w:szCs w:val="18"/>
              </w:rPr>
              <w:t>PCR sensitivity -- day 7 of infectiousness</w:t>
            </w:r>
          </w:p>
        </w:tc>
        <w:tc>
          <w:tcPr>
            <w:tcW w:w="914" w:type="dxa"/>
          </w:tcPr>
          <w:p w14:paraId="60A5FFAE"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0.75</w:t>
            </w:r>
          </w:p>
        </w:tc>
        <w:tc>
          <w:tcPr>
            <w:tcW w:w="1564" w:type="dxa"/>
          </w:tcPr>
          <w:p w14:paraId="5B4EA88D"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0.65 to 0.8</w:t>
            </w:r>
          </w:p>
        </w:tc>
        <w:tc>
          <w:tcPr>
            <w:tcW w:w="1082" w:type="dxa"/>
          </w:tcPr>
          <w:p w14:paraId="73A50A1A"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t>Beta</w:t>
            </w:r>
          </w:p>
        </w:tc>
        <w:tc>
          <w:tcPr>
            <w:tcW w:w="1348" w:type="dxa"/>
          </w:tcPr>
          <w:p w14:paraId="1D818255"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m:oMathPara>
              <m:oMath>
                <m:sSub>
                  <m:sSubPr>
                    <m:ctrlPr>
                      <w:rPr>
                        <w:rFonts w:ascii="Cambria Math" w:hAnsi="Cambria Math"/>
                        <w:i/>
                        <w:sz w:val="20"/>
                        <w:szCs w:val="20"/>
                      </w:rPr>
                    </m:ctrlPr>
                  </m:sSubPr>
                  <m:e>
                    <m:r>
                      <w:rPr>
                        <w:rFonts w:ascii="Cambria Math" w:hAnsi="Cambria Math"/>
                        <w:sz w:val="20"/>
                        <w:szCs w:val="20"/>
                      </w:rPr>
                      <m:t>sen</m:t>
                    </m:r>
                  </m:e>
                  <m:sub>
                    <m:r>
                      <w:rPr>
                        <w:rFonts w:ascii="Cambria Math" w:hAnsi="Cambria Math"/>
                        <w:sz w:val="20"/>
                        <w:szCs w:val="20"/>
                      </w:rPr>
                      <m:t>7</m:t>
                    </m:r>
                  </m:sub>
                </m:sSub>
              </m:oMath>
            </m:oMathPara>
          </w:p>
        </w:tc>
        <w:tc>
          <w:tcPr>
            <w:tcW w:w="1185" w:type="dxa"/>
          </w:tcPr>
          <w:p w14:paraId="0C71A62A" w14:textId="77777777" w:rsidR="00664D41" w:rsidRPr="00481B63" w:rsidRDefault="00664D41"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481B63">
              <w:rPr>
                <w:rFonts w:ascii="Garamond" w:hAnsi="Garamond"/>
                <w:sz w:val="18"/>
                <w:szCs w:val="18"/>
              </w:rPr>
              <w:fldChar w:fldCharType="begin"/>
            </w:r>
            <w:r w:rsidRPr="00481B63">
              <w:rPr>
                <w:rFonts w:ascii="Garamond" w:hAnsi="Garamond"/>
                <w:sz w:val="18"/>
                <w:szCs w:val="18"/>
              </w:rPr>
              <w:instrText xml:space="preserve"> ADDIN ZOTERO_ITEM CSL_CITATION {"citationID":"RCyHeXNy","properties":{"formattedCitation":"(12)","plainCitation":"(12)","noteIndex":0},"citationItems":[{"id":250,"uris":["http://zotero.org/users/3645254/items/ASWKZ3JJ"],"uri":["http://zotero.org/users/3645254/items/ASWKZ3JJ"],"itemData":{"id":250,"type":"article-journal","container-title":"Annals of Internal Medicine","DOI":"10.7326/M20-1495","ISSN":"0003-4819","journalAbbreviation":"Annals of Internal Medicine","note":"publisher: American College of Physicians","source":"acpjournals.org (Atypon)","title":"Variation in False-Negative Rate of Reverse Transcriptase Polymerase Chain Reaction–Based SARS-CoV-2 Tests by Time Since Exposure","URL":"https://www.acpjournals.org/doi/10.7326/M20-1495","author":[{"family":"Kucirka","given":"Lauren M."},{"family":"Lauer","given":"Stephen A."},{"family":"Laeyendecker","given":"Oliver"},{"family":"Boon","given":"Denali"},{"family":"Lessler","given":"Justin"}],"accessed":{"date-parts":[["2020",6,5]]},"issued":{"date-parts":[["2020",5,13]]}}}],"schema":"https://github.com/citation-style-language/schema/raw/master/csl-citation.json"} </w:instrText>
            </w:r>
            <w:r w:rsidRPr="00481B63">
              <w:rPr>
                <w:rFonts w:ascii="Garamond" w:hAnsi="Garamond"/>
                <w:sz w:val="18"/>
                <w:szCs w:val="18"/>
              </w:rPr>
              <w:fldChar w:fldCharType="separate"/>
            </w:r>
            <w:r w:rsidRPr="00481B63">
              <w:rPr>
                <w:rFonts w:ascii="Garamond" w:hAnsi="Garamond" w:cs="Times New Roman"/>
                <w:sz w:val="18"/>
              </w:rPr>
              <w:t>(12)</w:t>
            </w:r>
            <w:r w:rsidRPr="00481B63">
              <w:rPr>
                <w:rFonts w:ascii="Garamond" w:hAnsi="Garamond"/>
                <w:sz w:val="18"/>
                <w:szCs w:val="18"/>
              </w:rPr>
              <w:fldChar w:fldCharType="end"/>
            </w:r>
          </w:p>
        </w:tc>
      </w:tr>
    </w:tbl>
    <w:p w14:paraId="47565372" w14:textId="77777777" w:rsidR="00664D41" w:rsidRPr="00481B63" w:rsidRDefault="00664D41" w:rsidP="00664D41">
      <w:pPr>
        <w:rPr>
          <w:rFonts w:ascii="Garamond" w:hAnsi="Garamond"/>
          <w:b/>
          <w:bCs/>
          <w:sz w:val="22"/>
          <w:szCs w:val="22"/>
        </w:rPr>
      </w:pPr>
    </w:p>
    <w:p w14:paraId="55CC1C19" w14:textId="461622B5" w:rsidR="00961C8E" w:rsidRDefault="007B26B8"/>
    <w:p w14:paraId="5A3E4E59" w14:textId="235088F2" w:rsidR="007B26B8" w:rsidRDefault="007B26B8"/>
    <w:p w14:paraId="63A272DF" w14:textId="6A1DAF5F" w:rsidR="007B26B8" w:rsidRDefault="007B26B8"/>
    <w:p w14:paraId="0FDDD1F7" w14:textId="4BCCAD46" w:rsidR="007B26B8" w:rsidRDefault="007B26B8"/>
    <w:p w14:paraId="06202748" w14:textId="1A8FA843" w:rsidR="007B26B8" w:rsidRDefault="007B26B8"/>
    <w:p w14:paraId="1436C12C" w14:textId="139D7C9E" w:rsidR="007B26B8" w:rsidRDefault="007B26B8"/>
    <w:p w14:paraId="1BC285C1" w14:textId="1091F41D" w:rsidR="007B26B8" w:rsidRDefault="007B26B8"/>
    <w:p w14:paraId="4A4EBC73" w14:textId="49A05F4B" w:rsidR="007B26B8" w:rsidRDefault="007B26B8"/>
    <w:p w14:paraId="2874A015" w14:textId="1D2E0552" w:rsidR="007B26B8" w:rsidRDefault="007B26B8"/>
    <w:p w14:paraId="098EDD67" w14:textId="48D07E40" w:rsidR="007B26B8" w:rsidRDefault="007B26B8"/>
    <w:p w14:paraId="0188422F" w14:textId="635FABE3" w:rsidR="007B26B8" w:rsidRDefault="007B26B8"/>
    <w:p w14:paraId="685200C0" w14:textId="2CF3B086" w:rsidR="007B26B8" w:rsidRDefault="007B26B8"/>
    <w:p w14:paraId="1BC7D84D" w14:textId="5CC1D0B9" w:rsidR="007B26B8" w:rsidRDefault="007B26B8"/>
    <w:p w14:paraId="12711F61" w14:textId="18CD7B5F" w:rsidR="007B26B8" w:rsidRDefault="007B26B8"/>
    <w:p w14:paraId="1E02A8A8" w14:textId="670CF0E6" w:rsidR="007B26B8" w:rsidRDefault="007B26B8"/>
    <w:p w14:paraId="76828669" w14:textId="086B68B4" w:rsidR="007B26B8" w:rsidRDefault="007B26B8"/>
    <w:p w14:paraId="1B003E40" w14:textId="77777777" w:rsidR="007B26B8" w:rsidRDefault="007B26B8" w:rsidP="007B26B8">
      <w:pPr>
        <w:rPr>
          <w:rFonts w:ascii="Garamond" w:hAnsi="Garamond"/>
          <w:b/>
          <w:bCs/>
          <w:sz w:val="22"/>
          <w:szCs w:val="22"/>
        </w:rPr>
      </w:pPr>
    </w:p>
    <w:p w14:paraId="18E59A71" w14:textId="77777777" w:rsidR="007B26B8" w:rsidRPr="00481B63" w:rsidRDefault="007B26B8" w:rsidP="007B26B8">
      <w:pPr>
        <w:rPr>
          <w:rFonts w:ascii="Garamond" w:hAnsi="Garamond"/>
          <w:sz w:val="22"/>
          <w:szCs w:val="22"/>
        </w:rPr>
      </w:pPr>
      <w:r w:rsidRPr="00481B63">
        <w:rPr>
          <w:rFonts w:ascii="Garamond" w:hAnsi="Garamond"/>
          <w:b/>
          <w:bCs/>
          <w:sz w:val="22"/>
          <w:szCs w:val="22"/>
        </w:rPr>
        <w:lastRenderedPageBreak/>
        <w:t xml:space="preserve">Table 2. </w:t>
      </w:r>
      <w:r w:rsidRPr="00481B63">
        <w:rPr>
          <w:rFonts w:ascii="Garamond" w:hAnsi="Garamond"/>
          <w:sz w:val="22"/>
          <w:szCs w:val="22"/>
        </w:rPr>
        <w:t>Cumulative outcomes at end of the semester on medium size university campus (approx.  15,000 students and 15,000 staff and faculty). Values are medians and 2.5 and 97.5</w:t>
      </w:r>
      <w:r w:rsidRPr="00481B63">
        <w:rPr>
          <w:rFonts w:ascii="Garamond" w:hAnsi="Garamond"/>
          <w:sz w:val="22"/>
          <w:szCs w:val="22"/>
          <w:vertAlign w:val="superscript"/>
        </w:rPr>
        <w:t>th</w:t>
      </w:r>
      <w:r w:rsidRPr="00481B63">
        <w:rPr>
          <w:rFonts w:ascii="Garamond" w:hAnsi="Garamond"/>
          <w:sz w:val="22"/>
          <w:szCs w:val="22"/>
        </w:rPr>
        <w:t xml:space="preserve"> percentiles of 1,000 model runs.  </w:t>
      </w:r>
    </w:p>
    <w:p w14:paraId="3B62A65C" w14:textId="77777777" w:rsidR="007B26B8" w:rsidRPr="00481B63" w:rsidRDefault="007B26B8" w:rsidP="007B26B8">
      <w:pPr>
        <w:rPr>
          <w:rFonts w:ascii="Garamond" w:hAnsi="Garamond"/>
          <w:b/>
          <w:bCs/>
          <w:sz w:val="22"/>
          <w:szCs w:val="22"/>
        </w:rPr>
      </w:pPr>
    </w:p>
    <w:tbl>
      <w:tblPr>
        <w:tblStyle w:val="ListTable3"/>
        <w:tblW w:w="9664" w:type="dxa"/>
        <w:tblLook w:val="04A0" w:firstRow="1" w:lastRow="0" w:firstColumn="1" w:lastColumn="0" w:noHBand="0" w:noVBand="1"/>
      </w:tblPr>
      <w:tblGrid>
        <w:gridCol w:w="1793"/>
        <w:gridCol w:w="1591"/>
        <w:gridCol w:w="1895"/>
        <w:gridCol w:w="2065"/>
        <w:gridCol w:w="2320"/>
      </w:tblGrid>
      <w:tr w:rsidR="007B26B8" w:rsidRPr="00481B63" w14:paraId="3C8EDE31" w14:textId="77777777" w:rsidTr="00037B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3" w:type="dxa"/>
          </w:tcPr>
          <w:p w14:paraId="5294F1EF" w14:textId="77777777" w:rsidR="007B26B8" w:rsidRPr="00481B63" w:rsidRDefault="007B26B8" w:rsidP="00037B58">
            <w:pPr>
              <w:rPr>
                <w:rFonts w:ascii="Garamond" w:hAnsi="Garamond"/>
                <w:b w:val="0"/>
                <w:bCs w:val="0"/>
                <w:sz w:val="18"/>
                <w:szCs w:val="18"/>
              </w:rPr>
            </w:pPr>
          </w:p>
        </w:tc>
        <w:tc>
          <w:tcPr>
            <w:tcW w:w="1591" w:type="dxa"/>
          </w:tcPr>
          <w:p w14:paraId="371247D9" w14:textId="77777777" w:rsidR="007B26B8" w:rsidRPr="00481B63" w:rsidRDefault="007B26B8" w:rsidP="00037B58">
            <w:pPr>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18"/>
                <w:szCs w:val="18"/>
              </w:rPr>
            </w:pPr>
            <w:r w:rsidRPr="00481B63">
              <w:rPr>
                <w:rFonts w:ascii="Garamond" w:hAnsi="Garamond"/>
                <w:sz w:val="18"/>
                <w:szCs w:val="18"/>
              </w:rPr>
              <w:t>Base scenario</w:t>
            </w:r>
          </w:p>
        </w:tc>
        <w:tc>
          <w:tcPr>
            <w:tcW w:w="1895" w:type="dxa"/>
          </w:tcPr>
          <w:p w14:paraId="535B2A7F" w14:textId="77777777" w:rsidR="007B26B8" w:rsidRPr="00481B63" w:rsidRDefault="007B26B8" w:rsidP="00037B58">
            <w:pPr>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18"/>
                <w:szCs w:val="18"/>
              </w:rPr>
            </w:pPr>
            <w:r w:rsidRPr="00481B63">
              <w:rPr>
                <w:rFonts w:ascii="Garamond" w:hAnsi="Garamond"/>
                <w:sz w:val="18"/>
                <w:szCs w:val="18"/>
              </w:rPr>
              <w:t>4-day test delay</w:t>
            </w:r>
          </w:p>
        </w:tc>
        <w:tc>
          <w:tcPr>
            <w:tcW w:w="2065" w:type="dxa"/>
          </w:tcPr>
          <w:p w14:paraId="6B7A1BBB" w14:textId="77777777" w:rsidR="007B26B8" w:rsidRPr="00481B63" w:rsidRDefault="007B26B8" w:rsidP="00037B58">
            <w:pPr>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18"/>
                <w:szCs w:val="18"/>
              </w:rPr>
            </w:pPr>
            <w:r w:rsidRPr="00481B63">
              <w:rPr>
                <w:rFonts w:ascii="Garamond" w:hAnsi="Garamond"/>
                <w:sz w:val="18"/>
                <w:szCs w:val="18"/>
              </w:rPr>
              <w:t>30-day screen interval</w:t>
            </w:r>
          </w:p>
        </w:tc>
        <w:tc>
          <w:tcPr>
            <w:tcW w:w="2320" w:type="dxa"/>
          </w:tcPr>
          <w:p w14:paraId="4686CDB8" w14:textId="77777777" w:rsidR="007B26B8" w:rsidRPr="00481B63" w:rsidRDefault="007B26B8" w:rsidP="00037B58">
            <w:pPr>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18"/>
                <w:szCs w:val="18"/>
              </w:rPr>
            </w:pPr>
            <w:r w:rsidRPr="00481B63">
              <w:rPr>
                <w:rFonts w:ascii="Garamond" w:hAnsi="Garamond"/>
                <w:sz w:val="18"/>
                <w:szCs w:val="18"/>
              </w:rPr>
              <w:t>Combined test and screen</w:t>
            </w:r>
          </w:p>
        </w:tc>
      </w:tr>
      <w:tr w:rsidR="007B26B8" w:rsidRPr="00481B63" w14:paraId="6435970A" w14:textId="77777777" w:rsidTr="0003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4FEEC92E" w14:textId="77777777" w:rsidR="007B26B8" w:rsidRPr="00481B63" w:rsidRDefault="007B26B8" w:rsidP="00037B58">
            <w:pPr>
              <w:rPr>
                <w:rFonts w:ascii="Garamond" w:hAnsi="Garamond"/>
                <w:sz w:val="18"/>
                <w:szCs w:val="18"/>
              </w:rPr>
            </w:pPr>
            <w:r w:rsidRPr="00481B63">
              <w:rPr>
                <w:rFonts w:ascii="Garamond" w:hAnsi="Garamond"/>
                <w:sz w:val="18"/>
                <w:szCs w:val="18"/>
              </w:rPr>
              <w:t>Students</w:t>
            </w:r>
          </w:p>
        </w:tc>
        <w:tc>
          <w:tcPr>
            <w:tcW w:w="1591" w:type="dxa"/>
          </w:tcPr>
          <w:p w14:paraId="16A8B936" w14:textId="77777777" w:rsidR="007B26B8" w:rsidRPr="00481B63" w:rsidRDefault="007B26B8" w:rsidP="00037B58">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p>
        </w:tc>
        <w:tc>
          <w:tcPr>
            <w:tcW w:w="1895" w:type="dxa"/>
          </w:tcPr>
          <w:p w14:paraId="61D61BBD" w14:textId="77777777" w:rsidR="007B26B8" w:rsidRPr="00481B63" w:rsidRDefault="007B26B8" w:rsidP="00037B58">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p>
        </w:tc>
        <w:tc>
          <w:tcPr>
            <w:tcW w:w="2065" w:type="dxa"/>
          </w:tcPr>
          <w:p w14:paraId="6DF31AAB" w14:textId="77777777" w:rsidR="007B26B8" w:rsidRPr="00481B63" w:rsidRDefault="007B26B8" w:rsidP="00037B58">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p>
        </w:tc>
        <w:tc>
          <w:tcPr>
            <w:tcW w:w="2320" w:type="dxa"/>
          </w:tcPr>
          <w:p w14:paraId="2252F960" w14:textId="77777777" w:rsidR="007B26B8" w:rsidRPr="00481B63" w:rsidRDefault="007B26B8" w:rsidP="00037B58">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p>
        </w:tc>
      </w:tr>
      <w:tr w:rsidR="007B26B8" w:rsidRPr="00481B63" w14:paraId="0640963A" w14:textId="77777777" w:rsidTr="00037B58">
        <w:tc>
          <w:tcPr>
            <w:cnfStyle w:val="001000000000" w:firstRow="0" w:lastRow="0" w:firstColumn="1" w:lastColumn="0" w:oddVBand="0" w:evenVBand="0" w:oddHBand="0" w:evenHBand="0" w:firstRowFirstColumn="0" w:firstRowLastColumn="0" w:lastRowFirstColumn="0" w:lastRowLastColumn="0"/>
            <w:tcW w:w="1793" w:type="dxa"/>
          </w:tcPr>
          <w:p w14:paraId="76F03930" w14:textId="77777777" w:rsidR="007B26B8" w:rsidRPr="00481B63" w:rsidRDefault="007B26B8" w:rsidP="007B26B8">
            <w:pPr>
              <w:rPr>
                <w:rFonts w:ascii="Garamond" w:hAnsi="Garamond"/>
                <w:b w:val="0"/>
                <w:bCs w:val="0"/>
                <w:sz w:val="18"/>
                <w:szCs w:val="18"/>
              </w:rPr>
            </w:pPr>
            <w:r w:rsidRPr="00481B63">
              <w:rPr>
                <w:rFonts w:ascii="Garamond" w:hAnsi="Garamond"/>
                <w:b w:val="0"/>
                <w:bCs w:val="0"/>
                <w:sz w:val="18"/>
                <w:szCs w:val="18"/>
              </w:rPr>
              <w:t xml:space="preserve">  Cumulative cases (n)</w:t>
            </w:r>
          </w:p>
        </w:tc>
        <w:tc>
          <w:tcPr>
            <w:tcW w:w="1591" w:type="dxa"/>
          </w:tcPr>
          <w:p w14:paraId="78CEEF7A" w14:textId="208AE4F3"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3056 (923-4840)</w:t>
            </w:r>
          </w:p>
        </w:tc>
        <w:tc>
          <w:tcPr>
            <w:tcW w:w="1895" w:type="dxa"/>
          </w:tcPr>
          <w:p w14:paraId="35C62411" w14:textId="7EB2511A"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467 (155-1092)</w:t>
            </w:r>
          </w:p>
        </w:tc>
        <w:tc>
          <w:tcPr>
            <w:tcW w:w="2065" w:type="dxa"/>
          </w:tcPr>
          <w:p w14:paraId="0D6266B0" w14:textId="018876E2"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2153 (519-3850)</w:t>
            </w:r>
          </w:p>
        </w:tc>
        <w:tc>
          <w:tcPr>
            <w:tcW w:w="2320" w:type="dxa"/>
          </w:tcPr>
          <w:p w14:paraId="130A1E7E" w14:textId="611B7AD8"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395 (140-911)</w:t>
            </w:r>
          </w:p>
        </w:tc>
      </w:tr>
      <w:tr w:rsidR="007B26B8" w:rsidRPr="00481B63" w14:paraId="4CFD994D" w14:textId="77777777" w:rsidTr="0003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76CFE95D" w14:textId="77777777" w:rsidR="007B26B8" w:rsidRPr="00481B63" w:rsidRDefault="007B26B8" w:rsidP="007B26B8">
            <w:pPr>
              <w:rPr>
                <w:rFonts w:ascii="Garamond" w:hAnsi="Garamond"/>
                <w:b w:val="0"/>
                <w:bCs w:val="0"/>
                <w:sz w:val="18"/>
                <w:szCs w:val="18"/>
              </w:rPr>
            </w:pPr>
            <w:r w:rsidRPr="00481B63">
              <w:rPr>
                <w:rFonts w:ascii="Garamond" w:hAnsi="Garamond"/>
                <w:b w:val="0"/>
                <w:bCs w:val="0"/>
                <w:sz w:val="18"/>
                <w:szCs w:val="18"/>
              </w:rPr>
              <w:t xml:space="preserve">  Peak daily cases (n)</w:t>
            </w:r>
          </w:p>
        </w:tc>
        <w:tc>
          <w:tcPr>
            <w:tcW w:w="1591" w:type="dxa"/>
          </w:tcPr>
          <w:p w14:paraId="21387AC4" w14:textId="400D3844"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7B26B8">
              <w:rPr>
                <w:rFonts w:ascii="Garamond" w:hAnsi="Garamond"/>
                <w:sz w:val="18"/>
                <w:szCs w:val="18"/>
              </w:rPr>
              <w:t>413 (77-956)</w:t>
            </w:r>
          </w:p>
        </w:tc>
        <w:tc>
          <w:tcPr>
            <w:tcW w:w="1895" w:type="dxa"/>
          </w:tcPr>
          <w:p w14:paraId="0ECA6CED" w14:textId="32704346"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7B26B8">
              <w:rPr>
                <w:rFonts w:ascii="Garamond" w:hAnsi="Garamond"/>
                <w:sz w:val="18"/>
                <w:szCs w:val="18"/>
              </w:rPr>
              <w:t>23 (6-85)</w:t>
            </w:r>
          </w:p>
        </w:tc>
        <w:tc>
          <w:tcPr>
            <w:tcW w:w="2065" w:type="dxa"/>
          </w:tcPr>
          <w:p w14:paraId="06C16AA9" w14:textId="5F993B72"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7B26B8">
              <w:rPr>
                <w:rFonts w:ascii="Garamond" w:hAnsi="Garamond"/>
                <w:sz w:val="18"/>
                <w:szCs w:val="18"/>
              </w:rPr>
              <w:t>211 (32-598)</w:t>
            </w:r>
          </w:p>
        </w:tc>
        <w:tc>
          <w:tcPr>
            <w:tcW w:w="2320" w:type="dxa"/>
          </w:tcPr>
          <w:p w14:paraId="45258F77" w14:textId="201CFDF0"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7B26B8">
              <w:rPr>
                <w:rFonts w:ascii="Garamond" w:hAnsi="Garamond"/>
                <w:sz w:val="18"/>
                <w:szCs w:val="18"/>
              </w:rPr>
              <w:t>16 (5-53)</w:t>
            </w:r>
          </w:p>
        </w:tc>
      </w:tr>
      <w:tr w:rsidR="007B26B8" w:rsidRPr="00481B63" w14:paraId="0F24AA03" w14:textId="77777777" w:rsidTr="00037B58">
        <w:tc>
          <w:tcPr>
            <w:cnfStyle w:val="001000000000" w:firstRow="0" w:lastRow="0" w:firstColumn="1" w:lastColumn="0" w:oddVBand="0" w:evenVBand="0" w:oddHBand="0" w:evenHBand="0" w:firstRowFirstColumn="0" w:firstRowLastColumn="0" w:lastRowFirstColumn="0" w:lastRowLastColumn="0"/>
            <w:tcW w:w="1793" w:type="dxa"/>
          </w:tcPr>
          <w:p w14:paraId="37EF0D58" w14:textId="77777777" w:rsidR="007B26B8" w:rsidRPr="00481B63" w:rsidRDefault="007B26B8" w:rsidP="007B26B8">
            <w:pPr>
              <w:rPr>
                <w:rFonts w:ascii="Garamond" w:hAnsi="Garamond"/>
                <w:b w:val="0"/>
                <w:bCs w:val="0"/>
                <w:sz w:val="18"/>
                <w:szCs w:val="18"/>
              </w:rPr>
            </w:pPr>
            <w:r w:rsidRPr="00481B63">
              <w:rPr>
                <w:rFonts w:ascii="Garamond" w:hAnsi="Garamond"/>
                <w:b w:val="0"/>
                <w:bCs w:val="0"/>
                <w:sz w:val="18"/>
                <w:szCs w:val="18"/>
              </w:rPr>
              <w:t xml:space="preserve">  Hospitalizations (n)</w:t>
            </w:r>
          </w:p>
        </w:tc>
        <w:tc>
          <w:tcPr>
            <w:tcW w:w="1591" w:type="dxa"/>
          </w:tcPr>
          <w:p w14:paraId="68DFB1CC" w14:textId="15ACF1A8"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166 (33-417)</w:t>
            </w:r>
          </w:p>
        </w:tc>
        <w:tc>
          <w:tcPr>
            <w:tcW w:w="1895" w:type="dxa"/>
          </w:tcPr>
          <w:p w14:paraId="68B4CE3A" w14:textId="1AD2CF24"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26 (5-108)</w:t>
            </w:r>
          </w:p>
        </w:tc>
        <w:tc>
          <w:tcPr>
            <w:tcW w:w="2065" w:type="dxa"/>
          </w:tcPr>
          <w:p w14:paraId="7B586F38" w14:textId="441512D3"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121 (17-344)</w:t>
            </w:r>
          </w:p>
        </w:tc>
        <w:tc>
          <w:tcPr>
            <w:tcW w:w="2320" w:type="dxa"/>
          </w:tcPr>
          <w:p w14:paraId="0AAFA39E" w14:textId="07A9CDE5"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20 (4-85)</w:t>
            </w:r>
          </w:p>
        </w:tc>
      </w:tr>
      <w:tr w:rsidR="007B26B8" w:rsidRPr="00481B63" w14:paraId="22C98280" w14:textId="77777777" w:rsidTr="0003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0C9ADEC1" w14:textId="77777777" w:rsidR="007B26B8" w:rsidRPr="00481B63" w:rsidRDefault="007B26B8" w:rsidP="007B26B8">
            <w:pPr>
              <w:rPr>
                <w:rFonts w:ascii="Garamond" w:hAnsi="Garamond"/>
                <w:b w:val="0"/>
                <w:bCs w:val="0"/>
                <w:sz w:val="18"/>
                <w:szCs w:val="18"/>
              </w:rPr>
            </w:pPr>
            <w:r w:rsidRPr="00481B63">
              <w:rPr>
                <w:rFonts w:ascii="Garamond" w:hAnsi="Garamond"/>
                <w:b w:val="0"/>
                <w:bCs w:val="0"/>
                <w:sz w:val="18"/>
                <w:szCs w:val="18"/>
              </w:rPr>
              <w:t xml:space="preserve">  Deaths (n)</w:t>
            </w:r>
          </w:p>
        </w:tc>
        <w:tc>
          <w:tcPr>
            <w:tcW w:w="1591" w:type="dxa"/>
          </w:tcPr>
          <w:p w14:paraId="2C60454A" w14:textId="483BE947"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8"/>
                <w:szCs w:val="18"/>
              </w:rPr>
            </w:pPr>
            <w:r w:rsidRPr="007B26B8">
              <w:rPr>
                <w:rFonts w:ascii="Garamond" w:hAnsi="Garamond"/>
                <w:sz w:val="18"/>
                <w:szCs w:val="18"/>
              </w:rPr>
              <w:t>4 (1-13)</w:t>
            </w:r>
          </w:p>
        </w:tc>
        <w:tc>
          <w:tcPr>
            <w:tcW w:w="1895" w:type="dxa"/>
          </w:tcPr>
          <w:p w14:paraId="044F040C" w14:textId="3867313B"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8"/>
                <w:szCs w:val="18"/>
              </w:rPr>
            </w:pPr>
            <w:r w:rsidRPr="007B26B8">
              <w:rPr>
                <w:rFonts w:ascii="Garamond" w:hAnsi="Garamond"/>
                <w:sz w:val="18"/>
                <w:szCs w:val="18"/>
              </w:rPr>
              <w:t>1 (0-3)</w:t>
            </w:r>
          </w:p>
        </w:tc>
        <w:tc>
          <w:tcPr>
            <w:tcW w:w="2065" w:type="dxa"/>
          </w:tcPr>
          <w:p w14:paraId="665B03DE" w14:textId="30F29ACB"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8"/>
                <w:szCs w:val="18"/>
              </w:rPr>
            </w:pPr>
            <w:r w:rsidRPr="007B26B8">
              <w:rPr>
                <w:rFonts w:ascii="Garamond" w:hAnsi="Garamond"/>
                <w:sz w:val="18"/>
                <w:szCs w:val="18"/>
              </w:rPr>
              <w:t>3 (0-11)</w:t>
            </w:r>
          </w:p>
        </w:tc>
        <w:tc>
          <w:tcPr>
            <w:tcW w:w="2320" w:type="dxa"/>
          </w:tcPr>
          <w:p w14:paraId="4CB04EBD" w14:textId="54A29A0B"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8"/>
                <w:szCs w:val="18"/>
              </w:rPr>
            </w:pPr>
            <w:r w:rsidRPr="007B26B8">
              <w:rPr>
                <w:rFonts w:ascii="Garamond" w:hAnsi="Garamond"/>
                <w:sz w:val="18"/>
                <w:szCs w:val="18"/>
              </w:rPr>
              <w:t>1 (0-3)</w:t>
            </w:r>
          </w:p>
        </w:tc>
      </w:tr>
      <w:tr w:rsidR="007B26B8" w:rsidRPr="00481B63" w14:paraId="1808D240" w14:textId="77777777" w:rsidTr="00037B58">
        <w:tc>
          <w:tcPr>
            <w:cnfStyle w:val="001000000000" w:firstRow="0" w:lastRow="0" w:firstColumn="1" w:lastColumn="0" w:oddVBand="0" w:evenVBand="0" w:oddHBand="0" w:evenHBand="0" w:firstRowFirstColumn="0" w:firstRowLastColumn="0" w:lastRowFirstColumn="0" w:lastRowLastColumn="0"/>
            <w:tcW w:w="1793" w:type="dxa"/>
          </w:tcPr>
          <w:p w14:paraId="27A03A2C" w14:textId="77777777" w:rsidR="007B26B8" w:rsidRPr="00481B63" w:rsidRDefault="007B26B8" w:rsidP="007B26B8">
            <w:pPr>
              <w:rPr>
                <w:rFonts w:ascii="Garamond" w:hAnsi="Garamond"/>
                <w:b w:val="0"/>
                <w:bCs w:val="0"/>
                <w:sz w:val="18"/>
                <w:szCs w:val="18"/>
              </w:rPr>
            </w:pPr>
            <w:r w:rsidRPr="00481B63">
              <w:rPr>
                <w:rFonts w:ascii="Garamond" w:hAnsi="Garamond"/>
                <w:b w:val="0"/>
                <w:bCs w:val="0"/>
                <w:sz w:val="18"/>
                <w:szCs w:val="18"/>
              </w:rPr>
              <w:t xml:space="preserve">  Isolated (n)</w:t>
            </w:r>
          </w:p>
        </w:tc>
        <w:tc>
          <w:tcPr>
            <w:tcW w:w="1591" w:type="dxa"/>
          </w:tcPr>
          <w:p w14:paraId="48E48360" w14:textId="7F84C3EC"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0 (0-0)</w:t>
            </w:r>
          </w:p>
        </w:tc>
        <w:tc>
          <w:tcPr>
            <w:tcW w:w="1895" w:type="dxa"/>
          </w:tcPr>
          <w:p w14:paraId="0190C81B" w14:textId="49FE2A59"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418 (132-1010)</w:t>
            </w:r>
          </w:p>
        </w:tc>
        <w:tc>
          <w:tcPr>
            <w:tcW w:w="2065" w:type="dxa"/>
          </w:tcPr>
          <w:p w14:paraId="2A595933" w14:textId="6A67723B"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1475 (334-2548)</w:t>
            </w:r>
          </w:p>
        </w:tc>
        <w:tc>
          <w:tcPr>
            <w:tcW w:w="2320" w:type="dxa"/>
          </w:tcPr>
          <w:p w14:paraId="40BFC582" w14:textId="274448B1"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527 (185-1253)</w:t>
            </w:r>
          </w:p>
        </w:tc>
      </w:tr>
      <w:tr w:rsidR="007B26B8" w:rsidRPr="00481B63" w14:paraId="4BB6E881" w14:textId="77777777" w:rsidTr="0003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25769E18" w14:textId="77777777" w:rsidR="007B26B8" w:rsidRPr="00481B63" w:rsidRDefault="007B26B8" w:rsidP="007B26B8">
            <w:pPr>
              <w:rPr>
                <w:rFonts w:ascii="Garamond" w:hAnsi="Garamond"/>
                <w:b w:val="0"/>
                <w:bCs w:val="0"/>
                <w:sz w:val="18"/>
                <w:szCs w:val="18"/>
              </w:rPr>
            </w:pPr>
            <w:r w:rsidRPr="00481B63">
              <w:rPr>
                <w:rFonts w:ascii="Garamond" w:hAnsi="Garamond"/>
                <w:b w:val="0"/>
                <w:bCs w:val="0"/>
                <w:sz w:val="18"/>
                <w:szCs w:val="18"/>
              </w:rPr>
              <w:t xml:space="preserve">  Isolated (max)</w:t>
            </w:r>
          </w:p>
        </w:tc>
        <w:tc>
          <w:tcPr>
            <w:tcW w:w="1591" w:type="dxa"/>
          </w:tcPr>
          <w:p w14:paraId="529BC513" w14:textId="4439D7B6"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8"/>
                <w:szCs w:val="18"/>
              </w:rPr>
            </w:pPr>
            <w:r w:rsidRPr="007B26B8">
              <w:rPr>
                <w:rFonts w:ascii="Garamond" w:hAnsi="Garamond"/>
                <w:sz w:val="18"/>
                <w:szCs w:val="18"/>
              </w:rPr>
              <w:t>0 (0-0)</w:t>
            </w:r>
          </w:p>
        </w:tc>
        <w:tc>
          <w:tcPr>
            <w:tcW w:w="1895" w:type="dxa"/>
          </w:tcPr>
          <w:p w14:paraId="3CE4593F" w14:textId="19E898A3"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8"/>
                <w:szCs w:val="18"/>
              </w:rPr>
            </w:pPr>
            <w:r w:rsidRPr="007B26B8">
              <w:rPr>
                <w:rFonts w:ascii="Garamond" w:hAnsi="Garamond"/>
                <w:sz w:val="18"/>
                <w:szCs w:val="18"/>
              </w:rPr>
              <w:t>60 (17-198)</w:t>
            </w:r>
          </w:p>
        </w:tc>
        <w:tc>
          <w:tcPr>
            <w:tcW w:w="2065" w:type="dxa"/>
          </w:tcPr>
          <w:p w14:paraId="1F409C95" w14:textId="730A46A9"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8"/>
                <w:szCs w:val="18"/>
              </w:rPr>
            </w:pPr>
            <w:r w:rsidRPr="007B26B8">
              <w:rPr>
                <w:rFonts w:ascii="Garamond" w:hAnsi="Garamond"/>
                <w:sz w:val="18"/>
                <w:szCs w:val="18"/>
              </w:rPr>
              <w:t>309 (52-712)</w:t>
            </w:r>
          </w:p>
        </w:tc>
        <w:tc>
          <w:tcPr>
            <w:tcW w:w="2320" w:type="dxa"/>
          </w:tcPr>
          <w:p w14:paraId="0CC3B9AD" w14:textId="46D6CDBB"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8"/>
                <w:szCs w:val="18"/>
              </w:rPr>
            </w:pPr>
            <w:r w:rsidRPr="007B26B8">
              <w:rPr>
                <w:rFonts w:ascii="Garamond" w:hAnsi="Garamond"/>
                <w:sz w:val="18"/>
                <w:szCs w:val="18"/>
              </w:rPr>
              <w:t>72 (24-221)</w:t>
            </w:r>
          </w:p>
        </w:tc>
      </w:tr>
      <w:tr w:rsidR="007B26B8" w:rsidRPr="00481B63" w14:paraId="2AE074E5" w14:textId="77777777" w:rsidTr="00037B58">
        <w:tc>
          <w:tcPr>
            <w:cnfStyle w:val="001000000000" w:firstRow="0" w:lastRow="0" w:firstColumn="1" w:lastColumn="0" w:oddVBand="0" w:evenVBand="0" w:oddHBand="0" w:evenHBand="0" w:firstRowFirstColumn="0" w:firstRowLastColumn="0" w:lastRowFirstColumn="0" w:lastRowLastColumn="0"/>
            <w:tcW w:w="1793" w:type="dxa"/>
          </w:tcPr>
          <w:p w14:paraId="430281B8" w14:textId="77777777" w:rsidR="007B26B8" w:rsidRPr="00481B63" w:rsidRDefault="007B26B8" w:rsidP="007B26B8">
            <w:pPr>
              <w:rPr>
                <w:rFonts w:ascii="Garamond" w:hAnsi="Garamond"/>
                <w:b w:val="0"/>
                <w:bCs w:val="0"/>
                <w:sz w:val="18"/>
                <w:szCs w:val="18"/>
              </w:rPr>
            </w:pPr>
            <w:r w:rsidRPr="00481B63">
              <w:rPr>
                <w:rFonts w:ascii="Garamond" w:hAnsi="Garamond"/>
                <w:b w:val="0"/>
                <w:bCs w:val="0"/>
                <w:sz w:val="18"/>
                <w:szCs w:val="18"/>
              </w:rPr>
              <w:t xml:space="preserve">  Isolated (days)</w:t>
            </w:r>
          </w:p>
        </w:tc>
        <w:tc>
          <w:tcPr>
            <w:tcW w:w="1591" w:type="dxa"/>
          </w:tcPr>
          <w:p w14:paraId="5237360D" w14:textId="324E27E5"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7B26B8">
              <w:rPr>
                <w:rFonts w:ascii="Garamond" w:hAnsi="Garamond"/>
                <w:sz w:val="18"/>
                <w:szCs w:val="18"/>
              </w:rPr>
              <w:t>0 (0-0)</w:t>
            </w:r>
          </w:p>
        </w:tc>
        <w:tc>
          <w:tcPr>
            <w:tcW w:w="1895" w:type="dxa"/>
          </w:tcPr>
          <w:p w14:paraId="2B217222" w14:textId="446FDCF6"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7B26B8">
              <w:rPr>
                <w:rFonts w:ascii="Garamond" w:hAnsi="Garamond"/>
                <w:sz w:val="18"/>
                <w:szCs w:val="18"/>
              </w:rPr>
              <w:t>5200 (1618-13075)</w:t>
            </w:r>
          </w:p>
        </w:tc>
        <w:tc>
          <w:tcPr>
            <w:tcW w:w="2065" w:type="dxa"/>
          </w:tcPr>
          <w:p w14:paraId="3D243AEC" w14:textId="52040022"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7B26B8">
              <w:rPr>
                <w:rFonts w:ascii="Garamond" w:hAnsi="Garamond"/>
                <w:sz w:val="18"/>
                <w:szCs w:val="18"/>
              </w:rPr>
              <w:t>18838 (3932-34606)</w:t>
            </w:r>
          </w:p>
        </w:tc>
        <w:tc>
          <w:tcPr>
            <w:tcW w:w="2320" w:type="dxa"/>
          </w:tcPr>
          <w:p w14:paraId="31F54EE5" w14:textId="747DC9E6"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7B26B8">
              <w:rPr>
                <w:rFonts w:ascii="Garamond" w:hAnsi="Garamond"/>
                <w:sz w:val="18"/>
                <w:szCs w:val="18"/>
              </w:rPr>
              <w:t>6544 (2272-16032)</w:t>
            </w:r>
          </w:p>
        </w:tc>
      </w:tr>
      <w:tr w:rsidR="007B26B8" w:rsidRPr="00481B63" w14:paraId="4DE8D935" w14:textId="77777777" w:rsidTr="0003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7FF13686" w14:textId="77777777" w:rsidR="007B26B8" w:rsidRPr="00481B63" w:rsidRDefault="007B26B8" w:rsidP="007B26B8">
            <w:pPr>
              <w:rPr>
                <w:rFonts w:ascii="Garamond" w:hAnsi="Garamond"/>
                <w:b w:val="0"/>
                <w:bCs w:val="0"/>
                <w:sz w:val="18"/>
                <w:szCs w:val="18"/>
              </w:rPr>
            </w:pPr>
            <w:r w:rsidRPr="00481B63">
              <w:rPr>
                <w:rFonts w:ascii="Garamond" w:hAnsi="Garamond"/>
                <w:b w:val="0"/>
                <w:bCs w:val="0"/>
                <w:sz w:val="18"/>
                <w:szCs w:val="18"/>
              </w:rPr>
              <w:t xml:space="preserve">  Quarantined (n)</w:t>
            </w:r>
          </w:p>
        </w:tc>
        <w:tc>
          <w:tcPr>
            <w:tcW w:w="1591" w:type="dxa"/>
          </w:tcPr>
          <w:p w14:paraId="63C5C1DE" w14:textId="52736DA3"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8"/>
                <w:szCs w:val="18"/>
              </w:rPr>
            </w:pPr>
            <w:r w:rsidRPr="007B26B8">
              <w:rPr>
                <w:rFonts w:ascii="Garamond" w:hAnsi="Garamond"/>
                <w:sz w:val="18"/>
                <w:szCs w:val="18"/>
              </w:rPr>
              <w:t>0 (0-0)</w:t>
            </w:r>
          </w:p>
        </w:tc>
        <w:tc>
          <w:tcPr>
            <w:tcW w:w="1895" w:type="dxa"/>
          </w:tcPr>
          <w:p w14:paraId="34AB3FFC" w14:textId="475CE956"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8"/>
                <w:szCs w:val="18"/>
              </w:rPr>
            </w:pPr>
            <w:r w:rsidRPr="007B26B8">
              <w:rPr>
                <w:rFonts w:ascii="Garamond" w:hAnsi="Garamond"/>
                <w:sz w:val="18"/>
                <w:szCs w:val="18"/>
              </w:rPr>
              <w:t>4376 (1422-9507)</w:t>
            </w:r>
          </w:p>
        </w:tc>
        <w:tc>
          <w:tcPr>
            <w:tcW w:w="2065" w:type="dxa"/>
          </w:tcPr>
          <w:p w14:paraId="28C27453" w14:textId="3B52FE1B"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8"/>
                <w:szCs w:val="18"/>
              </w:rPr>
            </w:pPr>
            <w:r w:rsidRPr="007B26B8">
              <w:rPr>
                <w:rFonts w:ascii="Garamond" w:hAnsi="Garamond"/>
                <w:sz w:val="18"/>
                <w:szCs w:val="18"/>
              </w:rPr>
              <w:t>0 (0-0)</w:t>
            </w:r>
          </w:p>
        </w:tc>
        <w:tc>
          <w:tcPr>
            <w:tcW w:w="2320" w:type="dxa"/>
          </w:tcPr>
          <w:p w14:paraId="46F55C75" w14:textId="4BCB89F0"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8"/>
                <w:szCs w:val="18"/>
              </w:rPr>
            </w:pPr>
            <w:r w:rsidRPr="007B26B8">
              <w:rPr>
                <w:rFonts w:ascii="Garamond" w:hAnsi="Garamond"/>
                <w:sz w:val="18"/>
                <w:szCs w:val="18"/>
              </w:rPr>
              <w:t>3308 (1132-7304)</w:t>
            </w:r>
          </w:p>
        </w:tc>
      </w:tr>
      <w:tr w:rsidR="007B26B8" w:rsidRPr="00481B63" w14:paraId="004825A5" w14:textId="77777777" w:rsidTr="00037B58">
        <w:tc>
          <w:tcPr>
            <w:cnfStyle w:val="001000000000" w:firstRow="0" w:lastRow="0" w:firstColumn="1" w:lastColumn="0" w:oddVBand="0" w:evenVBand="0" w:oddHBand="0" w:evenHBand="0" w:firstRowFirstColumn="0" w:firstRowLastColumn="0" w:lastRowFirstColumn="0" w:lastRowLastColumn="0"/>
            <w:tcW w:w="1793" w:type="dxa"/>
          </w:tcPr>
          <w:p w14:paraId="78E1A4E3" w14:textId="77777777" w:rsidR="007B26B8" w:rsidRPr="00481B63" w:rsidRDefault="007B26B8" w:rsidP="007B26B8">
            <w:pPr>
              <w:rPr>
                <w:rFonts w:ascii="Garamond" w:hAnsi="Garamond"/>
                <w:b w:val="0"/>
                <w:bCs w:val="0"/>
                <w:sz w:val="18"/>
                <w:szCs w:val="18"/>
              </w:rPr>
            </w:pPr>
            <w:r w:rsidRPr="00481B63">
              <w:rPr>
                <w:rFonts w:ascii="Garamond" w:hAnsi="Garamond"/>
                <w:b w:val="0"/>
                <w:bCs w:val="0"/>
                <w:sz w:val="18"/>
                <w:szCs w:val="18"/>
              </w:rPr>
              <w:t xml:space="preserve">  Quarantined (max)</w:t>
            </w:r>
          </w:p>
        </w:tc>
        <w:tc>
          <w:tcPr>
            <w:tcW w:w="1591" w:type="dxa"/>
          </w:tcPr>
          <w:p w14:paraId="037F821E" w14:textId="372B2E94"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0 (0-0)</w:t>
            </w:r>
          </w:p>
        </w:tc>
        <w:tc>
          <w:tcPr>
            <w:tcW w:w="1895" w:type="dxa"/>
          </w:tcPr>
          <w:p w14:paraId="4DAF70DF" w14:textId="2F2924F2"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624 (193-1877)</w:t>
            </w:r>
          </w:p>
        </w:tc>
        <w:tc>
          <w:tcPr>
            <w:tcW w:w="2065" w:type="dxa"/>
          </w:tcPr>
          <w:p w14:paraId="5E89E8C9" w14:textId="0747E0C6"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0 (0-0)</w:t>
            </w:r>
          </w:p>
        </w:tc>
        <w:tc>
          <w:tcPr>
            <w:tcW w:w="2320" w:type="dxa"/>
          </w:tcPr>
          <w:p w14:paraId="6BB455B0" w14:textId="2CD9B9E7"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454 (147-1249)</w:t>
            </w:r>
          </w:p>
        </w:tc>
      </w:tr>
      <w:tr w:rsidR="007B26B8" w:rsidRPr="00481B63" w14:paraId="75FF5301" w14:textId="77777777" w:rsidTr="0003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AD8E336" w14:textId="77777777" w:rsidR="007B26B8" w:rsidRPr="00481B63" w:rsidRDefault="007B26B8" w:rsidP="007B26B8">
            <w:pPr>
              <w:rPr>
                <w:rFonts w:ascii="Garamond" w:hAnsi="Garamond"/>
                <w:b w:val="0"/>
                <w:bCs w:val="0"/>
                <w:sz w:val="18"/>
                <w:szCs w:val="18"/>
              </w:rPr>
            </w:pPr>
            <w:r w:rsidRPr="00481B63">
              <w:rPr>
                <w:rFonts w:ascii="Garamond" w:hAnsi="Garamond"/>
                <w:b w:val="0"/>
                <w:bCs w:val="0"/>
                <w:sz w:val="18"/>
                <w:szCs w:val="18"/>
              </w:rPr>
              <w:t xml:space="preserve">  Quarantined (days)</w:t>
            </w:r>
          </w:p>
        </w:tc>
        <w:tc>
          <w:tcPr>
            <w:tcW w:w="1591" w:type="dxa"/>
          </w:tcPr>
          <w:p w14:paraId="1D917845" w14:textId="7E3E1253"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7B26B8">
              <w:rPr>
                <w:rFonts w:ascii="Garamond" w:hAnsi="Garamond"/>
                <w:sz w:val="18"/>
                <w:szCs w:val="18"/>
              </w:rPr>
              <w:t>0 (0-0)</w:t>
            </w:r>
          </w:p>
        </w:tc>
        <w:tc>
          <w:tcPr>
            <w:tcW w:w="1895" w:type="dxa"/>
          </w:tcPr>
          <w:p w14:paraId="70BFB546" w14:textId="18159CCB"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7B26B8">
              <w:rPr>
                <w:rFonts w:ascii="Garamond" w:hAnsi="Garamond"/>
                <w:sz w:val="18"/>
                <w:szCs w:val="18"/>
              </w:rPr>
              <w:t>54448 (17435-123118)</w:t>
            </w:r>
          </w:p>
        </w:tc>
        <w:tc>
          <w:tcPr>
            <w:tcW w:w="2065" w:type="dxa"/>
          </w:tcPr>
          <w:p w14:paraId="059A1FD7" w14:textId="23F85ECD"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7B26B8">
              <w:rPr>
                <w:rFonts w:ascii="Garamond" w:hAnsi="Garamond"/>
                <w:sz w:val="18"/>
                <w:szCs w:val="18"/>
              </w:rPr>
              <w:t>0 (0-0)</w:t>
            </w:r>
          </w:p>
        </w:tc>
        <w:tc>
          <w:tcPr>
            <w:tcW w:w="2320" w:type="dxa"/>
          </w:tcPr>
          <w:p w14:paraId="04C433AE" w14:textId="2AADF887"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7B26B8">
              <w:rPr>
                <w:rFonts w:ascii="Garamond" w:hAnsi="Garamond"/>
                <w:sz w:val="18"/>
                <w:szCs w:val="18"/>
              </w:rPr>
              <w:t>40945 (13900-93794)</w:t>
            </w:r>
          </w:p>
        </w:tc>
      </w:tr>
      <w:tr w:rsidR="007B26B8" w:rsidRPr="00481B63" w14:paraId="66B2C0C5" w14:textId="77777777" w:rsidTr="00037B58">
        <w:tc>
          <w:tcPr>
            <w:cnfStyle w:val="001000000000" w:firstRow="0" w:lastRow="0" w:firstColumn="1" w:lastColumn="0" w:oddVBand="0" w:evenVBand="0" w:oddHBand="0" w:evenHBand="0" w:firstRowFirstColumn="0" w:firstRowLastColumn="0" w:lastRowFirstColumn="0" w:lastRowLastColumn="0"/>
            <w:tcW w:w="1793" w:type="dxa"/>
          </w:tcPr>
          <w:p w14:paraId="5F20416D" w14:textId="77777777" w:rsidR="007B26B8" w:rsidRPr="00481B63" w:rsidRDefault="007B26B8" w:rsidP="00037B58">
            <w:pPr>
              <w:rPr>
                <w:rFonts w:ascii="Garamond" w:hAnsi="Garamond"/>
                <w:sz w:val="18"/>
                <w:szCs w:val="18"/>
              </w:rPr>
            </w:pPr>
            <w:r w:rsidRPr="00481B63">
              <w:rPr>
                <w:rFonts w:ascii="Garamond" w:hAnsi="Garamond"/>
                <w:sz w:val="18"/>
                <w:szCs w:val="18"/>
              </w:rPr>
              <w:t>Staff and Faculty</w:t>
            </w:r>
          </w:p>
        </w:tc>
        <w:tc>
          <w:tcPr>
            <w:tcW w:w="1591" w:type="dxa"/>
          </w:tcPr>
          <w:p w14:paraId="737ADA5F" w14:textId="77777777" w:rsidR="007B26B8" w:rsidRPr="007B26B8" w:rsidRDefault="007B26B8"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1895" w:type="dxa"/>
          </w:tcPr>
          <w:p w14:paraId="4B185E4E" w14:textId="77777777" w:rsidR="007B26B8" w:rsidRPr="007B26B8" w:rsidRDefault="007B26B8"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2065" w:type="dxa"/>
          </w:tcPr>
          <w:p w14:paraId="00E6B07B" w14:textId="77777777" w:rsidR="007B26B8" w:rsidRPr="007B26B8" w:rsidRDefault="007B26B8"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2320" w:type="dxa"/>
          </w:tcPr>
          <w:p w14:paraId="2D0CFF81" w14:textId="77777777" w:rsidR="007B26B8" w:rsidRPr="007B26B8" w:rsidRDefault="007B26B8" w:rsidP="00037B5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r>
      <w:tr w:rsidR="007B26B8" w:rsidRPr="00481B63" w14:paraId="247772C7" w14:textId="77777777" w:rsidTr="0003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729A20CA" w14:textId="77777777" w:rsidR="007B26B8" w:rsidRPr="00481B63" w:rsidRDefault="007B26B8" w:rsidP="007B26B8">
            <w:pPr>
              <w:rPr>
                <w:rFonts w:ascii="Garamond" w:hAnsi="Garamond"/>
                <w:b w:val="0"/>
                <w:bCs w:val="0"/>
                <w:sz w:val="18"/>
                <w:szCs w:val="18"/>
              </w:rPr>
            </w:pPr>
            <w:r w:rsidRPr="00481B63">
              <w:rPr>
                <w:rFonts w:ascii="Garamond" w:hAnsi="Garamond"/>
                <w:b w:val="0"/>
                <w:bCs w:val="0"/>
                <w:sz w:val="18"/>
                <w:szCs w:val="18"/>
              </w:rPr>
              <w:t xml:space="preserve">  Cumulative cases (n)</w:t>
            </w:r>
          </w:p>
        </w:tc>
        <w:tc>
          <w:tcPr>
            <w:tcW w:w="1591" w:type="dxa"/>
          </w:tcPr>
          <w:p w14:paraId="1DE8D807" w14:textId="767C4A7B"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8"/>
                <w:szCs w:val="18"/>
              </w:rPr>
            </w:pPr>
            <w:r w:rsidRPr="007B26B8">
              <w:rPr>
                <w:rFonts w:ascii="Garamond" w:hAnsi="Garamond"/>
                <w:sz w:val="18"/>
                <w:szCs w:val="18"/>
              </w:rPr>
              <w:t>1046 (413-2078)</w:t>
            </w:r>
          </w:p>
        </w:tc>
        <w:tc>
          <w:tcPr>
            <w:tcW w:w="1895" w:type="dxa"/>
          </w:tcPr>
          <w:p w14:paraId="08B434BA" w14:textId="206DC2E8"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8"/>
                <w:szCs w:val="18"/>
              </w:rPr>
            </w:pPr>
            <w:r w:rsidRPr="007B26B8">
              <w:rPr>
                <w:rFonts w:ascii="Garamond" w:hAnsi="Garamond"/>
                <w:sz w:val="18"/>
                <w:szCs w:val="18"/>
              </w:rPr>
              <w:t>416 (175-825)</w:t>
            </w:r>
          </w:p>
        </w:tc>
        <w:tc>
          <w:tcPr>
            <w:tcW w:w="2065" w:type="dxa"/>
          </w:tcPr>
          <w:p w14:paraId="04576F2F" w14:textId="4536FD1A"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8"/>
                <w:szCs w:val="18"/>
              </w:rPr>
            </w:pPr>
            <w:r w:rsidRPr="007B26B8">
              <w:rPr>
                <w:rFonts w:ascii="Garamond" w:hAnsi="Garamond"/>
                <w:sz w:val="18"/>
                <w:szCs w:val="18"/>
              </w:rPr>
              <w:t>737 (306-1499)</w:t>
            </w:r>
          </w:p>
        </w:tc>
        <w:tc>
          <w:tcPr>
            <w:tcW w:w="2320" w:type="dxa"/>
          </w:tcPr>
          <w:p w14:paraId="2951069D" w14:textId="226E13D2"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8"/>
                <w:szCs w:val="18"/>
              </w:rPr>
            </w:pPr>
            <w:r w:rsidRPr="007B26B8">
              <w:rPr>
                <w:rFonts w:ascii="Garamond" w:hAnsi="Garamond"/>
                <w:sz w:val="18"/>
                <w:szCs w:val="18"/>
              </w:rPr>
              <w:t>381 (155-740)</w:t>
            </w:r>
          </w:p>
        </w:tc>
      </w:tr>
      <w:tr w:rsidR="007B26B8" w:rsidRPr="00481B63" w14:paraId="4E908233" w14:textId="77777777" w:rsidTr="00037B58">
        <w:tc>
          <w:tcPr>
            <w:cnfStyle w:val="001000000000" w:firstRow="0" w:lastRow="0" w:firstColumn="1" w:lastColumn="0" w:oddVBand="0" w:evenVBand="0" w:oddHBand="0" w:evenHBand="0" w:firstRowFirstColumn="0" w:firstRowLastColumn="0" w:lastRowFirstColumn="0" w:lastRowLastColumn="0"/>
            <w:tcW w:w="1793" w:type="dxa"/>
          </w:tcPr>
          <w:p w14:paraId="157B098C" w14:textId="77777777" w:rsidR="007B26B8" w:rsidRPr="00481B63" w:rsidRDefault="007B26B8" w:rsidP="007B26B8">
            <w:pPr>
              <w:rPr>
                <w:rFonts w:ascii="Garamond" w:hAnsi="Garamond"/>
                <w:b w:val="0"/>
                <w:bCs w:val="0"/>
                <w:sz w:val="18"/>
                <w:szCs w:val="18"/>
              </w:rPr>
            </w:pPr>
            <w:r w:rsidRPr="00481B63">
              <w:rPr>
                <w:rFonts w:ascii="Garamond" w:hAnsi="Garamond"/>
                <w:b w:val="0"/>
                <w:bCs w:val="0"/>
                <w:sz w:val="18"/>
                <w:szCs w:val="18"/>
              </w:rPr>
              <w:t xml:space="preserve">  Peak daily cases (n)</w:t>
            </w:r>
          </w:p>
        </w:tc>
        <w:tc>
          <w:tcPr>
            <w:tcW w:w="1591" w:type="dxa"/>
          </w:tcPr>
          <w:p w14:paraId="2C29FDC0" w14:textId="045EC01C"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7B26B8">
              <w:rPr>
                <w:rFonts w:ascii="Garamond" w:hAnsi="Garamond"/>
                <w:sz w:val="18"/>
                <w:szCs w:val="18"/>
              </w:rPr>
              <w:t>102 (31-285)</w:t>
            </w:r>
          </w:p>
        </w:tc>
        <w:tc>
          <w:tcPr>
            <w:tcW w:w="1895" w:type="dxa"/>
          </w:tcPr>
          <w:p w14:paraId="61F889F0" w14:textId="13017346"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7B26B8">
              <w:rPr>
                <w:rFonts w:ascii="Garamond" w:hAnsi="Garamond"/>
                <w:sz w:val="18"/>
                <w:szCs w:val="18"/>
              </w:rPr>
              <w:t>16 (6-34)</w:t>
            </w:r>
          </w:p>
        </w:tc>
        <w:tc>
          <w:tcPr>
            <w:tcW w:w="2065" w:type="dxa"/>
          </w:tcPr>
          <w:p w14:paraId="16D09834" w14:textId="31C8AE4C"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7B26B8">
              <w:rPr>
                <w:rFonts w:ascii="Garamond" w:hAnsi="Garamond"/>
                <w:sz w:val="18"/>
                <w:szCs w:val="18"/>
              </w:rPr>
              <w:t>53 (17-154)</w:t>
            </w:r>
          </w:p>
        </w:tc>
        <w:tc>
          <w:tcPr>
            <w:tcW w:w="2320" w:type="dxa"/>
          </w:tcPr>
          <w:p w14:paraId="5B6BB877" w14:textId="1866497A"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7B26B8">
              <w:rPr>
                <w:rFonts w:ascii="Garamond" w:hAnsi="Garamond"/>
                <w:sz w:val="18"/>
                <w:szCs w:val="18"/>
              </w:rPr>
              <w:t>13 (5-27)</w:t>
            </w:r>
          </w:p>
        </w:tc>
      </w:tr>
      <w:tr w:rsidR="007B26B8" w:rsidRPr="00481B63" w14:paraId="09C40EF8" w14:textId="77777777" w:rsidTr="0003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8DFB79F" w14:textId="77777777" w:rsidR="007B26B8" w:rsidRPr="00481B63" w:rsidRDefault="007B26B8" w:rsidP="007B26B8">
            <w:pPr>
              <w:rPr>
                <w:rFonts w:ascii="Garamond" w:hAnsi="Garamond"/>
                <w:b w:val="0"/>
                <w:bCs w:val="0"/>
                <w:sz w:val="18"/>
                <w:szCs w:val="18"/>
              </w:rPr>
            </w:pPr>
            <w:r w:rsidRPr="00481B63">
              <w:rPr>
                <w:rFonts w:ascii="Garamond" w:hAnsi="Garamond"/>
                <w:b w:val="0"/>
                <w:bCs w:val="0"/>
                <w:sz w:val="18"/>
                <w:szCs w:val="18"/>
              </w:rPr>
              <w:t xml:space="preserve">  Hospitalizations (n)</w:t>
            </w:r>
          </w:p>
        </w:tc>
        <w:tc>
          <w:tcPr>
            <w:tcW w:w="1591" w:type="dxa"/>
          </w:tcPr>
          <w:p w14:paraId="5994011D" w14:textId="3210E1B7"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8"/>
                <w:szCs w:val="18"/>
              </w:rPr>
            </w:pPr>
            <w:r w:rsidRPr="007B26B8">
              <w:rPr>
                <w:rFonts w:ascii="Garamond" w:hAnsi="Garamond"/>
                <w:sz w:val="18"/>
                <w:szCs w:val="18"/>
              </w:rPr>
              <w:t>64 (12-209)</w:t>
            </w:r>
          </w:p>
        </w:tc>
        <w:tc>
          <w:tcPr>
            <w:tcW w:w="1895" w:type="dxa"/>
          </w:tcPr>
          <w:p w14:paraId="1DFB91C6" w14:textId="134922D5"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bCs/>
                <w:sz w:val="18"/>
                <w:szCs w:val="18"/>
              </w:rPr>
            </w:pPr>
            <w:r w:rsidRPr="007B26B8">
              <w:rPr>
                <w:rFonts w:ascii="Garamond" w:hAnsi="Garamond"/>
                <w:sz w:val="18"/>
                <w:szCs w:val="18"/>
              </w:rPr>
              <w:t>9 (1-33)</w:t>
            </w:r>
          </w:p>
        </w:tc>
        <w:tc>
          <w:tcPr>
            <w:tcW w:w="2065" w:type="dxa"/>
          </w:tcPr>
          <w:p w14:paraId="57142368" w14:textId="1B4E305F"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bCs/>
                <w:sz w:val="18"/>
                <w:szCs w:val="18"/>
              </w:rPr>
            </w:pPr>
            <w:r w:rsidRPr="007B26B8">
              <w:rPr>
                <w:rFonts w:ascii="Garamond" w:hAnsi="Garamond"/>
                <w:sz w:val="18"/>
                <w:szCs w:val="18"/>
              </w:rPr>
              <w:t>39 (6-132)</w:t>
            </w:r>
          </w:p>
        </w:tc>
        <w:tc>
          <w:tcPr>
            <w:tcW w:w="2320" w:type="dxa"/>
          </w:tcPr>
          <w:p w14:paraId="3A9F3BC0" w14:textId="6D1B40A6"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bCs/>
                <w:sz w:val="18"/>
                <w:szCs w:val="18"/>
              </w:rPr>
            </w:pPr>
            <w:r w:rsidRPr="007B26B8">
              <w:rPr>
                <w:rFonts w:ascii="Garamond" w:hAnsi="Garamond"/>
                <w:sz w:val="18"/>
                <w:szCs w:val="18"/>
              </w:rPr>
              <w:t>7 (1-26)</w:t>
            </w:r>
          </w:p>
        </w:tc>
      </w:tr>
      <w:tr w:rsidR="007B26B8" w:rsidRPr="00481B63" w14:paraId="3BADE5C4" w14:textId="77777777" w:rsidTr="00037B58">
        <w:tc>
          <w:tcPr>
            <w:cnfStyle w:val="001000000000" w:firstRow="0" w:lastRow="0" w:firstColumn="1" w:lastColumn="0" w:oddVBand="0" w:evenVBand="0" w:oddHBand="0" w:evenHBand="0" w:firstRowFirstColumn="0" w:firstRowLastColumn="0" w:lastRowFirstColumn="0" w:lastRowLastColumn="0"/>
            <w:tcW w:w="1793" w:type="dxa"/>
          </w:tcPr>
          <w:p w14:paraId="417EE7E2" w14:textId="77777777" w:rsidR="007B26B8" w:rsidRPr="00481B63" w:rsidRDefault="007B26B8" w:rsidP="007B26B8">
            <w:pPr>
              <w:rPr>
                <w:rFonts w:ascii="Garamond" w:hAnsi="Garamond"/>
                <w:b w:val="0"/>
                <w:bCs w:val="0"/>
                <w:sz w:val="18"/>
                <w:szCs w:val="18"/>
              </w:rPr>
            </w:pPr>
            <w:r w:rsidRPr="00481B63">
              <w:rPr>
                <w:rFonts w:ascii="Garamond" w:hAnsi="Garamond"/>
                <w:b w:val="0"/>
                <w:bCs w:val="0"/>
                <w:sz w:val="18"/>
                <w:szCs w:val="18"/>
              </w:rPr>
              <w:t xml:space="preserve">  Deaths (n)</w:t>
            </w:r>
          </w:p>
        </w:tc>
        <w:tc>
          <w:tcPr>
            <w:tcW w:w="1591" w:type="dxa"/>
          </w:tcPr>
          <w:p w14:paraId="3C928DE3" w14:textId="1E18C060"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6 (1-22)</w:t>
            </w:r>
          </w:p>
        </w:tc>
        <w:tc>
          <w:tcPr>
            <w:tcW w:w="1895" w:type="dxa"/>
          </w:tcPr>
          <w:p w14:paraId="5D5A0D90" w14:textId="2204D99E"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1 (0-3)</w:t>
            </w:r>
          </w:p>
        </w:tc>
        <w:tc>
          <w:tcPr>
            <w:tcW w:w="2065" w:type="dxa"/>
          </w:tcPr>
          <w:p w14:paraId="62C72DD1" w14:textId="110728C3"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3 (1-14)</w:t>
            </w:r>
          </w:p>
        </w:tc>
        <w:tc>
          <w:tcPr>
            <w:tcW w:w="2320" w:type="dxa"/>
          </w:tcPr>
          <w:p w14:paraId="0E35A955" w14:textId="335C63C3"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1 (0-2)</w:t>
            </w:r>
          </w:p>
        </w:tc>
      </w:tr>
      <w:tr w:rsidR="007B26B8" w:rsidRPr="00481B63" w14:paraId="642E2FF5" w14:textId="77777777" w:rsidTr="0003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9545969" w14:textId="77777777" w:rsidR="007B26B8" w:rsidRPr="00481B63" w:rsidRDefault="007B26B8" w:rsidP="00037B58">
            <w:pPr>
              <w:rPr>
                <w:rFonts w:ascii="Garamond" w:hAnsi="Garamond"/>
                <w:sz w:val="18"/>
                <w:szCs w:val="18"/>
              </w:rPr>
            </w:pPr>
            <w:r w:rsidRPr="00481B63">
              <w:rPr>
                <w:rFonts w:ascii="Garamond" w:hAnsi="Garamond"/>
                <w:sz w:val="18"/>
                <w:szCs w:val="18"/>
              </w:rPr>
              <w:t>Testing</w:t>
            </w:r>
          </w:p>
        </w:tc>
        <w:tc>
          <w:tcPr>
            <w:tcW w:w="1591" w:type="dxa"/>
          </w:tcPr>
          <w:p w14:paraId="53F6D661" w14:textId="77777777" w:rsidR="007B26B8" w:rsidRPr="007B26B8" w:rsidRDefault="007B26B8" w:rsidP="00037B58">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p>
        </w:tc>
        <w:tc>
          <w:tcPr>
            <w:tcW w:w="1895" w:type="dxa"/>
          </w:tcPr>
          <w:p w14:paraId="3F8B1AC9" w14:textId="77777777" w:rsidR="007B26B8" w:rsidRPr="007B26B8" w:rsidRDefault="007B26B8" w:rsidP="00037B58">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p>
        </w:tc>
        <w:tc>
          <w:tcPr>
            <w:tcW w:w="2065" w:type="dxa"/>
          </w:tcPr>
          <w:p w14:paraId="568F58CD" w14:textId="77777777" w:rsidR="007B26B8" w:rsidRPr="007B26B8" w:rsidRDefault="007B26B8" w:rsidP="00037B58">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p>
        </w:tc>
        <w:tc>
          <w:tcPr>
            <w:tcW w:w="2320" w:type="dxa"/>
          </w:tcPr>
          <w:p w14:paraId="544E8AC3" w14:textId="77777777" w:rsidR="007B26B8" w:rsidRPr="007B26B8" w:rsidRDefault="007B26B8" w:rsidP="00037B58">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p>
        </w:tc>
      </w:tr>
      <w:tr w:rsidR="007B26B8" w:rsidRPr="00481B63" w14:paraId="3B6E4382" w14:textId="77777777" w:rsidTr="00037B58">
        <w:tc>
          <w:tcPr>
            <w:cnfStyle w:val="001000000000" w:firstRow="0" w:lastRow="0" w:firstColumn="1" w:lastColumn="0" w:oddVBand="0" w:evenVBand="0" w:oddHBand="0" w:evenHBand="0" w:firstRowFirstColumn="0" w:firstRowLastColumn="0" w:lastRowFirstColumn="0" w:lastRowLastColumn="0"/>
            <w:tcW w:w="1793" w:type="dxa"/>
          </w:tcPr>
          <w:p w14:paraId="5AF2B107" w14:textId="77777777" w:rsidR="007B26B8" w:rsidRPr="00481B63" w:rsidRDefault="007B26B8" w:rsidP="007B26B8">
            <w:pPr>
              <w:rPr>
                <w:rFonts w:ascii="Garamond" w:hAnsi="Garamond"/>
                <w:b w:val="0"/>
                <w:bCs w:val="0"/>
                <w:sz w:val="18"/>
                <w:szCs w:val="18"/>
              </w:rPr>
            </w:pPr>
            <w:r w:rsidRPr="00481B63">
              <w:rPr>
                <w:rFonts w:ascii="Garamond" w:hAnsi="Garamond"/>
                <w:b w:val="0"/>
                <w:bCs w:val="0"/>
                <w:sz w:val="18"/>
                <w:szCs w:val="18"/>
              </w:rPr>
              <w:t xml:space="preserve">  Total performed (n)</w:t>
            </w:r>
          </w:p>
        </w:tc>
        <w:tc>
          <w:tcPr>
            <w:tcW w:w="1591" w:type="dxa"/>
          </w:tcPr>
          <w:p w14:paraId="2B7E5061" w14:textId="730E9BBF"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0 (0-0)</w:t>
            </w:r>
          </w:p>
        </w:tc>
        <w:tc>
          <w:tcPr>
            <w:tcW w:w="1895" w:type="dxa"/>
          </w:tcPr>
          <w:p w14:paraId="27DE763A" w14:textId="6B0AC54B"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14038 (11964-17059)</w:t>
            </w:r>
          </w:p>
        </w:tc>
        <w:tc>
          <w:tcPr>
            <w:tcW w:w="2065" w:type="dxa"/>
          </w:tcPr>
          <w:p w14:paraId="1C6A5282" w14:textId="01DDB1C6"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116020 (116020-116020)</w:t>
            </w:r>
          </w:p>
        </w:tc>
        <w:tc>
          <w:tcPr>
            <w:tcW w:w="2320" w:type="dxa"/>
          </w:tcPr>
          <w:p w14:paraId="35EC0AFC" w14:textId="73A0173D" w:rsidR="007B26B8" w:rsidRPr="007B26B8" w:rsidRDefault="007B26B8" w:rsidP="007B26B8">
            <w:pPr>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7B26B8">
              <w:rPr>
                <w:rFonts w:ascii="Garamond" w:hAnsi="Garamond"/>
                <w:sz w:val="18"/>
                <w:szCs w:val="18"/>
              </w:rPr>
              <w:t>129531 (127780-131865)</w:t>
            </w:r>
          </w:p>
        </w:tc>
      </w:tr>
      <w:tr w:rsidR="007B26B8" w:rsidRPr="00481B63" w14:paraId="50FBF168" w14:textId="77777777" w:rsidTr="0003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020A387" w14:textId="77777777" w:rsidR="007B26B8" w:rsidRPr="00481B63" w:rsidRDefault="007B26B8" w:rsidP="007B26B8">
            <w:pPr>
              <w:rPr>
                <w:rFonts w:ascii="Garamond" w:hAnsi="Garamond"/>
                <w:b w:val="0"/>
                <w:bCs w:val="0"/>
                <w:sz w:val="18"/>
                <w:szCs w:val="18"/>
              </w:rPr>
            </w:pPr>
            <w:r w:rsidRPr="00481B63">
              <w:rPr>
                <w:rFonts w:ascii="Garamond" w:hAnsi="Garamond"/>
                <w:b w:val="0"/>
                <w:bCs w:val="0"/>
                <w:sz w:val="18"/>
                <w:szCs w:val="18"/>
              </w:rPr>
              <w:t xml:space="preserve">  Per capita</w:t>
            </w:r>
          </w:p>
        </w:tc>
        <w:tc>
          <w:tcPr>
            <w:tcW w:w="1591" w:type="dxa"/>
          </w:tcPr>
          <w:p w14:paraId="4F2E2897" w14:textId="5E4D62FA"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7B26B8">
              <w:rPr>
                <w:rFonts w:ascii="Garamond" w:hAnsi="Garamond"/>
                <w:sz w:val="18"/>
                <w:szCs w:val="18"/>
              </w:rPr>
              <w:t>0 (0-0)</w:t>
            </w:r>
          </w:p>
        </w:tc>
        <w:tc>
          <w:tcPr>
            <w:tcW w:w="1895" w:type="dxa"/>
          </w:tcPr>
          <w:p w14:paraId="38D80BB0" w14:textId="43798CBE"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7B26B8">
              <w:rPr>
                <w:rFonts w:ascii="Garamond" w:hAnsi="Garamond"/>
                <w:sz w:val="18"/>
                <w:szCs w:val="18"/>
              </w:rPr>
              <w:t>0 (0-1)</w:t>
            </w:r>
          </w:p>
        </w:tc>
        <w:tc>
          <w:tcPr>
            <w:tcW w:w="2065" w:type="dxa"/>
          </w:tcPr>
          <w:p w14:paraId="534528D1" w14:textId="43842459"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7B26B8">
              <w:rPr>
                <w:rFonts w:ascii="Garamond" w:hAnsi="Garamond"/>
                <w:sz w:val="18"/>
                <w:szCs w:val="18"/>
              </w:rPr>
              <w:t>4 (4-4)</w:t>
            </w:r>
          </w:p>
        </w:tc>
        <w:tc>
          <w:tcPr>
            <w:tcW w:w="2320" w:type="dxa"/>
          </w:tcPr>
          <w:p w14:paraId="1F3BB783" w14:textId="45612E44" w:rsidR="007B26B8" w:rsidRPr="007B26B8" w:rsidRDefault="007B26B8" w:rsidP="007B26B8">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7B26B8">
              <w:rPr>
                <w:rFonts w:ascii="Garamond" w:hAnsi="Garamond"/>
                <w:sz w:val="18"/>
                <w:szCs w:val="18"/>
              </w:rPr>
              <w:t>4 (4-4)</w:t>
            </w:r>
          </w:p>
        </w:tc>
      </w:tr>
    </w:tbl>
    <w:p w14:paraId="6C69144C" w14:textId="77777777" w:rsidR="007B26B8" w:rsidRPr="00481B63" w:rsidRDefault="007B26B8" w:rsidP="007B26B8">
      <w:pPr>
        <w:rPr>
          <w:rFonts w:ascii="Garamond" w:hAnsi="Garamond"/>
          <w:b/>
          <w:bCs/>
          <w:sz w:val="22"/>
          <w:szCs w:val="22"/>
        </w:rPr>
      </w:pPr>
    </w:p>
    <w:p w14:paraId="19BB6C29" w14:textId="77777777" w:rsidR="007B26B8" w:rsidRDefault="007B26B8" w:rsidP="007B26B8">
      <w:pPr>
        <w:rPr>
          <w:rFonts w:ascii="Garamond" w:hAnsi="Garamond"/>
          <w:b/>
          <w:bCs/>
          <w:sz w:val="22"/>
          <w:szCs w:val="22"/>
        </w:rPr>
      </w:pPr>
    </w:p>
    <w:p w14:paraId="66965346" w14:textId="77777777" w:rsidR="007B26B8" w:rsidRDefault="007B26B8" w:rsidP="007B26B8">
      <w:pPr>
        <w:rPr>
          <w:rFonts w:ascii="Garamond" w:hAnsi="Garamond"/>
          <w:b/>
          <w:bCs/>
          <w:sz w:val="22"/>
          <w:szCs w:val="22"/>
        </w:rPr>
      </w:pPr>
    </w:p>
    <w:p w14:paraId="5F98B9EA" w14:textId="77777777" w:rsidR="007B26B8" w:rsidRDefault="007B26B8" w:rsidP="007B26B8">
      <w:pPr>
        <w:rPr>
          <w:rFonts w:ascii="Garamond" w:hAnsi="Garamond"/>
          <w:b/>
          <w:bCs/>
          <w:sz w:val="22"/>
          <w:szCs w:val="22"/>
        </w:rPr>
      </w:pPr>
      <w:bookmarkStart w:id="0" w:name="_GoBack"/>
      <w:bookmarkEnd w:id="0"/>
    </w:p>
    <w:p w14:paraId="72CC0B97" w14:textId="77777777" w:rsidR="007B26B8" w:rsidRDefault="007B26B8" w:rsidP="007B26B8">
      <w:pPr>
        <w:rPr>
          <w:rFonts w:ascii="Garamond" w:hAnsi="Garamond"/>
          <w:b/>
          <w:bCs/>
          <w:sz w:val="22"/>
          <w:szCs w:val="22"/>
        </w:rPr>
      </w:pPr>
    </w:p>
    <w:p w14:paraId="5B0B8807" w14:textId="01213A73" w:rsidR="007B26B8" w:rsidRPr="00481B63" w:rsidRDefault="007B26B8" w:rsidP="007B26B8">
      <w:pPr>
        <w:rPr>
          <w:rFonts w:ascii="Garamond" w:hAnsi="Garamond"/>
          <w:b/>
          <w:bCs/>
          <w:sz w:val="22"/>
          <w:szCs w:val="22"/>
        </w:rPr>
      </w:pPr>
      <w:r w:rsidRPr="00481B63">
        <w:rPr>
          <w:rFonts w:ascii="Garamond" w:hAnsi="Garamond"/>
          <w:b/>
          <w:bCs/>
          <w:sz w:val="22"/>
          <w:szCs w:val="22"/>
        </w:rPr>
        <w:t>Refences</w:t>
      </w:r>
    </w:p>
    <w:p w14:paraId="646E5CC4" w14:textId="77777777" w:rsidR="007B26B8" w:rsidRPr="00481B63" w:rsidRDefault="007B26B8" w:rsidP="007B26B8">
      <w:pPr>
        <w:rPr>
          <w:rFonts w:ascii="Garamond" w:hAnsi="Garamond"/>
          <w:sz w:val="22"/>
          <w:szCs w:val="22"/>
        </w:rPr>
      </w:pPr>
    </w:p>
    <w:p w14:paraId="78E9BE71" w14:textId="77777777" w:rsidR="007B26B8" w:rsidRPr="00481B63" w:rsidRDefault="007B26B8" w:rsidP="007B26B8">
      <w:pPr>
        <w:pStyle w:val="Bibliography"/>
        <w:rPr>
          <w:rFonts w:ascii="Garamond" w:hAnsi="Garamond"/>
        </w:rPr>
      </w:pPr>
      <w:r w:rsidRPr="00481B63">
        <w:rPr>
          <w:rFonts w:ascii="Garamond" w:hAnsi="Garamond"/>
        </w:rPr>
        <w:fldChar w:fldCharType="begin"/>
      </w:r>
      <w:r w:rsidRPr="00481B63">
        <w:rPr>
          <w:rFonts w:ascii="Garamond" w:hAnsi="Garamond"/>
        </w:rPr>
        <w:instrText xml:space="preserve"> ADDIN ZOTERO_BIBL {"uncited":[],"omitted":[],"custom":[]} CSL_BIBLIOGRAPHY </w:instrText>
      </w:r>
      <w:r w:rsidRPr="00481B63">
        <w:rPr>
          <w:rFonts w:ascii="Garamond" w:hAnsi="Garamond"/>
        </w:rPr>
        <w:fldChar w:fldCharType="separate"/>
      </w:r>
      <w:r w:rsidRPr="00481B63">
        <w:rPr>
          <w:rFonts w:ascii="Garamond" w:hAnsi="Garamond"/>
        </w:rPr>
        <w:t xml:space="preserve">1. </w:t>
      </w:r>
      <w:r w:rsidRPr="00481B63">
        <w:rPr>
          <w:rFonts w:ascii="Garamond" w:hAnsi="Garamond"/>
        </w:rPr>
        <w:tab/>
        <w:t>https://plus.google.com/+UNESCO. Education: From disruption to recovery [Internet]. UNESCO. 2020 [cited 2020 Jun 5]. Available from: https://en.unesco.org/covid19/educationresponse</w:t>
      </w:r>
    </w:p>
    <w:p w14:paraId="3A3BDCD4" w14:textId="77777777" w:rsidR="007B26B8" w:rsidRPr="00481B63" w:rsidRDefault="007B26B8" w:rsidP="007B26B8">
      <w:pPr>
        <w:pStyle w:val="Bibliography"/>
        <w:rPr>
          <w:rFonts w:ascii="Garamond" w:hAnsi="Garamond"/>
        </w:rPr>
      </w:pPr>
      <w:r w:rsidRPr="00481B63">
        <w:rPr>
          <w:rFonts w:ascii="Garamond" w:hAnsi="Garamond"/>
        </w:rPr>
        <w:t xml:space="preserve">2. </w:t>
      </w:r>
      <w:r w:rsidRPr="00481B63">
        <w:rPr>
          <w:rFonts w:ascii="Garamond" w:hAnsi="Garamond"/>
        </w:rPr>
        <w:tab/>
      </w:r>
      <w:proofErr w:type="spellStart"/>
      <w:r w:rsidRPr="00481B63">
        <w:rPr>
          <w:rFonts w:ascii="Garamond" w:hAnsi="Garamond"/>
        </w:rPr>
        <w:t>Cauchemez</w:t>
      </w:r>
      <w:proofErr w:type="spellEnd"/>
      <w:r w:rsidRPr="00481B63">
        <w:rPr>
          <w:rFonts w:ascii="Garamond" w:hAnsi="Garamond"/>
        </w:rPr>
        <w:t xml:space="preserve"> S, Ferguson NM, Wachtel C, </w:t>
      </w:r>
      <w:proofErr w:type="spellStart"/>
      <w:r w:rsidRPr="00481B63">
        <w:rPr>
          <w:rFonts w:ascii="Garamond" w:hAnsi="Garamond"/>
        </w:rPr>
        <w:t>Tegnell</w:t>
      </w:r>
      <w:proofErr w:type="spellEnd"/>
      <w:r w:rsidRPr="00481B63">
        <w:rPr>
          <w:rFonts w:ascii="Garamond" w:hAnsi="Garamond"/>
        </w:rPr>
        <w:t xml:space="preserve"> A, </w:t>
      </w:r>
      <w:proofErr w:type="spellStart"/>
      <w:r w:rsidRPr="00481B63">
        <w:rPr>
          <w:rFonts w:ascii="Garamond" w:hAnsi="Garamond"/>
        </w:rPr>
        <w:t>Saour</w:t>
      </w:r>
      <w:proofErr w:type="spellEnd"/>
      <w:r w:rsidRPr="00481B63">
        <w:rPr>
          <w:rFonts w:ascii="Garamond" w:hAnsi="Garamond"/>
        </w:rPr>
        <w:t xml:space="preserve"> G, Duncan B, et al. Closure of schools during an influenza pandemic. Lancet Infect Dis. 2009 Aug;9(8):473–81. </w:t>
      </w:r>
    </w:p>
    <w:p w14:paraId="25937A86" w14:textId="77777777" w:rsidR="007B26B8" w:rsidRPr="00481B63" w:rsidRDefault="007B26B8" w:rsidP="007B26B8">
      <w:pPr>
        <w:pStyle w:val="Bibliography"/>
        <w:rPr>
          <w:rFonts w:ascii="Garamond" w:hAnsi="Garamond"/>
        </w:rPr>
      </w:pPr>
      <w:r w:rsidRPr="00481B63">
        <w:rPr>
          <w:rFonts w:ascii="Garamond" w:hAnsi="Garamond"/>
        </w:rPr>
        <w:t xml:space="preserve">3. </w:t>
      </w:r>
      <w:r w:rsidRPr="00481B63">
        <w:rPr>
          <w:rFonts w:ascii="Garamond" w:hAnsi="Garamond"/>
        </w:rPr>
        <w:tab/>
        <w:t xml:space="preserve">Davies NG, </w:t>
      </w:r>
      <w:proofErr w:type="spellStart"/>
      <w:r w:rsidRPr="00481B63">
        <w:rPr>
          <w:rFonts w:ascii="Garamond" w:hAnsi="Garamond"/>
        </w:rPr>
        <w:t>Klepac</w:t>
      </w:r>
      <w:proofErr w:type="spellEnd"/>
      <w:r w:rsidRPr="00481B63">
        <w:rPr>
          <w:rFonts w:ascii="Garamond" w:hAnsi="Garamond"/>
        </w:rPr>
        <w:t xml:space="preserve"> P, Liu Y, Prem K, Jit M, CMMID COVID-19 working group, et al. Age-dependent effects in the transmission and control of COVID-19 epidemics. Nat Med. 2020 Jun 16; </w:t>
      </w:r>
    </w:p>
    <w:p w14:paraId="25D0216D" w14:textId="77777777" w:rsidR="007B26B8" w:rsidRPr="00481B63" w:rsidRDefault="007B26B8" w:rsidP="007B26B8">
      <w:pPr>
        <w:pStyle w:val="Bibliography"/>
        <w:rPr>
          <w:rFonts w:ascii="Garamond" w:hAnsi="Garamond"/>
        </w:rPr>
      </w:pPr>
      <w:r w:rsidRPr="00481B63">
        <w:rPr>
          <w:rFonts w:ascii="Garamond" w:hAnsi="Garamond"/>
        </w:rPr>
        <w:t xml:space="preserve">4. </w:t>
      </w:r>
      <w:r w:rsidRPr="00481B63">
        <w:rPr>
          <w:rFonts w:ascii="Garamond" w:hAnsi="Garamond"/>
        </w:rPr>
        <w:tab/>
        <w:t>Staff C. Here’s a List of Colleges’ Plans for Reopening in the Fall. The Chronicle of Higher Education [Internet]. 2020 Apr 23 [cited 2020 Jun 5]; Available from: https://www.chronicle.com/article/Here-s-a-List-of-Colleges-/248626</w:t>
      </w:r>
    </w:p>
    <w:p w14:paraId="3C9F15A9" w14:textId="77777777" w:rsidR="007B26B8" w:rsidRPr="00481B63" w:rsidRDefault="007B26B8" w:rsidP="007B26B8">
      <w:pPr>
        <w:pStyle w:val="Bibliography"/>
        <w:rPr>
          <w:rFonts w:ascii="Garamond" w:hAnsi="Garamond"/>
        </w:rPr>
      </w:pPr>
      <w:r w:rsidRPr="00481B63">
        <w:rPr>
          <w:rFonts w:ascii="Garamond" w:hAnsi="Garamond"/>
        </w:rPr>
        <w:t xml:space="preserve">5. </w:t>
      </w:r>
      <w:r w:rsidRPr="00481B63">
        <w:rPr>
          <w:rFonts w:ascii="Garamond" w:hAnsi="Garamond"/>
        </w:rPr>
        <w:tab/>
        <w:t xml:space="preserve">Chu DK, </w:t>
      </w:r>
      <w:proofErr w:type="spellStart"/>
      <w:r w:rsidRPr="00481B63">
        <w:rPr>
          <w:rFonts w:ascii="Garamond" w:hAnsi="Garamond"/>
        </w:rPr>
        <w:t>Akl</w:t>
      </w:r>
      <w:proofErr w:type="spellEnd"/>
      <w:r w:rsidRPr="00481B63">
        <w:rPr>
          <w:rFonts w:ascii="Garamond" w:hAnsi="Garamond"/>
        </w:rPr>
        <w:t xml:space="preserve"> EA, Duda S, Solo K, </w:t>
      </w:r>
      <w:proofErr w:type="spellStart"/>
      <w:r w:rsidRPr="00481B63">
        <w:rPr>
          <w:rFonts w:ascii="Garamond" w:hAnsi="Garamond"/>
        </w:rPr>
        <w:t>Yaacoub</w:t>
      </w:r>
      <w:proofErr w:type="spellEnd"/>
      <w:r w:rsidRPr="00481B63">
        <w:rPr>
          <w:rFonts w:ascii="Garamond" w:hAnsi="Garamond"/>
        </w:rPr>
        <w:t xml:space="preserve"> S, </w:t>
      </w:r>
      <w:proofErr w:type="spellStart"/>
      <w:r w:rsidRPr="00481B63">
        <w:rPr>
          <w:rFonts w:ascii="Garamond" w:hAnsi="Garamond"/>
        </w:rPr>
        <w:t>Schünemann</w:t>
      </w:r>
      <w:proofErr w:type="spellEnd"/>
      <w:r w:rsidRPr="00481B63">
        <w:rPr>
          <w:rFonts w:ascii="Garamond" w:hAnsi="Garamond"/>
        </w:rPr>
        <w:t xml:space="preserve"> HJ, et al. Physical distancing, face masks, and eye protection to prevent person-to-person transmission of SARS-CoV-2 and COVID-19: a systematic review and meta-analysis. The Lancet. 2020 </w:t>
      </w:r>
      <w:proofErr w:type="gramStart"/>
      <w:r w:rsidRPr="00481B63">
        <w:rPr>
          <w:rFonts w:ascii="Garamond" w:hAnsi="Garamond"/>
        </w:rPr>
        <w:t>Jun;S</w:t>
      </w:r>
      <w:proofErr w:type="gramEnd"/>
      <w:r w:rsidRPr="00481B63">
        <w:rPr>
          <w:rFonts w:ascii="Garamond" w:hAnsi="Garamond"/>
        </w:rPr>
        <w:t xml:space="preserve">0140673620311429. </w:t>
      </w:r>
    </w:p>
    <w:p w14:paraId="3E0EBDAD" w14:textId="77777777" w:rsidR="007B26B8" w:rsidRPr="00481B63" w:rsidRDefault="007B26B8" w:rsidP="007B26B8">
      <w:pPr>
        <w:pStyle w:val="Bibliography"/>
        <w:rPr>
          <w:rFonts w:ascii="Garamond" w:hAnsi="Garamond"/>
        </w:rPr>
      </w:pPr>
      <w:r w:rsidRPr="00481B63">
        <w:rPr>
          <w:rFonts w:ascii="Garamond" w:hAnsi="Garamond"/>
        </w:rPr>
        <w:t xml:space="preserve">6. </w:t>
      </w:r>
      <w:r w:rsidRPr="00481B63">
        <w:rPr>
          <w:rFonts w:ascii="Garamond" w:hAnsi="Garamond"/>
        </w:rPr>
        <w:tab/>
        <w:t xml:space="preserve">Verity R, </w:t>
      </w:r>
      <w:proofErr w:type="spellStart"/>
      <w:r w:rsidRPr="00481B63">
        <w:rPr>
          <w:rFonts w:ascii="Garamond" w:hAnsi="Garamond"/>
        </w:rPr>
        <w:t>Okell</w:t>
      </w:r>
      <w:proofErr w:type="spellEnd"/>
      <w:r w:rsidRPr="00481B63">
        <w:rPr>
          <w:rFonts w:ascii="Garamond" w:hAnsi="Garamond"/>
        </w:rPr>
        <w:t xml:space="preserve"> LC, </w:t>
      </w:r>
      <w:proofErr w:type="spellStart"/>
      <w:r w:rsidRPr="00481B63">
        <w:rPr>
          <w:rFonts w:ascii="Garamond" w:hAnsi="Garamond"/>
        </w:rPr>
        <w:t>Dorigatti</w:t>
      </w:r>
      <w:proofErr w:type="spellEnd"/>
      <w:r w:rsidRPr="00481B63">
        <w:rPr>
          <w:rFonts w:ascii="Garamond" w:hAnsi="Garamond"/>
        </w:rPr>
        <w:t xml:space="preserve"> I, </w:t>
      </w:r>
      <w:proofErr w:type="spellStart"/>
      <w:r w:rsidRPr="00481B63">
        <w:rPr>
          <w:rFonts w:ascii="Garamond" w:hAnsi="Garamond"/>
        </w:rPr>
        <w:t>Winskill</w:t>
      </w:r>
      <w:proofErr w:type="spellEnd"/>
      <w:r w:rsidRPr="00481B63">
        <w:rPr>
          <w:rFonts w:ascii="Garamond" w:hAnsi="Garamond"/>
        </w:rPr>
        <w:t xml:space="preserve"> P, Whittaker C, Imai N, et al. Estimates of the severity of coronavirus disease 2019: a model-based analysis. Lancet Infect Dis. 2020 Jun 1;20(6):669–77. </w:t>
      </w:r>
    </w:p>
    <w:p w14:paraId="568F620C" w14:textId="77777777" w:rsidR="007B26B8" w:rsidRPr="00481B63" w:rsidRDefault="007B26B8" w:rsidP="007B26B8">
      <w:pPr>
        <w:pStyle w:val="Bibliography"/>
        <w:rPr>
          <w:rFonts w:ascii="Garamond" w:hAnsi="Garamond"/>
        </w:rPr>
      </w:pPr>
      <w:r w:rsidRPr="00481B63">
        <w:rPr>
          <w:rFonts w:ascii="Garamond" w:hAnsi="Garamond"/>
        </w:rPr>
        <w:t xml:space="preserve">7. </w:t>
      </w:r>
      <w:r w:rsidRPr="00481B63">
        <w:rPr>
          <w:rFonts w:ascii="Garamond" w:hAnsi="Garamond"/>
        </w:rPr>
        <w:tab/>
        <w:t>Li R, Pei S, Chen B, Song Y, Zhang T, Yang W, et al. Substantial undocumented infection facilitates the rapid dissemination of novel coronavirus (SARS-CoV2). Science [Internet]. 2020 Mar 16 [cited 2020 Mar 26]; Available from: https://science.sciencemag.org/content/early/2020/03/24/science.abb3221</w:t>
      </w:r>
    </w:p>
    <w:p w14:paraId="55B15C25" w14:textId="77777777" w:rsidR="007B26B8" w:rsidRPr="00481B63" w:rsidRDefault="007B26B8" w:rsidP="007B26B8">
      <w:pPr>
        <w:pStyle w:val="Bibliography"/>
        <w:rPr>
          <w:rFonts w:ascii="Garamond" w:hAnsi="Garamond"/>
        </w:rPr>
      </w:pPr>
      <w:r w:rsidRPr="00481B63">
        <w:rPr>
          <w:rFonts w:ascii="Garamond" w:hAnsi="Garamond"/>
        </w:rPr>
        <w:lastRenderedPageBreak/>
        <w:t xml:space="preserve">8. </w:t>
      </w:r>
      <w:r w:rsidRPr="00481B63">
        <w:rPr>
          <w:rFonts w:ascii="Garamond" w:hAnsi="Garamond"/>
        </w:rPr>
        <w:tab/>
        <w:t xml:space="preserve">Lauer SA, </w:t>
      </w:r>
      <w:proofErr w:type="spellStart"/>
      <w:r w:rsidRPr="00481B63">
        <w:rPr>
          <w:rFonts w:ascii="Garamond" w:hAnsi="Garamond"/>
        </w:rPr>
        <w:t>Grantz</w:t>
      </w:r>
      <w:proofErr w:type="spellEnd"/>
      <w:r w:rsidRPr="00481B63">
        <w:rPr>
          <w:rFonts w:ascii="Garamond" w:hAnsi="Garamond"/>
        </w:rPr>
        <w:t xml:space="preserve"> KH, Bi Q, Jones FK, Zheng Q, Meredith HR, et al. The Incubation Period of Coronavirus Disease 2019 (COVID-19) From Publicly Reported Confirmed Cases: Estimation and Application. Ann Intern Med. 2020 Mar 10;172(9):577–82. </w:t>
      </w:r>
    </w:p>
    <w:p w14:paraId="1028E5F7" w14:textId="77777777" w:rsidR="007B26B8" w:rsidRPr="00481B63" w:rsidRDefault="007B26B8" w:rsidP="007B26B8">
      <w:pPr>
        <w:pStyle w:val="Bibliography"/>
        <w:rPr>
          <w:rFonts w:ascii="Garamond" w:hAnsi="Garamond"/>
        </w:rPr>
      </w:pPr>
      <w:r w:rsidRPr="00481B63">
        <w:rPr>
          <w:rFonts w:ascii="Garamond" w:hAnsi="Garamond"/>
        </w:rPr>
        <w:t xml:space="preserve">9. </w:t>
      </w:r>
      <w:r w:rsidRPr="00481B63">
        <w:rPr>
          <w:rFonts w:ascii="Garamond" w:hAnsi="Garamond"/>
        </w:rPr>
        <w:tab/>
        <w:t>COVID-19 Status Report [Internet]. Georgia Department of Public Health. [cited 2020 Jun 5]. Available from: https://dph.georgia.gov/covid-19-daily-status-report</w:t>
      </w:r>
    </w:p>
    <w:p w14:paraId="0C0AE523" w14:textId="77777777" w:rsidR="007B26B8" w:rsidRPr="00481B63" w:rsidRDefault="007B26B8" w:rsidP="007B26B8">
      <w:pPr>
        <w:pStyle w:val="Bibliography"/>
        <w:rPr>
          <w:rFonts w:ascii="Garamond" w:hAnsi="Garamond"/>
        </w:rPr>
      </w:pPr>
      <w:r w:rsidRPr="00481B63">
        <w:rPr>
          <w:rFonts w:ascii="Garamond" w:hAnsi="Garamond"/>
        </w:rPr>
        <w:t xml:space="preserve">10. </w:t>
      </w:r>
      <w:r w:rsidRPr="00481B63">
        <w:rPr>
          <w:rFonts w:ascii="Garamond" w:hAnsi="Garamond"/>
        </w:rPr>
        <w:tab/>
        <w:t xml:space="preserve">Nichol KL, </w:t>
      </w:r>
      <w:proofErr w:type="spellStart"/>
      <w:r w:rsidRPr="00481B63">
        <w:rPr>
          <w:rFonts w:ascii="Garamond" w:hAnsi="Garamond"/>
        </w:rPr>
        <w:t>D’Heilly</w:t>
      </w:r>
      <w:proofErr w:type="spellEnd"/>
      <w:r w:rsidRPr="00481B63">
        <w:rPr>
          <w:rFonts w:ascii="Garamond" w:hAnsi="Garamond"/>
        </w:rPr>
        <w:t xml:space="preserve"> SJ, Greenberg ME, </w:t>
      </w:r>
      <w:proofErr w:type="spellStart"/>
      <w:r w:rsidRPr="00481B63">
        <w:rPr>
          <w:rFonts w:ascii="Garamond" w:hAnsi="Garamond"/>
        </w:rPr>
        <w:t>Ehlinger</w:t>
      </w:r>
      <w:proofErr w:type="spellEnd"/>
      <w:r w:rsidRPr="00481B63">
        <w:rPr>
          <w:rFonts w:ascii="Garamond" w:hAnsi="Garamond"/>
        </w:rPr>
        <w:t xml:space="preserve"> E. Burden of Influenza‐Like Illness and Effectiveness of Influenza Vaccination among Working Adults Aged 50–64 Years. Clin Infect Dis. 2009 Feb;48(3):292–8. </w:t>
      </w:r>
    </w:p>
    <w:p w14:paraId="1905303B" w14:textId="77777777" w:rsidR="007B26B8" w:rsidRPr="00481B63" w:rsidRDefault="007B26B8" w:rsidP="007B26B8">
      <w:pPr>
        <w:pStyle w:val="Bibliography"/>
        <w:rPr>
          <w:rFonts w:ascii="Garamond" w:hAnsi="Garamond"/>
        </w:rPr>
      </w:pPr>
      <w:r w:rsidRPr="00481B63">
        <w:rPr>
          <w:rFonts w:ascii="Garamond" w:hAnsi="Garamond"/>
        </w:rPr>
        <w:t xml:space="preserve">11. </w:t>
      </w:r>
      <w:r w:rsidRPr="00481B63">
        <w:rPr>
          <w:rFonts w:ascii="Garamond" w:hAnsi="Garamond"/>
        </w:rPr>
        <w:tab/>
      </w:r>
      <w:proofErr w:type="spellStart"/>
      <w:r w:rsidRPr="00481B63">
        <w:rPr>
          <w:rFonts w:ascii="Garamond" w:hAnsi="Garamond"/>
        </w:rPr>
        <w:t>Iuliano</w:t>
      </w:r>
      <w:proofErr w:type="spellEnd"/>
      <w:r w:rsidRPr="00481B63">
        <w:rPr>
          <w:rFonts w:ascii="Garamond" w:hAnsi="Garamond"/>
        </w:rPr>
        <w:t xml:space="preserve"> AD, Reed C, </w:t>
      </w:r>
      <w:proofErr w:type="spellStart"/>
      <w:r w:rsidRPr="00481B63">
        <w:rPr>
          <w:rFonts w:ascii="Garamond" w:hAnsi="Garamond"/>
        </w:rPr>
        <w:t>Guh</w:t>
      </w:r>
      <w:proofErr w:type="spellEnd"/>
      <w:r w:rsidRPr="00481B63">
        <w:rPr>
          <w:rFonts w:ascii="Garamond" w:hAnsi="Garamond"/>
        </w:rPr>
        <w:t xml:space="preserve"> A, Desai M, Dee DL, </w:t>
      </w:r>
      <w:proofErr w:type="spellStart"/>
      <w:r w:rsidRPr="00481B63">
        <w:rPr>
          <w:rFonts w:ascii="Garamond" w:hAnsi="Garamond"/>
        </w:rPr>
        <w:t>Kutty</w:t>
      </w:r>
      <w:proofErr w:type="spellEnd"/>
      <w:r w:rsidRPr="00481B63">
        <w:rPr>
          <w:rFonts w:ascii="Garamond" w:hAnsi="Garamond"/>
        </w:rPr>
        <w:t xml:space="preserve"> P, et al. Notes from the Field: Outbreak of 2009 Pandemic Influenza A (H1N1) Virus at a Large Public University in Delaware, April–May 2009. Clin Infect Dis. 2009 Dec 15;49(12):1811–20. </w:t>
      </w:r>
    </w:p>
    <w:p w14:paraId="771809F8" w14:textId="77777777" w:rsidR="007B26B8" w:rsidRPr="00481B63" w:rsidRDefault="007B26B8" w:rsidP="007B26B8">
      <w:pPr>
        <w:pStyle w:val="Bibliography"/>
        <w:rPr>
          <w:rFonts w:ascii="Garamond" w:hAnsi="Garamond"/>
        </w:rPr>
      </w:pPr>
      <w:r w:rsidRPr="00481B63">
        <w:rPr>
          <w:rFonts w:ascii="Garamond" w:hAnsi="Garamond"/>
        </w:rPr>
        <w:t xml:space="preserve">12. </w:t>
      </w:r>
      <w:r w:rsidRPr="00481B63">
        <w:rPr>
          <w:rFonts w:ascii="Garamond" w:hAnsi="Garamond"/>
        </w:rPr>
        <w:tab/>
      </w:r>
      <w:proofErr w:type="spellStart"/>
      <w:r w:rsidRPr="00481B63">
        <w:rPr>
          <w:rFonts w:ascii="Garamond" w:hAnsi="Garamond"/>
        </w:rPr>
        <w:t>Kucirka</w:t>
      </w:r>
      <w:proofErr w:type="spellEnd"/>
      <w:r w:rsidRPr="00481B63">
        <w:rPr>
          <w:rFonts w:ascii="Garamond" w:hAnsi="Garamond"/>
        </w:rPr>
        <w:t xml:space="preserve"> LM, Lauer SA, </w:t>
      </w:r>
      <w:proofErr w:type="spellStart"/>
      <w:r w:rsidRPr="00481B63">
        <w:rPr>
          <w:rFonts w:ascii="Garamond" w:hAnsi="Garamond"/>
        </w:rPr>
        <w:t>Laeyendecker</w:t>
      </w:r>
      <w:proofErr w:type="spellEnd"/>
      <w:r w:rsidRPr="00481B63">
        <w:rPr>
          <w:rFonts w:ascii="Garamond" w:hAnsi="Garamond"/>
        </w:rPr>
        <w:t xml:space="preserve"> O, Boon D, </w:t>
      </w:r>
      <w:proofErr w:type="spellStart"/>
      <w:r w:rsidRPr="00481B63">
        <w:rPr>
          <w:rFonts w:ascii="Garamond" w:hAnsi="Garamond"/>
        </w:rPr>
        <w:t>Lessler</w:t>
      </w:r>
      <w:proofErr w:type="spellEnd"/>
      <w:r w:rsidRPr="00481B63">
        <w:rPr>
          <w:rFonts w:ascii="Garamond" w:hAnsi="Garamond"/>
        </w:rPr>
        <w:t xml:space="preserve"> J. Variation in False-Negative Rate of Reverse Transcriptase Polymerase Chain Reaction–Based SARS-CoV-2 Tests by Time Since Exposure. Ann Intern Med [Internet]. 2020 May 13 [cited 2020 Jun 5]; Available from: https://www.acpjournals.org/doi/10.7326/M20-1495</w:t>
      </w:r>
    </w:p>
    <w:p w14:paraId="70435452" w14:textId="77777777" w:rsidR="007B26B8" w:rsidRPr="00481B63" w:rsidRDefault="007B26B8" w:rsidP="007B26B8">
      <w:pPr>
        <w:pStyle w:val="Bibliography"/>
        <w:rPr>
          <w:rFonts w:ascii="Garamond" w:hAnsi="Garamond"/>
        </w:rPr>
      </w:pPr>
      <w:r w:rsidRPr="00481B63">
        <w:rPr>
          <w:rFonts w:ascii="Garamond" w:hAnsi="Garamond"/>
        </w:rPr>
        <w:t xml:space="preserve">13. </w:t>
      </w:r>
      <w:r w:rsidRPr="00481B63">
        <w:rPr>
          <w:rFonts w:ascii="Garamond" w:hAnsi="Garamond"/>
        </w:rPr>
        <w:tab/>
        <w:t xml:space="preserve">Jenness SM, </w:t>
      </w:r>
      <w:proofErr w:type="spellStart"/>
      <w:r w:rsidRPr="00481B63">
        <w:rPr>
          <w:rFonts w:ascii="Garamond" w:hAnsi="Garamond"/>
        </w:rPr>
        <w:t>Goodreau</w:t>
      </w:r>
      <w:proofErr w:type="spellEnd"/>
      <w:r w:rsidRPr="00481B63">
        <w:rPr>
          <w:rFonts w:ascii="Garamond" w:hAnsi="Garamond"/>
        </w:rPr>
        <w:t xml:space="preserve"> SM, Morris M. </w:t>
      </w:r>
      <w:proofErr w:type="spellStart"/>
      <w:r w:rsidRPr="00481B63">
        <w:rPr>
          <w:rFonts w:ascii="Garamond" w:hAnsi="Garamond"/>
        </w:rPr>
        <w:t>EpiModel</w:t>
      </w:r>
      <w:proofErr w:type="spellEnd"/>
      <w:r w:rsidRPr="00481B63">
        <w:rPr>
          <w:rFonts w:ascii="Garamond" w:hAnsi="Garamond"/>
        </w:rPr>
        <w:t xml:space="preserve">: An R Package for Mathematical Modeling of Infectious Disease over Networks. J Stat </w:t>
      </w:r>
      <w:proofErr w:type="spellStart"/>
      <w:r w:rsidRPr="00481B63">
        <w:rPr>
          <w:rFonts w:ascii="Garamond" w:hAnsi="Garamond"/>
        </w:rPr>
        <w:t>Softw</w:t>
      </w:r>
      <w:proofErr w:type="spellEnd"/>
      <w:r w:rsidRPr="00481B63">
        <w:rPr>
          <w:rFonts w:ascii="Garamond" w:hAnsi="Garamond"/>
        </w:rPr>
        <w:t xml:space="preserve">. 2018 Apr;84. </w:t>
      </w:r>
    </w:p>
    <w:p w14:paraId="6206B6E9" w14:textId="77777777" w:rsidR="007B26B8" w:rsidRPr="00481B63" w:rsidRDefault="007B26B8" w:rsidP="007B26B8">
      <w:pPr>
        <w:pStyle w:val="Bibliography"/>
        <w:rPr>
          <w:rFonts w:ascii="Garamond" w:hAnsi="Garamond"/>
        </w:rPr>
      </w:pPr>
      <w:r w:rsidRPr="00481B63">
        <w:rPr>
          <w:rFonts w:ascii="Garamond" w:hAnsi="Garamond"/>
        </w:rPr>
        <w:t xml:space="preserve">14. </w:t>
      </w:r>
      <w:r w:rsidRPr="00481B63">
        <w:rPr>
          <w:rFonts w:ascii="Garamond" w:hAnsi="Garamond"/>
        </w:rPr>
        <w:tab/>
      </w:r>
      <w:proofErr w:type="spellStart"/>
      <w:r w:rsidRPr="00481B63">
        <w:rPr>
          <w:rFonts w:ascii="Garamond" w:hAnsi="Garamond"/>
        </w:rPr>
        <w:t>Kissler</w:t>
      </w:r>
      <w:proofErr w:type="spellEnd"/>
      <w:r w:rsidRPr="00481B63">
        <w:rPr>
          <w:rFonts w:ascii="Garamond" w:hAnsi="Garamond"/>
        </w:rPr>
        <w:t xml:space="preserve"> SM, </w:t>
      </w:r>
      <w:proofErr w:type="spellStart"/>
      <w:r w:rsidRPr="00481B63">
        <w:rPr>
          <w:rFonts w:ascii="Garamond" w:hAnsi="Garamond"/>
        </w:rPr>
        <w:t>Tedijanto</w:t>
      </w:r>
      <w:proofErr w:type="spellEnd"/>
      <w:r w:rsidRPr="00481B63">
        <w:rPr>
          <w:rFonts w:ascii="Garamond" w:hAnsi="Garamond"/>
        </w:rPr>
        <w:t xml:space="preserve"> C, Goldstein E, Grad YH, </w:t>
      </w:r>
      <w:proofErr w:type="spellStart"/>
      <w:r w:rsidRPr="00481B63">
        <w:rPr>
          <w:rFonts w:ascii="Garamond" w:hAnsi="Garamond"/>
        </w:rPr>
        <w:t>Lipsitch</w:t>
      </w:r>
      <w:proofErr w:type="spellEnd"/>
      <w:r w:rsidRPr="00481B63">
        <w:rPr>
          <w:rFonts w:ascii="Garamond" w:hAnsi="Garamond"/>
        </w:rPr>
        <w:t xml:space="preserve"> M. Projecting the transmission dynamics of SARS-CoV-2 through the post-pandemic period. </w:t>
      </w:r>
      <w:proofErr w:type="spellStart"/>
      <w:r w:rsidRPr="00481B63">
        <w:rPr>
          <w:rFonts w:ascii="Garamond" w:hAnsi="Garamond"/>
        </w:rPr>
        <w:t>medRxiv</w:t>
      </w:r>
      <w:proofErr w:type="spellEnd"/>
      <w:r w:rsidRPr="00481B63">
        <w:rPr>
          <w:rFonts w:ascii="Garamond" w:hAnsi="Garamond"/>
        </w:rPr>
        <w:t xml:space="preserve">. 2020 Mar 6;2020.03.04.20031112. </w:t>
      </w:r>
    </w:p>
    <w:p w14:paraId="36A402DA" w14:textId="77777777" w:rsidR="007B26B8" w:rsidRPr="00481B63" w:rsidRDefault="007B26B8" w:rsidP="007B26B8">
      <w:pPr>
        <w:pStyle w:val="Bibliography"/>
        <w:rPr>
          <w:rFonts w:ascii="Garamond" w:hAnsi="Garamond"/>
        </w:rPr>
      </w:pPr>
      <w:r w:rsidRPr="00481B63">
        <w:rPr>
          <w:rFonts w:ascii="Garamond" w:hAnsi="Garamond"/>
        </w:rPr>
        <w:t xml:space="preserve">15. </w:t>
      </w:r>
      <w:r w:rsidRPr="00481B63">
        <w:rPr>
          <w:rFonts w:ascii="Garamond" w:hAnsi="Garamond"/>
        </w:rPr>
        <w:tab/>
        <w:t xml:space="preserve">Davies NG, </w:t>
      </w:r>
      <w:proofErr w:type="spellStart"/>
      <w:r w:rsidRPr="00481B63">
        <w:rPr>
          <w:rFonts w:ascii="Garamond" w:hAnsi="Garamond"/>
        </w:rPr>
        <w:t>Klepac</w:t>
      </w:r>
      <w:proofErr w:type="spellEnd"/>
      <w:r w:rsidRPr="00481B63">
        <w:rPr>
          <w:rFonts w:ascii="Garamond" w:hAnsi="Garamond"/>
        </w:rPr>
        <w:t xml:space="preserve"> P, Liu Y, Prem K, Jit M, CMMID COVID-19 working group, et al. Age-dependent effects in the transmission and control of COVID-19 epidemics [Internet]. Epidemiology; 2020 Mar [cited 2020 Jun 5]. Available from: http://medrxiv.org/lookup/doi/10.1101/2020.03.24.20043018</w:t>
      </w:r>
    </w:p>
    <w:p w14:paraId="4D0E48D9" w14:textId="77777777" w:rsidR="007B26B8" w:rsidRPr="00481B63" w:rsidRDefault="007B26B8" w:rsidP="007B26B8">
      <w:pPr>
        <w:pStyle w:val="Bibliography"/>
        <w:rPr>
          <w:rFonts w:ascii="Garamond" w:hAnsi="Garamond"/>
        </w:rPr>
      </w:pPr>
      <w:r w:rsidRPr="00481B63">
        <w:rPr>
          <w:rFonts w:ascii="Garamond" w:hAnsi="Garamond"/>
        </w:rPr>
        <w:t xml:space="preserve">16. </w:t>
      </w:r>
      <w:r w:rsidRPr="00481B63">
        <w:rPr>
          <w:rFonts w:ascii="Garamond" w:hAnsi="Garamond"/>
        </w:rPr>
        <w:tab/>
      </w:r>
      <w:proofErr w:type="spellStart"/>
      <w:r w:rsidRPr="00481B63">
        <w:rPr>
          <w:rFonts w:ascii="Garamond" w:hAnsi="Garamond"/>
        </w:rPr>
        <w:t>Mossong</w:t>
      </w:r>
      <w:proofErr w:type="spellEnd"/>
      <w:r w:rsidRPr="00481B63">
        <w:rPr>
          <w:rFonts w:ascii="Garamond" w:hAnsi="Garamond"/>
        </w:rPr>
        <w:t xml:space="preserve"> J, Hens N, Jit M, </w:t>
      </w:r>
      <w:proofErr w:type="spellStart"/>
      <w:r w:rsidRPr="00481B63">
        <w:rPr>
          <w:rFonts w:ascii="Garamond" w:hAnsi="Garamond"/>
        </w:rPr>
        <w:t>Beutels</w:t>
      </w:r>
      <w:proofErr w:type="spellEnd"/>
      <w:r w:rsidRPr="00481B63">
        <w:rPr>
          <w:rFonts w:ascii="Garamond" w:hAnsi="Garamond"/>
        </w:rPr>
        <w:t xml:space="preserve"> P, </w:t>
      </w:r>
      <w:proofErr w:type="spellStart"/>
      <w:r w:rsidRPr="00481B63">
        <w:rPr>
          <w:rFonts w:ascii="Garamond" w:hAnsi="Garamond"/>
        </w:rPr>
        <w:t>Auranen</w:t>
      </w:r>
      <w:proofErr w:type="spellEnd"/>
      <w:r w:rsidRPr="00481B63">
        <w:rPr>
          <w:rFonts w:ascii="Garamond" w:hAnsi="Garamond"/>
        </w:rPr>
        <w:t xml:space="preserve"> K, </w:t>
      </w:r>
      <w:proofErr w:type="spellStart"/>
      <w:r w:rsidRPr="00481B63">
        <w:rPr>
          <w:rFonts w:ascii="Garamond" w:hAnsi="Garamond"/>
        </w:rPr>
        <w:t>Mikolajczyk</w:t>
      </w:r>
      <w:proofErr w:type="spellEnd"/>
      <w:r w:rsidRPr="00481B63">
        <w:rPr>
          <w:rFonts w:ascii="Garamond" w:hAnsi="Garamond"/>
        </w:rPr>
        <w:t xml:space="preserve"> R, et al. Social Contacts and Mixing Patterns Relevant to the Spread of Infectious Diseases. PLOS Med. 2008 Mar 25;5(3</w:t>
      </w:r>
      <w:proofErr w:type="gramStart"/>
      <w:r w:rsidRPr="00481B63">
        <w:rPr>
          <w:rFonts w:ascii="Garamond" w:hAnsi="Garamond"/>
        </w:rPr>
        <w:t>):e</w:t>
      </w:r>
      <w:proofErr w:type="gramEnd"/>
      <w:r w:rsidRPr="00481B63">
        <w:rPr>
          <w:rFonts w:ascii="Garamond" w:hAnsi="Garamond"/>
        </w:rPr>
        <w:t xml:space="preserve">74. </w:t>
      </w:r>
    </w:p>
    <w:p w14:paraId="380D9D00" w14:textId="77777777" w:rsidR="007B26B8" w:rsidRPr="00481B63" w:rsidRDefault="007B26B8" w:rsidP="007B26B8">
      <w:pPr>
        <w:pStyle w:val="Bibliography"/>
        <w:rPr>
          <w:rFonts w:ascii="Garamond" w:hAnsi="Garamond"/>
        </w:rPr>
      </w:pPr>
      <w:r w:rsidRPr="00481B63">
        <w:rPr>
          <w:rFonts w:ascii="Garamond" w:hAnsi="Garamond"/>
        </w:rPr>
        <w:t xml:space="preserve">17. </w:t>
      </w:r>
      <w:r w:rsidRPr="00481B63">
        <w:rPr>
          <w:rFonts w:ascii="Garamond" w:hAnsi="Garamond"/>
        </w:rPr>
        <w:tab/>
      </w:r>
      <w:proofErr w:type="spellStart"/>
      <w:r w:rsidRPr="00481B63">
        <w:rPr>
          <w:rFonts w:ascii="Garamond" w:hAnsi="Garamond"/>
        </w:rPr>
        <w:t>Guh</w:t>
      </w:r>
      <w:proofErr w:type="spellEnd"/>
      <w:r w:rsidRPr="00481B63">
        <w:rPr>
          <w:rFonts w:ascii="Garamond" w:hAnsi="Garamond"/>
        </w:rPr>
        <w:t xml:space="preserve"> A, Reed C, Gould LH, </w:t>
      </w:r>
      <w:proofErr w:type="spellStart"/>
      <w:r w:rsidRPr="00481B63">
        <w:rPr>
          <w:rFonts w:ascii="Garamond" w:hAnsi="Garamond"/>
        </w:rPr>
        <w:t>Kutty</w:t>
      </w:r>
      <w:proofErr w:type="spellEnd"/>
      <w:r w:rsidRPr="00481B63">
        <w:rPr>
          <w:rFonts w:ascii="Garamond" w:hAnsi="Garamond"/>
        </w:rPr>
        <w:t xml:space="preserve"> P, </w:t>
      </w:r>
      <w:proofErr w:type="spellStart"/>
      <w:r w:rsidRPr="00481B63">
        <w:rPr>
          <w:rFonts w:ascii="Garamond" w:hAnsi="Garamond"/>
        </w:rPr>
        <w:t>Iuliano</w:t>
      </w:r>
      <w:proofErr w:type="spellEnd"/>
      <w:r w:rsidRPr="00481B63">
        <w:rPr>
          <w:rFonts w:ascii="Garamond" w:hAnsi="Garamond"/>
        </w:rPr>
        <w:t xml:space="preserve"> D, Mitchell T, et al. Transmission of 2009 Pandemic Influenza A (H1N1) at a Public University--Delaware, April-May 2009. Clin Infect Dis. 2011 Jan 1;52(Supplement 1</w:t>
      </w:r>
      <w:proofErr w:type="gramStart"/>
      <w:r w:rsidRPr="00481B63">
        <w:rPr>
          <w:rFonts w:ascii="Garamond" w:hAnsi="Garamond"/>
        </w:rPr>
        <w:t>):S</w:t>
      </w:r>
      <w:proofErr w:type="gramEnd"/>
      <w:r w:rsidRPr="00481B63">
        <w:rPr>
          <w:rFonts w:ascii="Garamond" w:hAnsi="Garamond"/>
        </w:rPr>
        <w:t xml:space="preserve">131–7. </w:t>
      </w:r>
    </w:p>
    <w:p w14:paraId="7D4CDF9D" w14:textId="77777777" w:rsidR="007B26B8" w:rsidRPr="00481B63" w:rsidRDefault="007B26B8" w:rsidP="007B26B8">
      <w:pPr>
        <w:pStyle w:val="Bibliography"/>
        <w:rPr>
          <w:rFonts w:ascii="Garamond" w:hAnsi="Garamond"/>
        </w:rPr>
      </w:pPr>
      <w:r w:rsidRPr="00481B63">
        <w:rPr>
          <w:rFonts w:ascii="Garamond" w:hAnsi="Garamond"/>
        </w:rPr>
        <w:t xml:space="preserve">18. </w:t>
      </w:r>
      <w:r w:rsidRPr="00481B63">
        <w:rPr>
          <w:rFonts w:ascii="Garamond" w:hAnsi="Garamond"/>
        </w:rPr>
        <w:tab/>
        <w:t xml:space="preserve">Flattening the curve on COVID-19: How Korea responded to a pandemic using ICT </w:t>
      </w:r>
      <w:proofErr w:type="spellStart"/>
      <w:r w:rsidRPr="00481B63">
        <w:rPr>
          <w:rFonts w:ascii="Garamond" w:eastAsia="Batang" w:hAnsi="Garamond" w:cs="Batang" w:hint="eastAsia"/>
        </w:rPr>
        <w:t>상세보기</w:t>
      </w:r>
      <w:r w:rsidRPr="00481B63">
        <w:rPr>
          <w:rFonts w:ascii="Garamond" w:hAnsi="Garamond"/>
        </w:rPr>
        <w:t>|Bilateral</w:t>
      </w:r>
      <w:proofErr w:type="spellEnd"/>
      <w:r w:rsidRPr="00481B63">
        <w:rPr>
          <w:rFonts w:ascii="Garamond" w:hAnsi="Garamond"/>
        </w:rPr>
        <w:t xml:space="preserve"> </w:t>
      </w:r>
      <w:proofErr w:type="spellStart"/>
      <w:r w:rsidRPr="00481B63">
        <w:rPr>
          <w:rFonts w:ascii="Garamond" w:hAnsi="Garamond"/>
        </w:rPr>
        <w:t>RelationsEmbassy</w:t>
      </w:r>
      <w:proofErr w:type="spellEnd"/>
      <w:r w:rsidRPr="00481B63">
        <w:rPr>
          <w:rFonts w:ascii="Garamond" w:hAnsi="Garamond"/>
        </w:rPr>
        <w:t xml:space="preserve"> of the Republic of Korea to the Hellenic Republic [Internet]. [cited 2020 Jun 23]. Available from: http://overseas.mofa.go.kr/gr-en/brd/m_6940/view.do?seq=761548</w:t>
      </w:r>
    </w:p>
    <w:p w14:paraId="092B8958" w14:textId="77777777" w:rsidR="007B26B8" w:rsidRPr="00481B63" w:rsidRDefault="007B26B8" w:rsidP="007B26B8">
      <w:pPr>
        <w:pStyle w:val="Bibliography"/>
        <w:rPr>
          <w:rFonts w:ascii="Garamond" w:hAnsi="Garamond"/>
        </w:rPr>
      </w:pPr>
      <w:r w:rsidRPr="00481B63">
        <w:rPr>
          <w:rFonts w:ascii="Garamond" w:hAnsi="Garamond"/>
        </w:rPr>
        <w:t xml:space="preserve">19. </w:t>
      </w:r>
      <w:r w:rsidRPr="00481B63">
        <w:rPr>
          <w:rFonts w:ascii="Garamond" w:hAnsi="Garamond"/>
        </w:rPr>
        <w:tab/>
        <w:t>Fall 2020 Return to Campus | Emory University | Atlanta GA [Internet]. [cited 2020 Jun 21]. Available from: http://emory.edu/forward/index.html</w:t>
      </w:r>
    </w:p>
    <w:p w14:paraId="66409975" w14:textId="77777777" w:rsidR="007B26B8" w:rsidRPr="00481B63" w:rsidRDefault="007B26B8" w:rsidP="007B26B8">
      <w:pPr>
        <w:rPr>
          <w:rFonts w:ascii="Garamond" w:hAnsi="Garamond"/>
          <w:sz w:val="22"/>
          <w:szCs w:val="22"/>
        </w:rPr>
      </w:pPr>
      <w:r w:rsidRPr="00481B63">
        <w:rPr>
          <w:rFonts w:ascii="Garamond" w:hAnsi="Garamond"/>
          <w:sz w:val="22"/>
          <w:szCs w:val="22"/>
        </w:rPr>
        <w:fldChar w:fldCharType="end"/>
      </w:r>
      <w:r w:rsidRPr="00481B63">
        <w:rPr>
          <w:rFonts w:ascii="Garamond" w:hAnsi="Garamond"/>
          <w:sz w:val="22"/>
          <w:szCs w:val="22"/>
        </w:rPr>
        <w:br w:type="page"/>
      </w:r>
    </w:p>
    <w:p w14:paraId="1B9C6CED" w14:textId="77777777" w:rsidR="007B26B8" w:rsidRDefault="007B26B8"/>
    <w:sectPr w:rsidR="007B2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41"/>
    <w:rsid w:val="0065358C"/>
    <w:rsid w:val="00664D41"/>
    <w:rsid w:val="007B26B8"/>
    <w:rsid w:val="00946FCE"/>
    <w:rsid w:val="00B36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218F6"/>
  <w15:chartTrackingRefBased/>
  <w15:docId w15:val="{F2FCBB20-30BE-4A82-8D55-1BCAFF2B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4D41"/>
    <w:pPr>
      <w:spacing w:after="0" w:line="240" w:lineRule="auto"/>
    </w:pPr>
    <w:rPr>
      <w:rFonts w:eastAsia="SimSu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664D41"/>
    <w:pPr>
      <w:spacing w:after="0" w:line="240" w:lineRule="auto"/>
    </w:pPr>
    <w:rPr>
      <w:rFonts w:eastAsia="SimSun"/>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semiHidden/>
    <w:unhideWhenUsed/>
    <w:rsid w:val="007B26B8"/>
  </w:style>
  <w:style w:type="table" w:styleId="ListTable3">
    <w:name w:val="List Table 3"/>
    <w:basedOn w:val="TableNormal"/>
    <w:uiPriority w:val="48"/>
    <w:rsid w:val="007B26B8"/>
    <w:pPr>
      <w:spacing w:after="0" w:line="240" w:lineRule="auto"/>
    </w:pPr>
    <w:rPr>
      <w:rFonts w:eastAsia="SimSun"/>
      <w:sz w:val="24"/>
      <w:szCs w:val="24"/>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43A7275AC0134F9C3CA618E0B2AADE" ma:contentTypeVersion="9" ma:contentTypeDescription="Create a new document." ma:contentTypeScope="" ma:versionID="a55ad8387979653c5b028c4fb5dfc573">
  <xsd:schema xmlns:xsd="http://www.w3.org/2001/XMLSchema" xmlns:xs="http://www.w3.org/2001/XMLSchema" xmlns:p="http://schemas.microsoft.com/office/2006/metadata/properties" xmlns:ns3="6ff8b2a1-89eb-493f-8e25-b6ba500e8664" targetNamespace="http://schemas.microsoft.com/office/2006/metadata/properties" ma:root="true" ma:fieldsID="1dd7a26b03ef61dde00f8bf99dbb8c6f" ns3:_="">
    <xsd:import namespace="6ff8b2a1-89eb-493f-8e25-b6ba500e866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8b2a1-89eb-493f-8e25-b6ba500e8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274EAE-74A7-404A-85F4-EF3C32A22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f8b2a1-89eb-493f-8e25-b6ba500e86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2EAB9A-6A8A-44F2-8A7B-9AAF509145F7}">
  <ds:schemaRefs>
    <ds:schemaRef ds:uri="http://schemas.microsoft.com/sharepoint/v3/contenttype/forms"/>
  </ds:schemaRefs>
</ds:datastoreItem>
</file>

<file path=customXml/itemProps3.xml><?xml version="1.0" encoding="utf-8"?>
<ds:datastoreItem xmlns:ds="http://schemas.openxmlformats.org/officeDocument/2006/customXml" ds:itemID="{792CB966-B5BA-4E9E-9DF5-B57D6225DD2A}">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ff8b2a1-89eb-493f-8e25-b6ba500e8664"/>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7544</Words>
  <Characters>43005</Characters>
  <Application>Microsoft Office Word</Application>
  <DocSecurity>0</DocSecurity>
  <Lines>358</Lines>
  <Paragraphs>100</Paragraphs>
  <ScaleCrop>false</ScaleCrop>
  <Company>RSPH Emory</Company>
  <LinksUpToDate>false</LinksUpToDate>
  <CharactersWithSpaces>50449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Carol</dc:creator>
  <cp:keywords/>
  <dc:description/>
  <cp:lastModifiedBy>Liu, Carol</cp:lastModifiedBy>
  <cp:revision>2</cp:revision>
  <dcterms:created xsi:type="dcterms:W3CDTF">2020-07-23T02:21:00Z</dcterms:created>
  <dcterms:modified xsi:type="dcterms:W3CDTF">2020-07-23T02:29:00Z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0x0101003B43A7275AC0134F9C3CA618E0B2AADE</vt:lpwstr>
  </property>
</Properties>
</file>