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Francophonie Summit Discussion</w:t>
      </w:r>
    </w:p>
    <w:p>
      <w:pPr>
        <w:pStyle w:val="Heading2"/>
      </w:pPr>
      <w:r>
        <w:t>Topic Overview</w:t>
      </w:r>
    </w:p>
    <w:p>
      <w:r>
        <w:t>The meeting focuses on the summit of the Francophonie and the importance of the French language and culture in a global context. The discussion features Florence Teste, a French as a Foreign Language (FLE) teacher at the University of Montpellier, who shares her experiences teaching French abroad and her perspective on the significance of the Francophonie.</w:t>
      </w:r>
    </w:p>
    <w:p>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frame_26_3540.jpg"/>
                    <pic:cNvPicPr/>
                  </pic:nvPicPr>
                  <pic:blipFill>
                    <a:blip r:embed="rId9"/>
                    <a:stretch>
                      <a:fillRect/>
                    </a:stretch>
                  </pic:blipFill>
                  <pic:spPr>
                    <a:xfrm>
                      <a:off x="0" y="0"/>
                      <a:ext cx="4572000" cy="2571750"/>
                    </a:xfrm>
                    <a:prstGeom prst="rect"/>
                  </pic:spPr>
                </pic:pic>
              </a:graphicData>
            </a:graphic>
          </wp:inline>
        </w:drawing>
      </w:r>
    </w:p>
    <w:p>
      <w:r>
        <w:t>Florence Teste discussing the Francophonie.</w:t>
      </w:r>
    </w:p>
    <w:p>
      <w:pPr>
        <w:pStyle w:val="Heading2"/>
      </w:pPr>
      <w:r>
        <w:t>Core Concept Explained</w:t>
      </w:r>
    </w:p>
    <w:p>
      <w:r>
        <w:t>The core concept is the Francophonie, which extends beyond simply sharing the French language. It encompasses shared values, a sense of community, and a universal connection among people from diverse backgrounds who appreciate the French language and culture. This shared appreciation creates a unique bond that transcends geographical and cultural boundaries.</w:t>
      </w:r>
    </w:p>
    <w:p>
      <w:pPr>
        <w:pStyle w:val="Heading2"/>
      </w:pPr>
      <w:r>
        <w:t>Key Examples Discussed</w:t>
      </w:r>
    </w:p>
    <w:p>
      <w:r>
        <w:t>Florence Teste shares anecdotes from her teaching experiences in China, highlighting the respect and appreciation she encountered from students. She recounts an instance where students stood up when she entered the classroom, demonstrating a level of deference that is less common in France. She also mentions that students come from many different countries wanting to learn French.</w:t>
      </w:r>
    </w:p>
    <w:p>
      <w:pPr>
        <w:pStyle w:val="Heading2"/>
      </w:pPr>
      <w:r>
        <w:t>Case Study Analysis</w:t>
      </w:r>
    </w:p>
    <w:p>
      <w:r>
        <w:t>The discussion includes a case study of LCFF (Langue Culture Française et Francophone), a magazine created to provide accessible French content for learners. The magazine featured articles on various topics, including society, literature, songs, and cuisine, with different levels of difficulty indicated by logos. Despite its success in reaching readers in 200 countries, the magazine eventually faced economic challenges and was unable to secure sufficient funding.</w:t>
      </w:r>
    </w:p>
    <w:p>
      <w:r>
        <w:t>TV5 Monde provided some support.</w:t>
      </w:r>
    </w:p>
    <w:p>
      <w:pPr>
        <w:pStyle w:val="Heading2"/>
      </w:pPr>
      <w:r>
        <w:t>Lessons Learned</w:t>
      </w:r>
    </w:p>
    <w:p>
      <w:r>
        <w:t>The experience with LCFF highlights the challenges of sustaining initiatives that promote French language and culture, even when they are well-received. It underscores the importance of securing adequate funding and support to maintain such projects.</w:t>
      </w:r>
    </w:p>
    <w:p>
      <w:pPr>
        <w:pStyle w:val="Heading2"/>
      </w:pPr>
      <w:r>
        <w:t>Conclusion</w:t>
      </w:r>
    </w:p>
    <w:p>
      <w:r>
        <w:t>The discussion concludes with Florence Teste emphasizing the importance of the Francophonie in bringing people together through shared values and appreciation for the French language. Her experiences as a teacher and the story of LCFF illustrate the passion and dedication of those involved in promoting French language and culture around the world.</w:t>
      </w:r>
    </w:p>
    <w:p>
      <w:r>
        <w:t>She is thanked for her insights.</w:t>
      </w:r>
    </w:p>
    <w:p>
      <w:r>
        <w:drawing>
          <wp:inline xmlns:a="http://schemas.openxmlformats.org/drawingml/2006/main" xmlns:pic="http://schemas.openxmlformats.org/drawingml/2006/picture">
            <wp:extent cx="4572000" cy="2571750"/>
            <wp:docPr id="2" name="Picture 2"/>
            <wp:cNvGraphicFramePr>
              <a:graphicFrameLocks noChangeAspect="1"/>
            </wp:cNvGraphicFramePr>
            <a:graphic>
              <a:graphicData uri="http://schemas.openxmlformats.org/drawingml/2006/picture">
                <pic:pic>
                  <pic:nvPicPr>
                    <pic:cNvPr id="0" name="frame_22_6090.jpg"/>
                    <pic:cNvPicPr/>
                  </pic:nvPicPr>
                  <pic:blipFill>
                    <a:blip r:embed="rId10"/>
                    <a:stretch>
                      <a:fillRect/>
                    </a:stretch>
                  </pic:blipFill>
                  <pic:spPr>
                    <a:xfrm>
                      <a:off x="0" y="0"/>
                      <a:ext cx="4572000" cy="2571750"/>
                    </a:xfrm>
                    <a:prstGeom prst="rect"/>
                  </pic:spPr>
                </pic:pic>
              </a:graphicData>
            </a:graphic>
          </wp:inline>
        </w:drawing>
      </w:r>
    </w:p>
    <w:p>
      <w:r>
        <w:t>Conclusion of the discussion on the Francophonie.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