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el articulo da por hecho un banco dispuesto a prestar,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Antes de la encuesta, el modelo salió de más de 90 horas de conversaciones abiertas con 17 agroindustrias entre enero de 2006 y septiembre de 2011, y se validó en una segunda ronda de entrevistas. Los autores contactaron 275 empresas, recibieron 86 respuestas, descartaron 20 por venir incompletas y se quedaron con 66 de ocho países, con una tasa de respuesta de 31.3% (Brenes et al., 2014). Los ocho países son Costa Rica, República Dominicana, Guatemala, Honduras, El Salvador, Nicaragua, Ecuador y Perú, y por actividad hay 50 empresas en agricultura, 17 en ganadería, 9 en forestal y 3 en pesca.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el estudio no compara agroindustrias en general sino que compara sobrevivientes entre sí. Los productores de commodities, que son los que aguantan la peor parte de la volatilidad del precio, quedaron afuera desde el diseño, y eso no es un descuido, los autores lo advierten, pero limita a quién le sirve la conclusión.</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entonces la variable que divide la muestra puede estar midiendo precio real o la confianza de quien responde, y el diseño no permite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0.56, y en habilidades de mercadeo, con 0.55; alcance del agronegocio queda en 0.36, operaciones en 0.30 y calidad de la gerencia en apenas 0.20 (Brenes et al., 2014). Los autores avisan que ahí significativo no denota significancia estadística sino apenas una tendencia, y la aclaración es necesaria, aunuqe medio punto en una escala de 7 es poco para sostener una diferencia de fondo. La cifra de inversión es más sólida, 18% de las empresas diferenciadas destina más del 7% de sus ventas a investigación y desarrollo, mientras del otro grupo solo 3% llega ahí. 61% lleva productos nuevos al mercado a un nivel alto o muy alto y 48% hace lo mismo con procesos, contra 33% y 27% del otro grupo. En calidad de la gerencia, que es la dimensión con la brecha más chica de todas, 51% de las diferenciadas tiene una estrategia formalmente definida contra 39% del otro grupo, 67% califica a su equipo gerencial como muy bueno o excelente contra 48%, y en juntas formales y habilidades de recursos humanos no aparece diferencia entre ambos grupos.</w:t>
      </w:r>
    </w:p>
    <w:p>
      <w:pPr>
        <w:spacing w:line="480" w:lineRule="auto" w:after="200"/>
        <w:ind w:firstLine="709"/>
        <w:jc w:val="both"/>
      </w:pPr>
      <w:r>
        <w:rPr>
          <w:rFonts w:ascii="Calibri" w:hAnsi="Calibri"/>
          <w:sz w:val="24"/>
        </w:rPr>
        <w:t>En innovación abierta el contraste es mayor, porque al contar solo las empresas que combinan pasantías con investigación conjunta, las diferenciadas duplican a las otras (Brenes et al., 2014), y Grupo Britt, con base en Curazao y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monta toda su entrada al mercado estadounidense sobre ser precisamente salvadoreña.</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cuando tambien es un hecho patrimonial, la familia no solo pone gerentes, pone lo que se firma como respaldo.</w:t>
      </w:r>
    </w:p>
    <w:p>
      <w:pPr>
        <w:spacing w:line="480" w:lineRule="auto" w:after="200"/>
        <w:ind w:firstLine="709"/>
        <w:jc w:val="both"/>
      </w:pPr>
      <w:r>
        <w:rPr>
          <w:rFonts w:ascii="Calibri" w:hAnsi="Calibri"/>
          <w:sz w:val="24"/>
        </w:rPr>
        <w:t>Monteverde, una láctea costarricense, trabajó años con un distribuidor externo y en 2008 compró una distribuidora especializada en frío y congelado, y esa integración hoy le da ventaja en conocimiento de mercado y en servicio (Brenes et al., 2014). Como movimiento estratégico es claro, pero en términos de la Unidad III es una operación activa con garantía de por medio, porque nadie compra una flota de frío sin que un banco revise primero qué se hipoteca. Que 67% de las diferenciadas estén integradas verticalmente frente a 39% del otro grupo quizas mida ambición estratégica, o quizas quién tenía con qué respaldar el préstamo, y el articulo no da manera de separarlo.</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registros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antes de soltar un peso.</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que no se diferencian (Brenes et al., 2014). Su explicación es que las diferenciadas dependen menos del equipo aun teniendo procesos más complejos, y que las otras probablemente van por liderazgo en costos, estrategia que sí vive de comprar equipo para bajar el costo unitario, lo cual es consistente con la lógica de esa estrategia. El cuestionario solo preguntó por intensidad de uso y no por monto invertido, asi que el dato no cierra del todo, y una planta de proceso complejo concentra mucho valor asegurable en pocos metros cuadrados, y en relación con proveedores y en calidad del producto no aparece ninguna diferencia entre los dos grupos.</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ninguna de las cinco dimensiones mide administración del riesgo, aunque en estas empresas el patrimonio del dueno responde por la deuda de la firma.</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el estudio deja un dato que va contra la intuición, 79% de las diferenciadas opera en uno o dos países mientras las otras llegan hasta cinco (Brenes et al., 2014). La explicación de los autores es que quien pretende cobrar caro entra despacio, primero diversifica producto, mejora procesos y afirma la marca en su propio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que alguien formule hipótesis y las pruebe con muestras más amplias, así que no le voy a reclamar precisión que no ofrece, y mi analisis se limita a lo que sus datos sostienen,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