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Sesenta y seis gerentes de agroindustrias llenaron un formulario en línea, y de ahí sale todo lo que este estudio afirma sobre la diferenciación en América Latina (Brenes, Montoya y Ciravegna, 2014). Arranco por ahí porque ese dato condiciona lo demás.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El orden se deja leer, pero mientras avanzaba en el articulo me fue quedando otra sensación, y es que casi todo lo que ahí se presenta como decisión estratégica supone antes un banco dispuesto a prestar. La Unidad III del curso, que trata operaciones ante instituciones de crédito, garantías, lavado de activos y contrato de seguro, me sirvió para ponerle nombre a eso que falta en el modelo.</w:t>
      </w:r>
    </w:p>
    <w:p>
      <w:pPr>
        <w:spacing w:line="480" w:lineRule="auto" w:after="120" w:before="240"/>
      </w:pPr>
      <w:r>
        <w:rPr>
          <w:rFonts w:ascii="Calibri" w:hAnsi="Calibri"/>
          <w:b/>
          <w:sz w:val="24"/>
        </w:rPr>
        <w:t>Lo primero es preguntar de dónde salió la muestra</w:t>
      </w:r>
    </w:p>
    <w:p>
      <w:pPr>
        <w:spacing w:line="480" w:lineRule="auto" w:after="200"/>
        <w:ind w:firstLine="709"/>
        <w:jc w:val="both"/>
      </w:pPr>
      <w:r>
        <w:rPr>
          <w:rFonts w:ascii="Calibri" w:hAnsi="Calibri"/>
          <w:sz w:val="24"/>
        </w:rPr>
        <w:t>Los autores contactaron doscientas setenta y cinco empresas, recibieron ochenta y seis respuestas, descartaron veinte por venir incompletas y se quedaron con sesenta y seis de ocho países, con una tasa de respuesta de treinta y uno punto tres por ciento (Brenes et al., 2014). Además dejaron fuera a las que cotizan en bolsa, a las multinacionales y a las que solo hacen producción básica sin agregar valor. Eso deja una muestra particular, son empresas privadas, familiares, del trópico húmedo y que ya subieron por la cadena de valor. Ósea que el estudio no compara agroindustrias en general, compara sobrevivientes entre sí. Los productores de commodities, que son los que aguantan la peor parte de la volatilidad del precio, quedaron afuera desde el diseño, y eso no es un descuido, los autores lo advierten, pero sí limita a quién le sirve la conclusión.</w:t>
      </w:r>
    </w:p>
    <w:p>
      <w:pPr>
        <w:spacing w:line="480" w:lineRule="auto" w:after="200"/>
        <w:ind w:firstLine="709"/>
        <w:jc w:val="both"/>
      </w:pPr>
      <w:r>
        <w:rPr>
          <w:rFonts w:ascii="Calibri" w:hAnsi="Calibri"/>
          <w:sz w:val="24"/>
        </w:rPr>
        <w:t>Más delicado todavía es cómo se decidió quién cuenta como empresa diferenciada. Al no existir datos financieros públicos, los autores preguntaron de frente si la empresa cobra precios consistentemente por encima de su competencia, en escala de uno a siete, y clasificaron como diferenciadas a las que contestaron cinco, seis o siete (Brenes et al., 2014). Así quedaron treinta y tres empresas en cada grupo, la muestra partida casi por mitad. Ellos aclaran que preguntar así es práctica aceptada en investigación de estrategia y no lo discuto, aunque el problema no se va; el gerente que ya metió dinero en marca, en certificaciones y en innovación tiene todos los motivos para creer que cobra más caro que el vecino. Entonces la variable que divide la muestra puede estar midiendo precio o puede estar midiendo la confianza de quien responde, y quedan pegadas.</w:t>
      </w:r>
    </w:p>
    <w:p>
      <w:pPr>
        <w:spacing w:line="480" w:lineRule="auto" w:after="120" w:before="240"/>
      </w:pPr>
      <w:r>
        <w:rPr>
          <w:rFonts w:ascii="Calibri" w:hAnsi="Calibri"/>
          <w:b/>
          <w:sz w:val="24"/>
        </w:rPr>
        <w:t>Las dos dimensiones que de verdad se despegan</w:t>
      </w:r>
    </w:p>
    <w:p>
      <w:pPr>
        <w:spacing w:line="480" w:lineRule="auto" w:after="200"/>
        <w:ind w:firstLine="709"/>
        <w:jc w:val="both"/>
      </w:pPr>
      <w:r>
        <w:rPr>
          <w:rFonts w:ascii="Calibri" w:hAnsi="Calibri"/>
          <w:sz w:val="24"/>
        </w:rPr>
        <w:t>Al restar los promedios de ambos grupos, las brechas mayores aparecen en capacidad de innovación, con cero punto cincuenta y seis, y en habilidades de mercadeo, con cero punto cincuenta y cinco; alcance del agronegocio queda en cero punto treinta y seis, operaciones en cero punto treinta y calidad de la gerencia en apenas cero punto veinte (Brenes et al., 2014). Los autores avisan que ahí la palabra significativo no denota significancia estadística, solo señala una tendencia. Me parece correcto que lo aclaren, aunuqe entonces las cifras hay que leerlas con pinzas, porque medio punto en una escala de siete es poco para sostener una diferencia de fondo. Lo que sí me convence es la cifra de inversión, dieciocho por ciento de las empresas diferenciadas destina más del siete por ciento de sus ventas a investigación y desarrollo, mientras del otro grupo solo tres por ciento llega a ese nivel.</w:t>
      </w:r>
    </w:p>
    <w:p>
      <w:pPr>
        <w:spacing w:line="480" w:lineRule="auto" w:after="200"/>
        <w:ind w:firstLine="709"/>
        <w:jc w:val="both"/>
      </w:pPr>
      <w:r>
        <w:rPr>
          <w:rFonts w:ascii="Calibri" w:hAnsi="Calibri"/>
          <w:sz w:val="24"/>
        </w:rPr>
        <w:t>La innovación abierta apunta al mismo lado y ahí el contraste es más limpio, porque al contar únicamente las empresas que combinan pasantías con investigación conjunta, las diferenciadas duplican a las otras (Brenes et al., 2014). Grupo Britt, con base en Curazao y operaciones en catorce países, sostiene la innovación desde la gerencia general, con una jefatura dedicada y un sistema formal de desarrollo de productos. En mercadeo la figura se repite, ochenta y dos por ciento usa marca propia de forma intensa, setenta y seis por ciento se apoya en el origen para vender, noventa y uno por ciento dice conocer el perfil de su consumidor final y cincuenta y ocho por ciento reporta más certificaciones internacionales que su competencia, contra treinta y tres por ciento del otro grupo. La Canasta, salvadoreña, monta su entrada al mercado estadounidense sobre ser precisamente salvadoreña.</w:t>
      </w:r>
    </w:p>
    <w:p>
      <w:pPr>
        <w:spacing w:line="480" w:lineRule="auto" w:after="200"/>
        <w:ind w:firstLine="709"/>
        <w:jc w:val="both"/>
      </w:pPr>
      <w:r>
        <w:rPr>
          <w:rFonts w:ascii="Calibri" w:hAnsi="Calibri"/>
          <w:sz w:val="24"/>
        </w:rPr>
        <w:t>El caso del mango es el que mejor enseña de qué va todo esto. Una empresa decidió primero, con análisis de mercado en mano, qué variedad quería cada destino, y sembró después; otra del mismo rubro sembró según lo que aguantaba el suelo y se enteró tarde de que su fruta no tenía salida afuera (Brenes et al., 2014).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Ninguna de esas dos jugadas se hace con la caja del mes.</w:t>
      </w:r>
    </w:p>
    <w:p>
      <w:pPr>
        <w:spacing w:line="480" w:lineRule="auto" w:after="120" w:before="240"/>
      </w:pPr>
      <w:r>
        <w:rPr>
          <w:rFonts w:ascii="Calibri" w:hAnsi="Calibri"/>
          <w:b/>
          <w:sz w:val="24"/>
        </w:rPr>
        <w:t>El renglón que el modelo deja fuera</w:t>
      </w:r>
    </w:p>
    <w:p>
      <w:pPr>
        <w:spacing w:line="480" w:lineRule="auto" w:after="200"/>
        <w:ind w:firstLine="709"/>
        <w:jc w:val="both"/>
      </w:pPr>
      <w:r>
        <w:rPr>
          <w:rFonts w:ascii="Calibri" w:hAnsi="Calibri"/>
          <w:sz w:val="24"/>
        </w:rPr>
        <w:t>Aquí la Unidad III me cambió la lectura. 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resulta que el modelo describe el destino del dinero y nunca su procedencia. Y no es un detalle chico, porque los autores escogieron a propósito empresas que no cotizan en bolsa, es decir que no pueden emitir acciones ni colocar deuda; les queda la utilidad retenida, el aporte de la familia o el préstamo bancario. De esas tres, dos dependen enteramente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Puesta al lado del estudio, esa clasificación explica bastante. La empresa duena de su finca hipoteca y financia una planta de proceso; la que arrienda solo puede prendar maquinaria o conseguir que alguien la avale, y ese alguien casi siempre es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sirve para ver el cruce completo. La empresa costarricense trabajó años con un distribuidor externo y en dos mil ocho compró una distribuidora especializada en frío y congelado, y esa integración hoy le da ventaja en conocimiento de mercado y en servicio (Brenes et al., 2014). Como estrategia se explica sola. Vista desde la Unidad III es una operación activa con garantía de por medio, porque nadie compra una flota de frío sin que un banco revise primero qué se hipoteca. Que sesenta y siete por ciento de las diferenciadas estén integradas verticalmente frente a treinta y nueve por ciento del otro grupo quizas mida ambición estratégica, o quizas mida quién tenía con qué respaldar el préstamo, y el articulo no da manera de separarlo.</w:t>
      </w:r>
    </w:p>
    <w:p>
      <w:pPr>
        <w:spacing w:line="480" w:lineRule="auto" w:after="120" w:before="240"/>
      </w:pPr>
      <w:r>
        <w:rPr>
          <w:rFonts w:ascii="Calibri" w:hAnsi="Calibri"/>
          <w:b/>
          <w:sz w:val="24"/>
        </w:rPr>
        <w:t>Trazabilidad, sospecha y el costo de estar en regla</w:t>
      </w:r>
    </w:p>
    <w:p>
      <w:pPr>
        <w:spacing w:line="480" w:lineRule="auto" w:after="200"/>
        <w:ind w:firstLine="709"/>
        <w:jc w:val="both"/>
      </w:pPr>
      <w:r>
        <w:rPr>
          <w:rFonts w:ascii="Calibri" w:hAnsi="Calibri"/>
          <w:sz w:val="24"/>
        </w:rPr>
        <w:t>El componente de certificaciones abre otra puerta. Certificar no es una característica del producto, es un gasto que vuelve cada año en auditorías, registros y trazabilidad. La Unidad III agrega el marco que el estudio no considera,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con intermediarios y con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De ahí sale una consecuencia que me parece grande y que el estudio no alcanza a ver. La empresa que ya montó trazabilidad porque se la exige una certificación europea puede enseñar de dónde salió cada lote y a quién le pagó, entonces cumple sin esfuerzo la debida diligencia del banco; la que compra en la plaza y paga en efectivo no puede enseñarlo, y tampoco no tiene cómo reconstruirlo después, y no porque esté lavando nada. La misma inversión rinde dos veces, para vender caro afuera y para conseguir crédito adentro, y por eso la distancia entre los dos grupos se agranda sin que nadie la empuje. Valga decir que el debido proceso y la presunción de inocencia siguen en pie, solo que un banco no necesita acusar a nadie para negar una solicitud.</w:t>
      </w:r>
    </w:p>
    <w:p>
      <w:pPr>
        <w:spacing w:line="480" w:lineRule="auto" w:after="120" w:before="240"/>
      </w:pPr>
      <w:r>
        <w:rPr>
          <w:rFonts w:ascii="Calibri" w:hAnsi="Calibri"/>
          <w:b/>
          <w:sz w:val="24"/>
        </w:rPr>
        <w:t>El riesgo que ninguna de las cinco dimensiones cubre</w:t>
      </w:r>
    </w:p>
    <w:p>
      <w:pPr>
        <w:spacing w:line="480" w:lineRule="auto" w:after="200"/>
        <w:ind w:firstLine="709"/>
        <w:jc w:val="both"/>
      </w:pPr>
      <w:r>
        <w:rPr>
          <w:rFonts w:ascii="Calibri" w:hAnsi="Calibri"/>
          <w:sz w:val="24"/>
        </w:rPr>
        <w:t>Hay un resultado que los propios autores reconocen como raro, setenta por ciento de las empresas diferenciadas reporta uso intenso de maquinaria especializada, contra setenta y nueve por ciento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Suena razonable, aunque el cuestionario preguntó por intensidad de uso y no por monto invertido, asi que el dato no cierra del todo. Lo que sí queda claro es que una planta de proceso complejo concentra muchísimo valor en muy pocos metros.</w:t>
      </w:r>
    </w:p>
    <w:p>
      <w:pPr>
        <w:spacing w:line="480" w:lineRule="auto" w:after="200"/>
        <w:ind w:firstLine="709"/>
        <w:jc w:val="both"/>
      </w:pPr>
      <w:r>
        <w:rPr>
          <w:rFonts w:ascii="Calibri" w:hAnsi="Calibri"/>
          <w:sz w:val="24"/>
        </w:rPr>
        <w:t>Y eso lleva al contrato de seguro, que es donde el silencio del estudio se nota más. El riesgo es el fundamento mismo del seguro, el contrato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El modelo mide cinco dimensiones y ninguna es administración del riesgo. En empresas donde el patrimonio del dueno y el de la firma se confunden, esa ausencia me cuesta aceptarla.</w:t>
      </w:r>
    </w:p>
    <w:p>
      <w:pPr>
        <w:spacing w:line="480" w:lineRule="auto" w:after="120" w:before="240"/>
      </w:pPr>
      <w:r>
        <w:rPr>
          <w:rFonts w:ascii="Calibri" w:hAnsi="Calibri"/>
          <w:b/>
          <w:sz w:val="24"/>
        </w:rPr>
        <w:t>Hasta dónde llega lo que puedo afirmar</w:t>
      </w:r>
    </w:p>
    <w:p>
      <w:pPr>
        <w:spacing w:line="480" w:lineRule="auto" w:after="200"/>
        <w:ind w:firstLine="709"/>
        <w:jc w:val="both"/>
      </w:pPr>
      <w:r>
        <w:rPr>
          <w:rFonts w:ascii="Calibri" w:hAnsi="Calibri"/>
          <w:sz w:val="24"/>
        </w:rPr>
        <w:t>Sobre internacionalización el estudio deja un dato que va contra la intuición, setenta y nueve por ciento de las diferenciadas opera en uno o dos países mientras las otras llegan hasta cinco (Brenes et al., 2014). La explicación de los autores es que quien pretende cobrar caro entra despacio, primero diversifica producto, mejora procesos y afirma la marca en su propio mercado. Visto desde la caja, esa paciencia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una precisión que no ofrece. Mi analisis se queda en algo más modesto, la diferenciación tal como la retratan es una estrategia que exige capital y respaldo antes de producir un solo peso extra, y en esta región el respaldo es un asunto legal antes que gerencial. Si eso es cierto,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