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Sesenta y seis gerentes de agroindustrias llenaron un formulario en línea, y de ahí sale todo lo que este estudio afirma sobre la diferenciación en América Latina, pocos casos para ocho países (Brenes, Montoya y Ciravegna, 2014).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el articulo da por hecho un banco dispuesto a prestar, y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sesenta y seis empresas</w:t>
      </w:r>
    </w:p>
    <w:p>
      <w:pPr>
        <w:spacing w:line="480" w:lineRule="auto" w:after="200"/>
        <w:ind w:firstLine="709"/>
        <w:jc w:val="both"/>
      </w:pPr>
      <w:r>
        <w:rPr>
          <w:rFonts w:ascii="Calibri" w:hAnsi="Calibri"/>
          <w:sz w:val="24"/>
        </w:rPr>
        <w:t>Los autores contactaron doscientas setenta y cinco empresas, recibieron ochenta y seis respuestas, descartaron veinte por venir incompletas y se quedaron con sesenta y seis de ocho países, con una tasa de respuesta de treinta y uno punto tres por ciento (Brenes et al., 2014). Los ocho países son Costa Rica, República Dominicana, Guatemala, Honduras, El Salvador, Nicaragua, Ecuador y Perú, y por actividad hay cincuenta empresas en agricultura, diecisiete en ganadería, nueve en forestal y tres en pesca. Además dejaron fuera a las que cotizan en bolsa, a las multinacionales y a las que solo hacen producción básica sin agregar valor, de manera que la muestra queda particular, son empresas privadas, familiares, del trópico húmedo y que ya subieron por la cadena de valor, ósea que el estudio no compara agroindustrias en general sino que compara sobrevivientes entre sí. Los productores de commodities, que son los que aguantan la peor parte de la volatilidad del precio, quedaron afuera desde el diseño, y eso no es un descuido, los autores lo advierten, pero limita a quién le sirve la conclusión.</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uno a siete, y clasificaron como diferenciadas a las que contestaron cinco, seis o siete (Brenes et al., 2014), y así quedaron treinta y tres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entonces la variable que divide la muestra puede estar midiendo precio real o la confianza de quien responde, y el diseño no permite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de ambos grupos, las brechas mayores aparecen en capacidad de innovación, con cero punto cincuenta y seis, y en habilidades de mercadeo, con cero punto cincuenta y cinco; alcance del agronegocio queda en cero punto treinta y seis, operaciones en cero punto treinta y calidad de la gerencia en apenas cero punto veinte (Brenes et al., 2014). Los autores avisan que ahí significativo no denota significancia estadística sino apenas una tendencia, y la aclaración es necesaria, aunuqe medio punto en una escala de siete es poco para sostener una diferencia de fondo. La cifra de inversión es más sólida, dieciocho por ciento de las empresas diferenciadas destina más del siete por ciento de sus ventas a investigación y desarrollo, mientras del otro grupo solo tres por ciento llega ahí. Sesenta y uno por ciento lleva productos nuevos al mercado a un nivel alto o muy alto y cuarenta y ocho por ciento hace lo mismo con procesos, contra treinta y tres y veintisiete por ciento del otro grupo.</w:t>
      </w:r>
    </w:p>
    <w:p>
      <w:pPr>
        <w:spacing w:line="480" w:lineRule="auto" w:after="200"/>
        <w:ind w:firstLine="709"/>
        <w:jc w:val="both"/>
      </w:pPr>
      <w:r>
        <w:rPr>
          <w:rFonts w:ascii="Calibri" w:hAnsi="Calibri"/>
          <w:sz w:val="24"/>
        </w:rPr>
        <w:t>En innovación abierta el contraste es mayor, porque al contar solo las empresas que combinan pasantías con investigación conjunta, las diferenciadas duplican a las otras (Brenes et al., 2014), y Grupo Britt, con base en Curazao y operaciones en catorce países, sostiene la innovación desde la gerencia general, con una jefatura dedicada y un sistema formal de desarrollo. En mercadeo la figura se repite, ochenta y dos por ciento usa marca propia de forma intensa, setenta y seis por ciento se apoya en el origen para vender, noventa y uno por ciento dice conocer a su consumidor final y cincuenta y ocho por ciento reporta más certificaciones internacionales que su competencia, contra treinta y tres por ciento del otro grupo, y La Canasta, salvadoreña, monta toda su entrada al mercado estadounidense sobre ser precisamente salvadoreña.</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mientras la otra sembró según lo que aguantaba el suelo y se enteró tarde de que su fruta no tenía salida afuera (Brenes et al., 2014), así que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 la selección de variedades ni una red propia de distribución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No es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cuando tambien es un hecho patrimonial, la familia no solo pone gerentes, pone lo que se firma como respaldo.</w:t>
      </w:r>
    </w:p>
    <w:p>
      <w:pPr>
        <w:spacing w:line="480" w:lineRule="auto" w:after="200"/>
        <w:ind w:firstLine="709"/>
        <w:jc w:val="both"/>
      </w:pPr>
      <w:r>
        <w:rPr>
          <w:rFonts w:ascii="Calibri" w:hAnsi="Calibri"/>
          <w:sz w:val="24"/>
        </w:rPr>
        <w:t>Monteverde, una láctea costarricense, trabajó años con un distribuidor externo y en dos mil ocho compró una distribuidora especializada en frío y congelado, y esa integración hoy le da ventaja en conocimiento de mercado y en servicio (Brenes et al., 2014). Como movimiento estratégico es claro, pero en términos de la Unidad III es una operación activa con garantía de por medio, porque nadie compra una flota de frío sin que un banco revise primero qué se hipoteca. Que sesenta y siete por ciento de las diferenciadas estén integradas verticalmente frente a treinta y nueve por ciento del otro grupo quizas mida ambición estratégica, o quizas quién tenía con qué respaldar el préstamo, y el articulo no da manera de separarlo.</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registros y trazabilidad, y el estudio no considera el marco legal de ese registro, porque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 antes de soltar un peso.</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mientras la que compra en la plaza y paga en efectivo no puede enseñarlo, y tampoco no tiene cómo reconstruirlo después,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setenta por ciento de las empresas diferenciadas reporta uso intenso de maquinaria especializada, contra setenta y nueve por ciento de las que no se diferencian (Brenes et al., 2014). Su explicación es que las diferenciadas dependen menos del equipo aun teniendo procesos más complejos, y que las otras probablemente van por liderazgo en costos, estrategia que sí vive de comprar equipo para bajar el costo unitario, lo cual es consistente con la lógica de esa estrategia. El cuestionario solo preguntó por intensidad de uso y no por monto invertido, asi que el dato no cierra del todo, y una planta de proceso complejo concentra mucho valor asegurable en pocos metros cuadrados, y en relación con proveedores y en calidad del producto no aparece ninguna diferencia entre los dos grupos.</w:t>
      </w:r>
    </w:p>
    <w:p>
      <w:pPr>
        <w:spacing w:line="480" w:lineRule="auto" w:after="200"/>
        <w:ind w:firstLine="709"/>
        <w:jc w:val="both"/>
      </w:pPr>
      <w:r>
        <w:rPr>
          <w:rFonts w:ascii="Calibri" w:hAnsi="Calibri"/>
          <w:sz w:val="24"/>
        </w:rPr>
        <w:t>El contrato de seguro no aparece en ninguna de las cinco dimensiones, y el riesgo es su fundamento,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y ninguna de las cinco dimensiones mide administración del riesgo, aunque en estas empresas el patrimonio del dueno responde por la deuda de la firma.</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el estudio deja un dato que va contra la intuición, setenta y nueve por ciento de las diferenciadas opera en uno o dos países mientras las otras llegan hasta cinco (Brenes et al., 2014). La explicación de los autores es que quien pretende cobrar caro entra despacio, primero diversifica producto, mejora procesos y afirma la marca en su propio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y no por decisión (Hillman y Hitt, 1999, como se citó en Brenes et al., 2014).</w:t>
      </w:r>
    </w:p>
    <w:p>
      <w:pPr>
        <w:spacing w:line="480" w:lineRule="auto" w:after="200"/>
        <w:ind w:firstLine="709"/>
        <w:jc w:val="both"/>
      </w:pPr>
      <w:r>
        <w:rPr>
          <w:rFonts w:ascii="Calibri" w:hAnsi="Calibri"/>
          <w:sz w:val="24"/>
        </w:rPr>
        <w:t>El estudio se declara exploratorio y pide que alguien formule hipótesis y las pruebe con muestras más amplias, así que no le voy a reclamar precisión que no ofrece, y mi analisis se limita a lo que sus datos sostienen, la diferenciación tal como la retratan exige capital y respaldo antes de producir un solo peso extra, y en esta región ese respaldo se define en un contrato de garantía y no en una junta directiva, así que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