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Sesenta y seis gerentes de agroindustrias llenaron un formulario en línea, y de ahí sale todo lo que este estudio afirma sobre la diferenciación en América Latina (Brenes, Montoya y Ciravegna, 2014), y arranco por ahí porque ese dato condiciona lo demás.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El orden sí se deja leer, pero mientras avanzaba en el articulo me fue quedando otra sensación, y es que casi todo lo que ahí se presenta como decisión estratégica supone antes un banco dispuesto a prestar, y la Unidad III del curso, que trata operaciones ante instituciones de crédito, garantías, lavado de activos y contrato de seguro, me sirvió para ponerle nombre a eso que falta en el modelo.</w:t>
      </w:r>
    </w:p>
    <w:p>
      <w:pPr>
        <w:spacing w:line="480" w:lineRule="auto" w:after="120" w:before="240"/>
      </w:pPr>
      <w:r>
        <w:rPr>
          <w:rFonts w:ascii="Calibri" w:hAnsi="Calibri"/>
          <w:b/>
          <w:sz w:val="24"/>
        </w:rPr>
        <w:t>Lo primero es preguntar de dónde salió la muestra</w:t>
      </w:r>
    </w:p>
    <w:p>
      <w:pPr>
        <w:spacing w:line="480" w:lineRule="auto" w:after="200"/>
        <w:ind w:firstLine="709"/>
        <w:jc w:val="both"/>
      </w:pPr>
      <w:r>
        <w:rPr>
          <w:rFonts w:ascii="Calibri" w:hAnsi="Calibri"/>
          <w:sz w:val="24"/>
        </w:rPr>
        <w:t>Los autores contactaron doscientas setenta y cinco empresas, recibieron ochenta y seis respuestas, descartaron veinte por venir incompletas y se quedaron con sesenta y seis de ocho países, con una tasa de respuesta de treinta y uno punto tres por ciento (Brenes et al., 2014).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el estudio no compara agroindustrias en general sino que compara sobrevivientes entre sí. Los productores de commodities, que son los que aguantan la peor parte de la volatilidad del precio, quedaron afuera desde el diseño, y eso no es un descuido, los autores lo advierten, pero limita a quién le sirve la conclusión.</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uno a siete, y clasificaron como diferenciadas a las que contestaron cinco, seis o siete (Brenes et al., 2014), y así quedaron treinta y tres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entonces la variable que divide la muestra puede estar midiendo precio real o la confianza de quien responde, y las dos cosas quedan pegadas.</w:t>
      </w:r>
    </w:p>
    <w:p>
      <w:pPr>
        <w:spacing w:line="480" w:lineRule="auto" w:after="120" w:before="240"/>
      </w:pPr>
      <w:r>
        <w:rPr>
          <w:rFonts w:ascii="Calibri" w:hAnsi="Calibri"/>
          <w:b/>
          <w:sz w:val="24"/>
        </w:rPr>
        <w:t>Las dos dimensiones que de verdad se despegan</w:t>
      </w:r>
    </w:p>
    <w:p>
      <w:pPr>
        <w:spacing w:line="480" w:lineRule="auto" w:after="200"/>
        <w:ind w:firstLine="709"/>
        <w:jc w:val="both"/>
      </w:pPr>
      <w:r>
        <w:rPr>
          <w:rFonts w:ascii="Calibri" w:hAnsi="Calibri"/>
          <w:sz w:val="24"/>
        </w:rPr>
        <w:t>Al restar los promedios de ambos grupos, las brechas mayores aparecen en capacidad de innovación, con cero punto cincuenta y seis, y en habilidades de mercadeo, con cero punto cincuenta y cinco; alcance del agronegocio queda en cero punto treinta y seis, operaciones en cero punto treinta y calidad de la gerencia en apenas cero punto veinte (Brenes et al., 2014). Los autores avisan que ahí significativo no denota significancia estadística sino apenas una tendencia, y me parece correcto que lo aclaren, aunuqe entonces las cifras hay que leerlas con pinzas, porque medio punto en una escala de siete es poco para sostener una diferencia de fondo. Lo que sí me convence es la cifra de inversión, dieciocho por ciento de las empresas diferenciadas destina más del siete por ciento de sus ventas a investigación y desarrollo, mientras del otro grupo solo tres por ciento llega ahí.</w:t>
      </w:r>
    </w:p>
    <w:p>
      <w:pPr>
        <w:spacing w:line="480" w:lineRule="auto" w:after="200"/>
        <w:ind w:firstLine="709"/>
        <w:jc w:val="both"/>
      </w:pPr>
      <w:r>
        <w:rPr>
          <w:rFonts w:ascii="Calibri" w:hAnsi="Calibri"/>
          <w:sz w:val="24"/>
        </w:rPr>
        <w:t>La innovación abierta apunta al mismo lado y ahí el contraste es más limpio, porque al contar solo las empresas que combinan pasantías con investigación conjunta, las diferenciadas duplican a las otras (Brenes et al., 2014), y Grupo Britt, con base en Curazao y operaciones en catorce países, sostiene la innovación desde la gerencia general, con una jefatura dedicada y un sistema formal de desarrollo. En mercadeo la figura se repite, ochenta y dos por ciento usa marca propia de forma intensa, setenta y seis por ciento se apoya en el origen para vender, noventa y uno por ciento dice conocer a su consumidor final y cincuenta y ocho por ciento reporta más certificaciones internacionales que su competencia, contra treinta y tres por ciento del otro grupo, y La Canasta, salvadoreña, monta toda su entrada al mercado estadounidense sobre ser precisamente salvadoreña.</w:t>
      </w:r>
    </w:p>
    <w:p>
      <w:pPr>
        <w:spacing w:line="480" w:lineRule="auto" w:after="200"/>
        <w:ind w:firstLine="709"/>
        <w:jc w:val="both"/>
      </w:pPr>
      <w:r>
        <w:rPr>
          <w:rFonts w:ascii="Calibri" w:hAnsi="Calibri"/>
          <w:sz w:val="24"/>
        </w:rPr>
        <w:t>El caso del mango es el que mejor enseña de qué va esto, porque una empresa decidió primero, con análisis de mercado en mano, qué variedad quería cada destino, y sembró después. Otra del mismo rubro sembró según lo que aguantaba el suelo y se enteró tarde de que su fruta no tenía salida afuera (Brenes et al., 2014), así que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ninguna de esas dos jugadas se hace con la caja del mes.</w:t>
      </w:r>
    </w:p>
    <w:p>
      <w:pPr>
        <w:spacing w:line="480" w:lineRule="auto" w:after="120" w:before="240"/>
      </w:pPr>
      <w:r>
        <w:rPr>
          <w:rFonts w:ascii="Calibri" w:hAnsi="Calibri"/>
          <w:b/>
          <w:sz w:val="24"/>
        </w:rPr>
        <w:t>El renglón que el modelo deja fuera</w:t>
      </w:r>
    </w:p>
    <w:p>
      <w:pPr>
        <w:spacing w:line="480" w:lineRule="auto" w:after="200"/>
        <w:ind w:firstLine="709"/>
        <w:jc w:val="both"/>
      </w:pPr>
      <w:r>
        <w:rPr>
          <w:rFonts w:ascii="Calibri" w:hAnsi="Calibri"/>
          <w:sz w:val="24"/>
        </w:rPr>
        <w:t>Aquí la Unidad III me cambió la lectura, porque 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Puesta al lado del estudio, esa clasificación explica bastante,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cuando tambien es un hecho patrimonial, la familia no solo pone gerentes, pone lo que se firma como respaldo.</w:t>
      </w:r>
    </w:p>
    <w:p>
      <w:pPr>
        <w:spacing w:line="480" w:lineRule="auto" w:after="200"/>
        <w:ind w:firstLine="709"/>
        <w:jc w:val="both"/>
      </w:pPr>
      <w:r>
        <w:rPr>
          <w:rFonts w:ascii="Calibri" w:hAnsi="Calibri"/>
          <w:sz w:val="24"/>
        </w:rPr>
        <w:t>Monteverde sirve para ver el cruce completo, ya que la costarricense trabajó años con un distribuidor externo y en dos mil ocho compró una distribuidora especializada en frío y congelado, y esa integración hoy le da ventaja en conocimiento de mercado y en servicio (Brenes et al., 2014). Como estrategia se explica sola, pero vista desde la Unidad III es una operación activa con garantía de por medio, porque nadie compra una flota de frío sin que un banco revise primero qué se hipoteca. Que sesenta y siete por ciento de las diferenciadas estén integradas verticalmente frente a treinta y nueve por ciento del otro grupo quizas mida ambición estratégica, o quizas quién tenía con qué respaldar el préstamo, y el articulo no da manera de separarlo.</w:t>
      </w:r>
    </w:p>
    <w:p>
      <w:pPr>
        <w:spacing w:line="480" w:lineRule="auto" w:after="120" w:before="240"/>
      </w:pPr>
      <w:r>
        <w:rPr>
          <w:rFonts w:ascii="Calibri" w:hAnsi="Calibri"/>
          <w:b/>
          <w:sz w:val="24"/>
        </w:rPr>
        <w:t>Trazabilidad, sospecha y el costo de estar en regla</w:t>
      </w:r>
    </w:p>
    <w:p>
      <w:pPr>
        <w:spacing w:line="480" w:lineRule="auto" w:after="200"/>
        <w:ind w:firstLine="709"/>
        <w:jc w:val="both"/>
      </w:pPr>
      <w:r>
        <w:rPr>
          <w:rFonts w:ascii="Calibri" w:hAnsi="Calibri"/>
          <w:sz w:val="24"/>
        </w:rPr>
        <w:t>El componente de certificaciones abre otra puerta, porque certificar no es una característica del producto, es un gasto que vuelve cada año en auditorías y trazabilidad. La Unidad III agrega el marco que el estudio no considera,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antes de soltar un peso.</w:t>
      </w:r>
    </w:p>
    <w:p>
      <w:pPr>
        <w:spacing w:line="480" w:lineRule="auto" w:after="200"/>
        <w:ind w:firstLine="709"/>
        <w:jc w:val="both"/>
      </w:pPr>
      <w:r>
        <w:rPr>
          <w:rFonts w:ascii="Calibri" w:hAnsi="Calibri"/>
          <w:sz w:val="24"/>
        </w:rPr>
        <w:t>De ahí sale una consecuencia que el estudio no alcanza a ver, ya que la empresa que ya montó trazabilidad porque se la exige una certificación europea puede enseñar de dónde salió cada lote y a quién le pagó, entonces cumple sin esfuerzo la debida diligencia del banco. La que compra en la plaza y paga en efectivo no puede enseñarlo, y tampoco no tiene cómo reconstruirlo después, y no porque esté lavando nada. La misma inversión rinde dos veces, para vender caro afuera y para conseguir crédito adentro, y por eso la distancia entre los dos grupos se agranda sin que nadie la empuje, aunque el debido proceso y la presunción de inocencia siguen en pie, solo que un banco no necesita acusar a nadie para negar una solicitud.</w:t>
      </w:r>
    </w:p>
    <w:p>
      <w:pPr>
        <w:spacing w:line="480" w:lineRule="auto" w:after="120" w:before="240"/>
      </w:pPr>
      <w:r>
        <w:rPr>
          <w:rFonts w:ascii="Calibri" w:hAnsi="Calibri"/>
          <w:b/>
          <w:sz w:val="24"/>
        </w:rPr>
        <w:t>El riesgo que ninguna de las cinco dimensiones cubre</w:t>
      </w:r>
    </w:p>
    <w:p>
      <w:pPr>
        <w:spacing w:line="480" w:lineRule="auto" w:after="200"/>
        <w:ind w:firstLine="709"/>
        <w:jc w:val="both"/>
      </w:pPr>
      <w:r>
        <w:rPr>
          <w:rFonts w:ascii="Calibri" w:hAnsi="Calibri"/>
          <w:sz w:val="24"/>
        </w:rPr>
        <w:t>Hay un resultado que los autores reconocen como raro, setenta por ciento de las empresas diferenciadas reporta uso intenso de maquinaria especializada, contra setenta y nueve por ciento de las que no se diferencian (Brenes et al., 2014). Su explicación es que las diferenciadas dependen menos del equipo aun teniendo procesos más complejos, y que las otras probablemente van por liderazgo en costos, estrategia que sí vive de comprar equipo para bajar el costo unitario, lo cual suena razonable. El cuestionario, eso sí, preguntó por intensidad de uso y no por monto invertido, asi que el dato no cierra del todo, y lo único que queda claro es que una planta de proceso complejo concentra muchísimo valor en muy pocos metros.</w:t>
      </w:r>
    </w:p>
    <w:p>
      <w:pPr>
        <w:spacing w:line="480" w:lineRule="auto" w:after="200"/>
        <w:ind w:firstLine="709"/>
        <w:jc w:val="both"/>
      </w:pPr>
      <w:r>
        <w:rPr>
          <w:rFonts w:ascii="Calibri" w:hAnsi="Calibri"/>
          <w:sz w:val="24"/>
        </w:rPr>
        <w:t>Y eso lleva al contrato de seguro, que es donde el silencio del estudio se nota más, porque el riesgo es el fundamento mismo del seguro, el contrato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El modelo mide cinco dimensiones y ninguna de ellas es administración del riesgo, y en empresas donde el patrimonio del dueno y el de la firma se confunden, esa ausencia me cuesta aceptarla.</w:t>
      </w:r>
    </w:p>
    <w:p>
      <w:pPr>
        <w:spacing w:line="480" w:lineRule="auto" w:after="120" w:before="240"/>
      </w:pPr>
      <w:r>
        <w:rPr>
          <w:rFonts w:ascii="Calibri" w:hAnsi="Calibri"/>
          <w:b/>
          <w:sz w:val="24"/>
        </w:rPr>
        <w:t>Hasta dónde llega lo que puedo afirmar</w:t>
      </w:r>
    </w:p>
    <w:p>
      <w:pPr>
        <w:spacing w:line="480" w:lineRule="auto" w:after="200"/>
        <w:ind w:firstLine="709"/>
        <w:jc w:val="both"/>
      </w:pPr>
      <w:r>
        <w:rPr>
          <w:rFonts w:ascii="Calibri" w:hAnsi="Calibri"/>
          <w:sz w:val="24"/>
        </w:rPr>
        <w:t>Sobre internacionalización el estudio deja un dato que va contra la intuición, setenta y nueve por ciento de las diferenciadas opera en uno o dos países mientras las otras llegan hasta cinco (Brenes et al., 2014). La explicación de los autores es que quien pretende cobrar caro entra despacio, primero diversifica producto, mejora procesos y afirma la marca en su propio mercado, aunque visto desde la caja esa paciencia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que alguien formule hipótesis y las pruebe con muestras más amplias, así que no le voy a reclamar precisión que no ofrece, y mi analisis se queda en algo más modesto, la diferenciación tal como la retratan es una estrategia que exige capital y respaldo antes de producir un solo peso extra, y en esta región el respaldo es un asunto legal antes que gerencial. Si eso es cierto,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