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como yo lo leo, el articulo da por hecho un banco dispuesto a prestar,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Los autores contactaron 275 empresas, recibieron 86 respuestas, descartaron 20 incompletas y se quedaron con 66 de ocho países, con 31.3% de respuesta (Brenes et al., 2014).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tal como yo lo leo, el estudio no compara agroindustrias en general sino sobrevivientes entre sí. Los productores de commodities, que son los que aguantan la peor parte de la volatilidad del precio, quedaron afuera desde el diseño, y eso no es un descuido, los autores lo advierten, pero limita a quién le sirve la conclusión.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Nadie verificó esa respuesta contra una factura. Cobrar caro no es lo mismo que creer que se cobra caro, y no me queda claro cómo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les agradezco que lo aclaren, aunuqe medio punto en una escala de 7 es poco para sostener una diferencia de fondo. A mí la cifra de inversión me convence más que esos promedios, 18% de las empresas diferenciadas destina más del 7% de sus ventas a investigación y desarrollo, mientras del otro grupo solo 3% llega ahí.</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 De toda esa lista, lo que me parece más difícil de imitar es el uso del origen.</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para mí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y lo que yo veo es que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y yo tengo la duda de si no es antes que nada un hecho patrimonial, la familia no solo pone gerentes, pone lo que se firma como respaldo.</w:t>
      </w:r>
    </w:p>
    <w:p>
      <w:pPr>
        <w:spacing w:line="480" w:lineRule="auto" w:after="200"/>
        <w:ind w:firstLine="709"/>
        <w:jc w:val="both"/>
      </w:pPr>
      <w:r>
        <w:rPr>
          <w:rFonts w:ascii="Calibri" w:hAnsi="Calibri"/>
          <w:sz w:val="24"/>
        </w:rPr>
        <w:t>Monteverde es una láctea costarricense que trabajó años con un distribuidor externo, hasta que en 2008 compró una distribuidora especializada en frío y congelado, y hoy esa integración le da ventaja en conocimiento de mercado y en servicio (Brenes et al., 2014). Yo no lo dudo. Lo que me pregunto es otra cosa, porque para comprar una flota de frío hay que ir a un banco, y el banco antes de firmar quiere saber qué se hipoteca, así que lo que el estudio anota como decisión estratégica pasó primero por una garantía. El articulo dice que 67% de las diferenciadas está integrada verticalmente contra 39% del otro grupo, y a mí eso no me suena solo a ambición, quizas sea al revés. La empresa que ya tenía finca propia tuvo con qué responder, consiguió el préstamo y después se integró, y en ese caso la integración no explica el buen desempeño sino que lo acompaña. No tengo cómo probarlo con lo que trae el estudio, pero me quedo con la duda.</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y eso, en mi lectura, vuelve la certificación un requisito bancario antes que comercial.</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 y yo no encontré en el estudio ningún dato sobre quién queda fuera por esa vía.</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que no se diferencian (Brenes et al., 2014), y su explicación es que las diferenciadas dependen menos del equipo aun teniendo procesos más complejos, y que las otras probablemente van por liderazgo en costos, estrategia que sí vive de comprar equipo para bajar el costo unitario. El cuestionario preguntó por intensidad de uso, no por monto invertido, asi que el dato no cierra del todo, y una planta compleja concentra mucho valor asegurable en pocos metros, y en relación con proveedores y en calidad del producto no aparece ninguna diferencia entre los dos grupos. Este resultado juega contra mi propio argumento, porque si el acceso al crédito fuera la restricción principal, las diferenciadas tendrían que reportar más maquinaria, no menos, y prefiero anotarlo antes que esconderlo.</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a mí no me parece menor que ninguna de las cinco dimensiones mida administración del riesgo, aunque en estas empresas el patrimonio del dueno responde por la deuda de la firma.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hay un dato que a mí me descolocó,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no por decisión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puedo exigirle una precisión que no ofrece, y mi analisis se limita a lo que sus datos sostienen,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