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ind w:firstLine="709"/>
        <w:jc w:val="center"/>
      </w:pPr>
      <w:r>
        <w:rPr>
          <w:rFonts w:ascii="Calibri" w:hAnsi="Calibri"/>
          <w:b/>
          <w:sz w:val="24"/>
        </w:rPr>
        <w:t>Ensayo #3: Institutional Voids</w:t>
      </w:r>
    </w:p>
    <w:p>
      <w:pPr>
        <w:spacing w:line="480" w:lineRule="auto" w:after="240"/>
      </w:pPr>
      <w:r>
        <w:rPr>
          <w:rFonts w:ascii="Calibri" w:hAnsi="Calibri"/>
          <w:b/>
          <w:sz w:val="24"/>
        </w:rPr>
        <w:t>Quién puede pagar por diferenciarse en la agroindustria latinoamericana</w:t>
      </w:r>
    </w:p>
    <w:p>
      <w:pPr>
        <w:spacing w:line="480" w:lineRule="auto" w:after="200"/>
        <w:ind w:firstLine="709"/>
        <w:jc w:val="both"/>
      </w:pPr>
      <w:r>
        <w:rPr>
          <w:rFonts w:ascii="Calibri" w:hAnsi="Calibri"/>
          <w:sz w:val="24"/>
        </w:rPr>
        <w:t>66 gerentes de agroindustrias llenaron un formulario en línea, y de ahí sale todo lo que este estudio afirma sobre la diferenciación en América Latina, pocos casos para ocho países (Brenes, Montoya y Ciravegna, 2014). La pregunta que persiguen los autores es qué separa a una empresa que consigue cobrar por encima del promedio de otra que no lo consigue, y la contestan con cinco dimensiones, calidad de la gerencia, capacidad de innovación, alcance del agronegocio, habilidades de mercadeo y habilidades de operaciones. Ninguna de esas cinco dimensiones dice de dónde sale el dinero para ejecutarlas, y las cinco exigen desembolso antes de generar ingreso, así que el articulo da por hecho un banco dispuesto a prestar, y no encontré ese supuesto discutido en ninguna parte del articulo, y la Unidad III del curso, que trata operaciones ante instituciones de crédito, garantías, lavado de activos y contrato de seguro, cubre exactamente ese hueco.</w:t>
      </w:r>
    </w:p>
    <w:p>
      <w:pPr>
        <w:spacing w:line="480" w:lineRule="auto" w:after="120" w:before="240"/>
      </w:pPr>
      <w:r>
        <w:rPr>
          <w:rFonts w:ascii="Calibri" w:hAnsi="Calibri"/>
          <w:b/>
          <w:sz w:val="24"/>
        </w:rPr>
        <w:t>Cómo se armó la muestra de 66 empresas</w:t>
      </w:r>
    </w:p>
    <w:p>
      <w:pPr>
        <w:spacing w:line="480" w:lineRule="auto" w:after="200"/>
        <w:ind w:firstLine="709"/>
        <w:jc w:val="both"/>
      </w:pPr>
      <w:r>
        <w:rPr>
          <w:rFonts w:ascii="Calibri" w:hAnsi="Calibri"/>
          <w:sz w:val="24"/>
        </w:rPr>
        <w:t>Contactaron 275 empresas y quedaron 66 de ocho países, con 31.3% de respuesta (Brenes et al., 2014). Además dejaron fuera a las que cotizan en bolsa, a las multinacionales y a las que solo hacen producción básica, de manera que la muestra queda particular, son empresas privadas, familiares, del trópico húmedo y que ya subieron por la cadena de valor, ósea que el estudio no compara agroindustrias en general, compara sobrevivientes entre sí, y a mi juicio esa diferencia cambia el alcance de la conclusión. Los productores de commodities, que son los que aguantan la peor parte de la volatilidad del precio, quedaron afuera desde el diseño, y eso no es un descuido, los autores lo advierten, pero limita a quién le sirve la conclusión, y ese sesgo no se arregla encuestando más.</w:t>
      </w:r>
    </w:p>
    <w:p>
      <w:pPr>
        <w:spacing w:line="480" w:lineRule="auto" w:after="200"/>
        <w:ind w:firstLine="709"/>
        <w:jc w:val="both"/>
      </w:pPr>
      <w:r>
        <w:rPr>
          <w:rFonts w:ascii="Calibri" w:hAnsi="Calibri"/>
          <w:sz w:val="24"/>
        </w:rPr>
        <w:t>Más delicado es cómo se decidió quién cuenta como empresa diferenciada, porque al no existir datos financieros públicos, los autores preguntaron de frente si la empresa cobra precios consistentemente por encima de su competencia, en escala de 1 a 7, y clasificaron como diferenciadas a las que contestaron 5, 6 o 7 (Brenes et al., 2014), y así quedaron 33 empresas en cada grupo, partidas casi por mitad. Ellos aclaran que preguntar así es práctica aceptada en la investigación de estrategia, aunque el problema no se va; el gerente que ya metió dinero en marca, en certificaciones y en innovación tiene todos los motivos para creer que cobra más caro que el vecino, y nadie verificó esa respuesta contra una factura, porque cobrar caro no es lo mismo que creer que se cobra caro, y ahí yo ya no veo cómo distinguir una cosa de la otra.</w:t>
      </w:r>
    </w:p>
    <w:p>
      <w:pPr>
        <w:spacing w:line="480" w:lineRule="auto" w:after="120" w:before="240"/>
      </w:pPr>
      <w:r>
        <w:rPr>
          <w:rFonts w:ascii="Calibri" w:hAnsi="Calibri"/>
          <w:b/>
          <w:sz w:val="24"/>
        </w:rPr>
        <w:t>Innovación y mercadeo, las dos brechas más grandes</w:t>
      </w:r>
    </w:p>
    <w:p>
      <w:pPr>
        <w:spacing w:line="480" w:lineRule="auto" w:after="200"/>
        <w:ind w:firstLine="709"/>
        <w:jc w:val="both"/>
      </w:pPr>
      <w:r>
        <w:rPr>
          <w:rFonts w:ascii="Calibri" w:hAnsi="Calibri"/>
          <w:sz w:val="24"/>
        </w:rPr>
        <w:t>Al restar los promedios de ambos grupos, las brechas mayores aparecen en capacidad de innovación, con 0.56, y en habilidades de mercadeo, con 0.55; alcance del agronegocio queda en 0.36, operaciones en 0.30 y calidad de la gerencia en apenas 0.20 (Brenes et al., 2014). Los autores avisan que ahí significativo no denota significancia estadística sino apenas una tendencia, y me parece bien que lo aclaren, aunuqe medio punto en una escala de 7 es poco para sostener una diferencia de fondo. A mí la cifra de inversión me convence más que esos promedios, 18% de las empresas diferenciadas destina más del 7% de sus ventas a investigación y desarrollo, mientras del otro grupo solo 3% llega ahí.</w:t>
      </w:r>
    </w:p>
    <w:p>
      <w:pPr>
        <w:spacing w:line="480" w:lineRule="auto" w:after="200"/>
        <w:ind w:firstLine="709"/>
        <w:jc w:val="both"/>
      </w:pPr>
      <w:r>
        <w:rPr>
          <w:rFonts w:ascii="Calibri" w:hAnsi="Calibri"/>
          <w:sz w:val="24"/>
        </w:rPr>
        <w:t>En innovación abierta las diferenciadas duplican a las otras al contar solo las que combinan pasantías con investigación conjunta (Brenes et al., 2014), y Grupo Britt, con base en Curazao y operaciones en 14 países, sostiene la innovación desde la gerencia general, con una jefatura dedicada y un sistema formal de desarrollo. En mercadeo la figura se repite, 82% usa marca propia de forma intensa, 76% se apoya en el origen para vender, 91% dice conocer a su consumidor final y 58% reporta más certificaciones internacionales que su competencia, contra 33% del otro grupo, y La Canasta, salvadoreña, monta toda su entrada al mercado estadounidense sobre ser precisamente salvadoreña. De toda esa lista, el uso del origen me parece el más difícil de copiar para un competidor.</w:t>
      </w:r>
    </w:p>
    <w:p>
      <w:pPr>
        <w:spacing w:line="480" w:lineRule="auto" w:after="200"/>
        <w:ind w:firstLine="709"/>
        <w:jc w:val="both"/>
      </w:pPr>
      <w:r>
        <w:rPr>
          <w:rFonts w:ascii="Calibri" w:hAnsi="Calibri"/>
          <w:sz w:val="24"/>
        </w:rPr>
        <w:t>Dos exportadoras de mango tomaron decisiones opuestas, una definió primero, con análisis de mercado en mano, qué variedad quería cada destino, y sembró después, mientras la otra sembró según lo que aguantaba el suelo y se enteró tarde de que su fruta no tenía salida afuera (Brenes et al., 2014), así que para mí la distancia entre las dos no es agronómica, es de información, y la información de mercado se compra. Britt tambien rompió con su distribuidor a fines de los noventa porque no entendía el producto, y terminó armando su propia red hacia restaurantes, hoteles y supermercados de gama alta, y ni la selección de variedades ni una red propia de distribución se pagan con la caja del mes.</w:t>
      </w:r>
    </w:p>
    <w:p>
      <w:pPr>
        <w:spacing w:line="480" w:lineRule="auto" w:after="120" w:before="240"/>
      </w:pPr>
      <w:r>
        <w:rPr>
          <w:rFonts w:ascii="Calibri" w:hAnsi="Calibri"/>
          <w:b/>
          <w:sz w:val="24"/>
        </w:rPr>
        <w:t>Crédito y garantías, lo que el modelo no registra</w:t>
      </w:r>
    </w:p>
    <w:p>
      <w:pPr>
        <w:spacing w:line="480" w:lineRule="auto" w:after="200"/>
        <w:ind w:firstLine="709"/>
        <w:jc w:val="both"/>
      </w:pPr>
      <w:r>
        <w:rPr>
          <w:rFonts w:ascii="Calibri" w:hAnsi="Calibri"/>
          <w:sz w:val="24"/>
        </w:rPr>
        <w:t>La intermediación financiera es actividad de interés público y el negocio bancario se ordena en operaciones pasivas, activas, neutrales y mixtas, siendo las activas justamente las que otorgan crédito a la empresa. Puesto a que las cinco dimensiones del modelo se traducen todas en desembolsos, marca, certificación, maquinaria de proceso, capacitación, distribución propia, el modelo describe el destino del dinero y nunca su procedencia, y no me parece un detalle chico, porque los autores escogieron a propósito empresas que no cotizan en bolsa, es decir que no pueden emitir acciones ni colocar deuda; les queda la utilidad retenida, el aporte de la familia o el préstamo bancario, y de esas tres, dos dependen de con qué se garantiza.</w:t>
      </w:r>
    </w:p>
    <w:p>
      <w:pPr>
        <w:spacing w:line="480" w:lineRule="auto" w:after="200"/>
        <w:ind w:firstLine="709"/>
        <w:jc w:val="both"/>
      </w:pPr>
      <w:r>
        <w:rPr>
          <w:rFonts w:ascii="Calibri" w:hAnsi="Calibri"/>
          <w:sz w:val="24"/>
        </w:rPr>
        <w:t>La unidad separa los créditos descubiertos de los créditos con garantía, y dentro de los segundos distingue la garantía personal, que se constituye con fianza o con aval, de la garantía real, que se constituye con prenda o con hipoteca sobre un bien concreto, y esa distinción decide quién puede endeudarse, porque la empresa duena de su finca hipoteca y financia una planta de proceso, mientras la que arrienda solo puede prendar maquinaria o conseguir que alguien la avale, casi siempre la misma familia. El artículo insiste en que que estas son empresas familiares y lo trata como rasgo de gobernanza, y a mí me queda la duda de si no es más bien un hecho patrimonial, la familia no solo pone gerentes, pone lo que se firma como respaldo.</w:t>
      </w:r>
    </w:p>
    <w:p>
      <w:pPr>
        <w:spacing w:line="480" w:lineRule="auto" w:after="200"/>
        <w:ind w:firstLine="709"/>
        <w:jc w:val="both"/>
      </w:pPr>
      <w:r>
        <w:rPr>
          <w:rFonts w:ascii="Calibri" w:hAnsi="Calibri"/>
          <w:sz w:val="24"/>
        </w:rPr>
        <w:t>Monteverde es una láctea costarricense que trabajó años con un distribuidor externo, hasta que en 2008 compró una distribuidora especializada en frío y congelado, y hoy esa integración le da ventaja en conocimiento de mercado y servicio (Brenes et al., 2014). Yo no lo dudo. Lo que me pregunto es otra cosa, porque para comprar una flota de frío hay que ir a un banco, y el banco antes de firmar quiere saber qué se hipoteca, así que lo que el estudio anota como decisión estratégica pasó primero por una garantía. El articulo dice que 67% de las diferenciadas está integrada verticalmente contra 39% del otro grupo, y para mí eso no es solo ambición estratégica, quizas sea al revés. La empresa que ya tenía finca propia tuvo con qué responder, consiguió el préstamo y después se integró, y en ese caso la integración no explica el buen desempeño sino que lo acompaña. No tengo cómo probarlo con lo que trae el estudio, pero me quedo con la duda.</w:t>
      </w:r>
    </w:p>
    <w:p>
      <w:pPr>
        <w:spacing w:line="480" w:lineRule="auto" w:after="120" w:before="240"/>
      </w:pPr>
      <w:r>
        <w:rPr>
          <w:rFonts w:ascii="Calibri" w:hAnsi="Calibri"/>
          <w:b/>
          <w:sz w:val="24"/>
        </w:rPr>
        <w:t>Certificaciones, trazabilidad y lavado de activos</w:t>
      </w:r>
    </w:p>
    <w:p>
      <w:pPr>
        <w:spacing w:line="480" w:lineRule="auto" w:after="200"/>
        <w:ind w:firstLine="709"/>
        <w:jc w:val="both"/>
      </w:pPr>
      <w:r>
        <w:rPr>
          <w:rFonts w:ascii="Calibri" w:hAnsi="Calibri"/>
          <w:sz w:val="24"/>
        </w:rPr>
        <w:t>Certificar no es una característica del producto sino un gasto que vuelve cada año en auditorías y trazabilidad, y el estudio no considera el marco legal de ese registro, porque el lavado de activos consiste en ocultar el origen de bienes obtenidos ilegalmente para darles apariencia de legalidad mediante actividades lícitas, es un delito autónomo y alcanza con la misma sanción a los testaferros. El agro trabaja con pagos en efectivo a productores pequeños, intermediarios y cadenas largas de acopio, y ese perfil, sin que nadie haya cometido ningún delito, es el que obliga al banco a pedir más papeles, y para mí eso convierte la certificación en un requisito del banco antes que del cliente.</w:t>
      </w:r>
    </w:p>
    <w:p>
      <w:pPr>
        <w:spacing w:line="480" w:lineRule="auto" w:after="200"/>
        <w:ind w:firstLine="709"/>
        <w:jc w:val="both"/>
      </w:pPr>
      <w:r>
        <w:rPr>
          <w:rFonts w:ascii="Calibri" w:hAnsi="Calibri"/>
          <w:sz w:val="24"/>
        </w:rPr>
        <w:t>La trazabilidad tiene un segundo uso que el estudio no registra, porque la empresa que ya la montó por exigencia de una certificación europea puede enseñar de dónde salió cada lote y a quién le pagó, entonces cumple sin esfuerzo la debida diligencia del banco, mientras la que compra en la plaza y paga en efectivo no puede enseñarlo, y tampoco no tiene cómo reconstruirlo después, y no porque esté lavando nada. La misma inversión rinde dos veces, para vender caro afuera y para conseguir crédito adentro, y por eso la brecha entre los dos grupos se amplía sola, aunque el debido proceso y la presunción de inocencia siguen en pie, solo que un banco no necesita acusar a nadie para negar una solicitud, y el estudio no aporta ningún dato sobre quién queda excluido, que para mí es el vacío más grande del análisis.</w:t>
      </w:r>
    </w:p>
    <w:p>
      <w:pPr>
        <w:spacing w:line="480" w:lineRule="auto" w:after="120" w:before="240"/>
      </w:pPr>
      <w:r>
        <w:rPr>
          <w:rFonts w:ascii="Calibri" w:hAnsi="Calibri"/>
          <w:b/>
          <w:sz w:val="24"/>
        </w:rPr>
        <w:t>Maquinaria especializada, póliza e infraseguro</w:t>
      </w:r>
    </w:p>
    <w:p>
      <w:pPr>
        <w:spacing w:line="480" w:lineRule="auto" w:after="200"/>
        <w:ind w:firstLine="709"/>
        <w:jc w:val="both"/>
      </w:pPr>
      <w:r>
        <w:rPr>
          <w:rFonts w:ascii="Calibri" w:hAnsi="Calibri"/>
          <w:sz w:val="24"/>
        </w:rPr>
        <w:t>Hay un resultado que los autores reconocen como raro, 70% de las empresas diferenciadas reporta uso intenso de maquinaria especializada, contra 79% de las otras (Brenes et al., 2014), y su explicación es que las diferenciadas dependen menos del equipo aun teniendo procesos más complejos, y que las otras probablemente van por liderazgo en costos, estrategia que sí vive de comprar equipo para bajar el costo unitario. El cuestionario preguntó por intensidad de uso, no por monto, asi que el dato no cierra del todo, y una planta compleja concentra mucho valor en pocos metros, y en proveedores y calidad del producto no aparece ninguna diferencia. Ese dato va contra lo que yo vengo diciendo, porque si el problema fuera el crédito, las diferenciadas tendrían que reportar más maquinaria y no menos, y por ahora no tengo con qué responder a esa objeción.</w:t>
      </w:r>
    </w:p>
    <w:p>
      <w:pPr>
        <w:spacing w:line="480" w:lineRule="auto" w:after="200"/>
        <w:ind w:firstLine="709"/>
        <w:jc w:val="both"/>
      </w:pPr>
      <w:r>
        <w:rPr>
          <w:rFonts w:ascii="Calibri" w:hAnsi="Calibri"/>
          <w:sz w:val="24"/>
        </w:rPr>
        <w:t>El contrato de seguro no aparece en ninguna de las cinco dimensiones, y el riesgo es su fundamento, se sostiene sobre póliza y prima, y dos errores frecuentes ahí son el infraseguro y el supraseguro. Un banco no financia una cámara de frío ni una flota sin póliza endosada a su favor, y si esa póliza quedó mal calculada, un siniestro se lleva la capacidad de diferenciarse y deja la deuda intacta, y me parece una omisión importante que ninguna de las cinco dimensiones mida administración del riesgo, aunque en estas empresas el patrimonio del dueno responde por la deuda de la firma, y un banco no presta contra una expectativa de precio.</w:t>
      </w:r>
    </w:p>
    <w:p>
      <w:pPr>
        <w:spacing w:line="480" w:lineRule="auto" w:after="120" w:before="240"/>
      </w:pPr>
      <w:r>
        <w:rPr>
          <w:rFonts w:ascii="Calibri" w:hAnsi="Calibri"/>
          <w:b/>
          <w:sz w:val="24"/>
        </w:rPr>
        <w:t>Internacionalización y límites del estudio</w:t>
      </w:r>
    </w:p>
    <w:p>
      <w:pPr>
        <w:spacing w:line="480" w:lineRule="auto" w:after="200"/>
        <w:ind w:firstLine="709"/>
        <w:jc w:val="both"/>
      </w:pPr>
      <w:r>
        <w:rPr>
          <w:rFonts w:ascii="Calibri" w:hAnsi="Calibri"/>
          <w:sz w:val="24"/>
        </w:rPr>
        <w:t>Sobre internacionalización hay un dato que no me esperaba, 79% de las diferenciadas opera en uno o dos países mientras las otras llegan hasta cinco (Brenes et al., 2014), y los autores lo explican porque quien pretende cobrar caro entra despacio, primero diversifica producto, mejora procesos y afirma la marca en su mercado, aunque esa entrada gradual se financia, son años de inventario, marca y aprendizaje pagados sin ingreso proporcional de vuelta. Los mismos autores sugieren que a muchas empresas les sale más fácil crecer vendiendo lo mismo más barato, y que terminan siendo líderes en costo por defecto, no por decisión (Hillman y Hitt, 1999, como se citó en Brenes et al., 2014).</w:t>
      </w:r>
    </w:p>
    <w:p>
      <w:pPr>
        <w:spacing w:line="480" w:lineRule="auto" w:after="200"/>
        <w:ind w:firstLine="709"/>
        <w:jc w:val="both"/>
      </w:pPr>
      <w:r>
        <w:rPr>
          <w:rFonts w:ascii="Calibri" w:hAnsi="Calibri"/>
          <w:sz w:val="24"/>
        </w:rPr>
        <w:t>El estudio se declara exploratorio y pide hipótesis probadas con muestras más amplias, así que no puedo pedirle una precisión que no ofrece, y me quedo con lo que sus datos alcanzan a sostener, la diferenciación tal como la retratan exige capital y respaldo antes de producir un solo peso extra, y en esta región ese respaldo se define en un contrato de garantía y no en una junta directiva, así que pedirle a una agroindustria mediana que agregue valor no significa nada mas mientras el crédito de largo plazo siga colgando de una hipoteca. ¿Qué tendría que cambiar en el sistema financiero de la región para que diferenciarse dejara de ser un privilegio de quien ya tiene qué garantizar?</w:t>
      </w:r>
    </w:p>
    <w:p>
      <w:pPr>
        <w:spacing w:line="480" w:lineRule="auto" w:after="120"/>
        <w:ind w:firstLine="709"/>
        <w:jc w:val="center"/>
      </w:pPr>
      <w:r>
        <w:rPr>
          <w:rFonts w:ascii="Calibri" w:hAnsi="Calibri"/>
          <w:b/>
          <w:sz w:val="24"/>
        </w:rPr>
        <w:t>Bibliografía</w:t>
      </w:r>
    </w:p>
    <w:p>
      <w:pPr>
        <w:spacing w:line="480" w:lineRule="auto"/>
        <w:ind w:firstLine="709"/>
      </w:pPr>
      <w:r>
        <w:rPr>
          <w:rFonts w:ascii="Calibri" w:hAnsi="Calibri"/>
          <w:sz w:val="24"/>
        </w:rPr>
        <w:t>Brenes, E. R., Montoya, D., &amp; Ciravegna, L. (2014). Differentiation strategies in emerging markets: The case of Latin American agribusinesses. Journal of Business Research, 67(5), 847-855. https://doi.org/10.1016/j.jbusres.2013.07.003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