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A8532B"/>
          <w:sz w:val="19"/>
        </w:rPr>
        <w:t>CONTRATO DE FRANQUICIA</w:t>
      </w:r>
    </w:p>
    <w:p>
      <w:pPr>
        <w:spacing w:after="80"/>
      </w:pPr>
      <w:r>
        <w:rPr>
          <w:rFonts w:ascii="Georgia" w:hAnsi="Georgia"/>
          <w:color w:val="1B2A41"/>
          <w:sz w:val="52"/>
        </w:rPr>
        <w:t>Guion de exposición</w:t>
      </w:r>
    </w:p>
    <w:p>
      <w:pPr>
        <w:spacing w:after="320"/>
      </w:pPr>
      <w:r>
        <w:rPr>
          <w:color w:val="707886"/>
          <w:sz w:val="21"/>
        </w:rPr>
        <w:t>15 minutos · Acuerdos Comerciales · Grupo 1 · María Isabel Acosta, Xilena Blanco, María Daniela García, Fredy Valladares</w:t>
      </w:r>
    </w:p>
    <w:p>
      <w:pPr>
        <w:spacing w:after="160"/>
      </w:pPr>
      <w:r>
        <w:rPr>
          <w:color w:val="707886"/>
          <w:sz w:val="22"/>
        </w:rPr>
        <w:t>El video de la entrevista va después de los quince minutos, así que estos quince son de exposición hablada. La diapositiva 6 cierra la exposición y deja el video montado. Leído a ritmo normal, unas 140 palabras por minuto, el guion completo da 14:54.</w:t>
      </w:r>
    </w:p>
    <w:tbl>
      <w:tblPr>
        <w:tblW w:type="auto" w:w="0"/>
        <w:jc w:val="left"/>
        <w:tblLook w:firstColumn="1" w:firstRow="1" w:lastColumn="0" w:lastRow="0" w:noHBand="0" w:noVBand="1" w:val="04A0"/>
      </w:tblPr>
      <w:tblGrid>
        <w:gridCol w:w="2408"/>
        <w:gridCol w:w="2408"/>
        <w:gridCol w:w="2408"/>
        <w:gridCol w:w="2408"/>
      </w:tblGrid>
      <w:tr>
        <w:tc>
          <w:tcPr>
            <w:tcW w:type="dxa" w:w="1134"/>
            <w:shd w:val="clear" w:fill="1B2A41"/>
          </w:tcPr>
          <w:p>
            <w:pPr>
              <w:spacing w:after="0"/>
            </w:pPr>
            <w:r>
              <w:rPr>
                <w:rFonts w:ascii="Calibri" w:hAnsi="Calibri"/>
                <w:b/>
                <w:color w:val="FFFFFF"/>
                <w:sz w:val="17"/>
              </w:rPr>
              <w:t>ENTRA</w:t>
            </w:r>
          </w:p>
        </w:tc>
        <w:tc>
          <w:tcPr>
            <w:tcW w:type="dxa" w:w="3742"/>
            <w:shd w:val="clear" w:fill="1B2A41"/>
          </w:tcPr>
          <w:p>
            <w:pPr>
              <w:spacing w:after="0"/>
            </w:pPr>
            <w:r>
              <w:rPr>
                <w:rFonts w:ascii="Calibri" w:hAnsi="Calibri"/>
                <w:b/>
                <w:color w:val="FFFFFF"/>
                <w:sz w:val="17"/>
              </w:rPr>
              <w:t>DIAPOSITIVA</w:t>
            </w:r>
          </w:p>
        </w:tc>
        <w:tc>
          <w:tcPr>
            <w:tcW w:type="dxa" w:w="1247"/>
            <w:shd w:val="clear" w:fill="1B2A41"/>
          </w:tcPr>
          <w:p>
            <w:pPr>
              <w:spacing w:after="0"/>
            </w:pPr>
            <w:r>
              <w:rPr>
                <w:rFonts w:ascii="Calibri" w:hAnsi="Calibri"/>
                <w:b/>
                <w:color w:val="FFFFFF"/>
                <w:sz w:val="17"/>
              </w:rPr>
              <w:t>DURA</w:t>
            </w:r>
          </w:p>
        </w:tc>
        <w:tc>
          <w:tcPr>
            <w:tcW w:type="dxa" w:w="2381"/>
            <w:shd w:val="clear" w:fill="1B2A41"/>
          </w:tcPr>
          <w:p>
            <w:pPr>
              <w:spacing w:after="0"/>
            </w:pPr>
            <w:r>
              <w:rPr>
                <w:rFonts w:ascii="Calibri" w:hAnsi="Calibri"/>
                <w:b/>
                <w:color w:val="FFFFFF"/>
                <w:sz w:val="17"/>
              </w:rPr>
              <w:t>EXPONE</w:t>
            </w:r>
          </w:p>
        </w:tc>
      </w:tr>
      <w:tr>
        <w:tc>
          <w:tcPr>
            <w:tcW w:type="dxa" w:w="1134"/>
            <w:tcBorders>
              <w:top w:val="nil"/>
              <w:left w:val="nil"/>
              <w:right w:val="nil"/>
              <w:bottom w:val="single" w:sz="4" w:color="D8D4CC"/>
            </w:tcBorders>
          </w:tcPr>
          <w:p>
            <w:pPr>
              <w:spacing w:after="0"/>
            </w:pPr>
            <w:r>
              <w:rPr>
                <w:rFonts w:ascii="Calibri" w:hAnsi="Calibri"/>
                <w:color w:val="1B2A41"/>
                <w:sz w:val="20"/>
              </w:rPr>
              <w:t>0:00</w:t>
            </w:r>
          </w:p>
        </w:tc>
        <w:tc>
          <w:tcPr>
            <w:tcW w:type="dxa" w:w="3742"/>
            <w:tcBorders>
              <w:top w:val="nil"/>
              <w:left w:val="nil"/>
              <w:right w:val="nil"/>
              <w:bottom w:val="single" w:sz="4" w:color="D8D4CC"/>
            </w:tcBorders>
          </w:tcPr>
          <w:p>
            <w:pPr>
              <w:spacing w:after="0"/>
            </w:pPr>
            <w:r>
              <w:rPr>
                <w:rFonts w:ascii="Calibri" w:hAnsi="Calibri"/>
                <w:color w:val="1B2A41"/>
                <w:sz w:val="20"/>
              </w:rPr>
              <w:t>1 · Portada</w:t>
            </w:r>
          </w:p>
        </w:tc>
        <w:tc>
          <w:tcPr>
            <w:tcW w:type="dxa" w:w="1247"/>
            <w:tcBorders>
              <w:top w:val="nil"/>
              <w:left w:val="nil"/>
              <w:right w:val="nil"/>
              <w:bottom w:val="single" w:sz="4" w:color="D8D4CC"/>
            </w:tcBorders>
          </w:tcPr>
          <w:p>
            <w:pPr>
              <w:spacing w:after="0"/>
            </w:pPr>
            <w:r>
              <w:rPr>
                <w:rFonts w:ascii="Calibri" w:hAnsi="Calibri"/>
                <w:color w:val="1B2A41"/>
                <w:sz w:val="20"/>
              </w:rPr>
              <w:t>1:01</w:t>
            </w:r>
          </w:p>
        </w:tc>
        <w:tc>
          <w:tcPr>
            <w:tcW w:type="dxa" w:w="2381"/>
            <w:tcBorders>
              <w:top w:val="nil"/>
              <w:left w:val="nil"/>
              <w:right w:val="nil"/>
              <w:bottom w:val="single" w:sz="4" w:color="D8D4CC"/>
            </w:tcBorders>
          </w:tcPr>
          <w:p>
            <w:pPr>
              <w:spacing w:after="0"/>
            </w:pPr>
            <w:r>
              <w:rPr>
                <w:rFonts w:ascii="Calibri" w:hAnsi="Calibri"/>
                <w:color w:val="1B2A41"/>
                <w:sz w:val="20"/>
              </w:rPr>
              <w:t>Fredy</w:t>
            </w:r>
          </w:p>
        </w:tc>
      </w:tr>
      <w:tr>
        <w:tc>
          <w:tcPr>
            <w:tcW w:type="dxa" w:w="1134"/>
            <w:tcBorders>
              <w:top w:val="nil"/>
              <w:left w:val="nil"/>
              <w:right w:val="nil"/>
              <w:bottom w:val="single" w:sz="4" w:color="D8D4CC"/>
            </w:tcBorders>
          </w:tcPr>
          <w:p>
            <w:pPr>
              <w:spacing w:after="0"/>
            </w:pPr>
            <w:r>
              <w:rPr>
                <w:rFonts w:ascii="Calibri" w:hAnsi="Calibri"/>
                <w:color w:val="1B2A41"/>
                <w:sz w:val="20"/>
              </w:rPr>
              <w:t>1:01</w:t>
            </w:r>
          </w:p>
        </w:tc>
        <w:tc>
          <w:tcPr>
            <w:tcW w:type="dxa" w:w="3742"/>
            <w:tcBorders>
              <w:top w:val="nil"/>
              <w:left w:val="nil"/>
              <w:right w:val="nil"/>
              <w:bottom w:val="single" w:sz="4" w:color="D8D4CC"/>
            </w:tcBorders>
          </w:tcPr>
          <w:p>
            <w:pPr>
              <w:spacing w:after="0"/>
            </w:pPr>
            <w:r>
              <w:rPr>
                <w:rFonts w:ascii="Calibri" w:hAnsi="Calibri"/>
                <w:color w:val="1B2A41"/>
                <w:sz w:val="20"/>
              </w:rPr>
              <w:t>2 · Definición conceptual</w:t>
            </w:r>
          </w:p>
        </w:tc>
        <w:tc>
          <w:tcPr>
            <w:tcW w:type="dxa" w:w="1247"/>
            <w:tcBorders>
              <w:top w:val="nil"/>
              <w:left w:val="nil"/>
              <w:right w:val="nil"/>
              <w:bottom w:val="single" w:sz="4" w:color="D8D4CC"/>
            </w:tcBorders>
          </w:tcPr>
          <w:p>
            <w:pPr>
              <w:spacing w:after="0"/>
            </w:pPr>
            <w:r>
              <w:rPr>
                <w:rFonts w:ascii="Calibri" w:hAnsi="Calibri"/>
                <w:color w:val="1B2A41"/>
                <w:sz w:val="20"/>
              </w:rPr>
              <w:t>3:30</w:t>
            </w:r>
          </w:p>
        </w:tc>
        <w:tc>
          <w:tcPr>
            <w:tcW w:type="dxa" w:w="2381"/>
            <w:tcBorders>
              <w:top w:val="nil"/>
              <w:left w:val="nil"/>
              <w:right w:val="nil"/>
              <w:bottom w:val="single" w:sz="4" w:color="D8D4CC"/>
            </w:tcBorders>
          </w:tcPr>
          <w:p>
            <w:pPr>
              <w:spacing w:after="0"/>
            </w:pPr>
            <w:r>
              <w:rPr>
                <w:rFonts w:ascii="Calibri" w:hAnsi="Calibri"/>
                <w:color w:val="1B2A41"/>
                <w:sz w:val="20"/>
              </w:rPr>
              <w:t>Fredy</w:t>
            </w:r>
          </w:p>
        </w:tc>
      </w:tr>
      <w:tr>
        <w:tc>
          <w:tcPr>
            <w:tcW w:type="dxa" w:w="1134"/>
            <w:tcBorders>
              <w:top w:val="nil"/>
              <w:left w:val="nil"/>
              <w:right w:val="nil"/>
              <w:bottom w:val="single" w:sz="4" w:color="D8D4CC"/>
            </w:tcBorders>
          </w:tcPr>
          <w:p>
            <w:pPr>
              <w:spacing w:after="0"/>
            </w:pPr>
            <w:r>
              <w:rPr>
                <w:rFonts w:ascii="Calibri" w:hAnsi="Calibri"/>
                <w:color w:val="1B2A41"/>
                <w:sz w:val="20"/>
              </w:rPr>
              <w:t>4:31</w:t>
            </w:r>
          </w:p>
        </w:tc>
        <w:tc>
          <w:tcPr>
            <w:tcW w:type="dxa" w:w="3742"/>
            <w:tcBorders>
              <w:top w:val="nil"/>
              <w:left w:val="nil"/>
              <w:right w:val="nil"/>
              <w:bottom w:val="single" w:sz="4" w:color="D8D4CC"/>
            </w:tcBorders>
          </w:tcPr>
          <w:p>
            <w:pPr>
              <w:spacing w:after="0"/>
            </w:pPr>
            <w:r>
              <w:rPr>
                <w:rFonts w:ascii="Calibri" w:hAnsi="Calibri"/>
                <w:color w:val="1B2A41"/>
                <w:sz w:val="20"/>
              </w:rPr>
              <w:t>3 · ¿Cómo se aplica?</w:t>
            </w:r>
          </w:p>
        </w:tc>
        <w:tc>
          <w:tcPr>
            <w:tcW w:type="dxa" w:w="1247"/>
            <w:tcBorders>
              <w:top w:val="nil"/>
              <w:left w:val="nil"/>
              <w:right w:val="nil"/>
              <w:bottom w:val="single" w:sz="4" w:color="D8D4CC"/>
            </w:tcBorders>
          </w:tcPr>
          <w:p>
            <w:pPr>
              <w:spacing w:after="0"/>
            </w:pPr>
            <w:r>
              <w:rPr>
                <w:rFonts w:ascii="Calibri" w:hAnsi="Calibri"/>
                <w:color w:val="1B2A41"/>
                <w:sz w:val="20"/>
              </w:rPr>
              <w:t>2:46</w:t>
            </w:r>
          </w:p>
        </w:tc>
        <w:tc>
          <w:tcPr>
            <w:tcW w:type="dxa" w:w="2381"/>
            <w:tcBorders>
              <w:top w:val="nil"/>
              <w:left w:val="nil"/>
              <w:right w:val="nil"/>
              <w:bottom w:val="single" w:sz="4" w:color="D8D4CC"/>
            </w:tcBorders>
          </w:tcPr>
          <w:p>
            <w:pPr>
              <w:spacing w:after="0"/>
            </w:pPr>
            <w:r>
              <w:rPr>
                <w:rFonts w:ascii="Calibri" w:hAnsi="Calibri"/>
                <w:color w:val="1B2A41"/>
                <w:sz w:val="20"/>
              </w:rPr>
              <w:t>María Isabel</w:t>
            </w:r>
          </w:p>
        </w:tc>
      </w:tr>
      <w:tr>
        <w:tc>
          <w:tcPr>
            <w:tcW w:type="dxa" w:w="1134"/>
            <w:tcBorders>
              <w:top w:val="nil"/>
              <w:left w:val="nil"/>
              <w:right w:val="nil"/>
              <w:bottom w:val="single" w:sz="4" w:color="D8D4CC"/>
            </w:tcBorders>
          </w:tcPr>
          <w:p>
            <w:pPr>
              <w:spacing w:after="0"/>
            </w:pPr>
            <w:r>
              <w:rPr>
                <w:rFonts w:ascii="Calibri" w:hAnsi="Calibri"/>
                <w:color w:val="1B2A41"/>
                <w:sz w:val="20"/>
              </w:rPr>
              <w:t>7:18</w:t>
            </w:r>
          </w:p>
        </w:tc>
        <w:tc>
          <w:tcPr>
            <w:tcW w:type="dxa" w:w="3742"/>
            <w:tcBorders>
              <w:top w:val="nil"/>
              <w:left w:val="nil"/>
              <w:right w:val="nil"/>
              <w:bottom w:val="single" w:sz="4" w:color="D8D4CC"/>
            </w:tcBorders>
          </w:tcPr>
          <w:p>
            <w:pPr>
              <w:spacing w:after="0"/>
            </w:pPr>
            <w:r>
              <w:rPr>
                <w:rFonts w:ascii="Calibri" w:hAnsi="Calibri"/>
                <w:color w:val="1B2A41"/>
                <w:sz w:val="20"/>
              </w:rPr>
              <w:t>4 · Partes involucradas</w:t>
            </w:r>
          </w:p>
        </w:tc>
        <w:tc>
          <w:tcPr>
            <w:tcW w:type="dxa" w:w="1247"/>
            <w:tcBorders>
              <w:top w:val="nil"/>
              <w:left w:val="nil"/>
              <w:right w:val="nil"/>
              <w:bottom w:val="single" w:sz="4" w:color="D8D4CC"/>
            </w:tcBorders>
          </w:tcPr>
          <w:p>
            <w:pPr>
              <w:spacing w:after="0"/>
            </w:pPr>
            <w:r>
              <w:rPr>
                <w:rFonts w:ascii="Calibri" w:hAnsi="Calibri"/>
                <w:color w:val="1B2A41"/>
                <w:sz w:val="20"/>
              </w:rPr>
              <w:t>3:16</w:t>
            </w:r>
          </w:p>
        </w:tc>
        <w:tc>
          <w:tcPr>
            <w:tcW w:type="dxa" w:w="2381"/>
            <w:tcBorders>
              <w:top w:val="nil"/>
              <w:left w:val="nil"/>
              <w:right w:val="nil"/>
              <w:bottom w:val="single" w:sz="4" w:color="D8D4CC"/>
            </w:tcBorders>
          </w:tcPr>
          <w:p>
            <w:pPr>
              <w:spacing w:after="0"/>
            </w:pPr>
            <w:r>
              <w:rPr>
                <w:rFonts w:ascii="Calibri" w:hAnsi="Calibri"/>
                <w:color w:val="1B2A41"/>
                <w:sz w:val="20"/>
              </w:rPr>
              <w:t>Xilena</w:t>
            </w:r>
          </w:p>
        </w:tc>
      </w:tr>
      <w:tr>
        <w:tc>
          <w:tcPr>
            <w:tcW w:type="dxa" w:w="1134"/>
            <w:tcBorders>
              <w:top w:val="nil"/>
              <w:left w:val="nil"/>
              <w:right w:val="nil"/>
              <w:bottom w:val="single" w:sz="4" w:color="D8D4CC"/>
            </w:tcBorders>
          </w:tcPr>
          <w:p>
            <w:pPr>
              <w:spacing w:after="0"/>
            </w:pPr>
            <w:r>
              <w:rPr>
                <w:rFonts w:ascii="Calibri" w:hAnsi="Calibri"/>
                <w:color w:val="1B2A41"/>
                <w:sz w:val="20"/>
              </w:rPr>
              <w:t>10:34</w:t>
            </w:r>
          </w:p>
        </w:tc>
        <w:tc>
          <w:tcPr>
            <w:tcW w:type="dxa" w:w="3742"/>
            <w:tcBorders>
              <w:top w:val="nil"/>
              <w:left w:val="nil"/>
              <w:right w:val="nil"/>
              <w:bottom w:val="single" w:sz="4" w:color="D8D4CC"/>
            </w:tcBorders>
          </w:tcPr>
          <w:p>
            <w:pPr>
              <w:spacing w:after="0"/>
            </w:pPr>
            <w:r>
              <w:rPr>
                <w:rFonts w:ascii="Calibri" w:hAnsi="Calibri"/>
                <w:color w:val="1B2A41"/>
                <w:sz w:val="20"/>
              </w:rPr>
              <w:t>5 · Ventajas y desventajas</w:t>
            </w:r>
          </w:p>
        </w:tc>
        <w:tc>
          <w:tcPr>
            <w:tcW w:type="dxa" w:w="1247"/>
            <w:tcBorders>
              <w:top w:val="nil"/>
              <w:left w:val="nil"/>
              <w:right w:val="nil"/>
              <w:bottom w:val="single" w:sz="4" w:color="D8D4CC"/>
            </w:tcBorders>
          </w:tcPr>
          <w:p>
            <w:pPr>
              <w:spacing w:after="0"/>
            </w:pPr>
            <w:r>
              <w:rPr>
                <w:rFonts w:ascii="Calibri" w:hAnsi="Calibri"/>
                <w:color w:val="1B2A41"/>
                <w:sz w:val="20"/>
              </w:rPr>
              <w:t>2:04</w:t>
            </w:r>
          </w:p>
        </w:tc>
        <w:tc>
          <w:tcPr>
            <w:tcW w:type="dxa" w:w="2381"/>
            <w:tcBorders>
              <w:top w:val="nil"/>
              <w:left w:val="nil"/>
              <w:right w:val="nil"/>
              <w:bottom w:val="single" w:sz="4" w:color="D8D4CC"/>
            </w:tcBorders>
          </w:tcPr>
          <w:p>
            <w:pPr>
              <w:spacing w:after="0"/>
            </w:pPr>
            <w:r>
              <w:rPr>
                <w:rFonts w:ascii="Calibri" w:hAnsi="Calibri"/>
                <w:color w:val="1B2A41"/>
                <w:sz w:val="20"/>
              </w:rPr>
              <w:t>María Daniela</w:t>
            </w:r>
          </w:p>
        </w:tc>
      </w:tr>
      <w:tr>
        <w:tc>
          <w:tcPr>
            <w:tcW w:type="dxa" w:w="1134"/>
            <w:tcBorders>
              <w:top w:val="nil"/>
              <w:left w:val="nil"/>
              <w:right w:val="nil"/>
              <w:bottom w:val="single" w:sz="4" w:color="D8D4CC"/>
            </w:tcBorders>
          </w:tcPr>
          <w:p>
            <w:pPr>
              <w:spacing w:after="0"/>
            </w:pPr>
            <w:r>
              <w:rPr>
                <w:rFonts w:ascii="Calibri" w:hAnsi="Calibri"/>
                <w:color w:val="1B2A41"/>
                <w:sz w:val="20"/>
              </w:rPr>
              <w:t>12:38</w:t>
            </w:r>
          </w:p>
        </w:tc>
        <w:tc>
          <w:tcPr>
            <w:tcW w:type="dxa" w:w="3742"/>
            <w:tcBorders>
              <w:top w:val="nil"/>
              <w:left w:val="nil"/>
              <w:right w:val="nil"/>
              <w:bottom w:val="single" w:sz="4" w:color="D8D4CC"/>
            </w:tcBorders>
          </w:tcPr>
          <w:p>
            <w:pPr>
              <w:spacing w:after="0"/>
            </w:pPr>
            <w:r>
              <w:rPr>
                <w:rFonts w:ascii="Calibri" w:hAnsi="Calibri"/>
                <w:color w:val="1B2A41"/>
                <w:sz w:val="20"/>
              </w:rPr>
              <w:t>6 · Síntesis e intro al video</w:t>
            </w:r>
          </w:p>
        </w:tc>
        <w:tc>
          <w:tcPr>
            <w:tcW w:type="dxa" w:w="1247"/>
            <w:tcBorders>
              <w:top w:val="nil"/>
              <w:left w:val="nil"/>
              <w:right w:val="nil"/>
              <w:bottom w:val="single" w:sz="4" w:color="D8D4CC"/>
            </w:tcBorders>
          </w:tcPr>
          <w:p>
            <w:pPr>
              <w:spacing w:after="0"/>
            </w:pPr>
            <w:r>
              <w:rPr>
                <w:rFonts w:ascii="Calibri" w:hAnsi="Calibri"/>
                <w:color w:val="1B2A41"/>
                <w:sz w:val="20"/>
              </w:rPr>
              <w:t>2:15</w:t>
            </w:r>
          </w:p>
        </w:tc>
        <w:tc>
          <w:tcPr>
            <w:tcW w:type="dxa" w:w="2381"/>
            <w:tcBorders>
              <w:top w:val="nil"/>
              <w:left w:val="nil"/>
              <w:right w:val="nil"/>
              <w:bottom w:val="single" w:sz="4" w:color="D8D4CC"/>
            </w:tcBorders>
          </w:tcPr>
          <w:p>
            <w:pPr>
              <w:spacing w:after="0"/>
            </w:pPr>
            <w:r>
              <w:rPr>
                <w:rFonts w:ascii="Calibri" w:hAnsi="Calibri"/>
                <w:color w:val="1B2A41"/>
                <w:sz w:val="20"/>
              </w:rPr>
              <w:t>María Daniela</w:t>
            </w:r>
          </w:p>
        </w:tc>
      </w:tr>
      <w:tr>
        <w:tc>
          <w:tcPr>
            <w:tcW w:type="dxa" w:w="1134"/>
            <w:tcBorders>
              <w:top w:val="nil"/>
              <w:left w:val="nil"/>
              <w:right w:val="nil"/>
              <w:bottom w:val="single" w:sz="4" w:color="D8D4CC"/>
            </w:tcBorders>
          </w:tcPr>
          <w:p>
            <w:pPr>
              <w:spacing w:after="0"/>
            </w:pPr>
            <w:r>
              <w:rPr>
                <w:rFonts w:ascii="Calibri" w:hAnsi="Calibri"/>
                <w:b/>
                <w:color w:val="A8532B"/>
                <w:sz w:val="20"/>
              </w:rPr>
              <w:t>14:54</w:t>
            </w:r>
          </w:p>
        </w:tc>
        <w:tc>
          <w:tcPr>
            <w:tcW w:type="dxa" w:w="3742"/>
            <w:tcBorders>
              <w:top w:val="nil"/>
              <w:left w:val="nil"/>
              <w:right w:val="nil"/>
              <w:bottom w:val="single" w:sz="4" w:color="D8D4CC"/>
            </w:tcBorders>
          </w:tcPr>
          <w:p>
            <w:pPr>
              <w:spacing w:after="0"/>
            </w:pPr>
            <w:r>
              <w:rPr>
                <w:rFonts w:ascii="Calibri" w:hAnsi="Calibri"/>
                <w:b/>
                <w:color w:val="A8532B"/>
                <w:sz w:val="20"/>
              </w:rPr>
              <w:t>Fin de la exposición · empieza el video</w:t>
            </w:r>
          </w:p>
        </w:tc>
        <w:tc>
          <w:tcPr>
            <w:tcW w:type="dxa" w:w="1247"/>
            <w:tcBorders>
              <w:top w:val="nil"/>
              <w:left w:val="nil"/>
              <w:right w:val="nil"/>
              <w:bottom w:val="single" w:sz="4" w:color="D8D4CC"/>
            </w:tcBorders>
          </w:tcPr>
          <w:p>
            <w:pPr>
              <w:spacing w:after="0"/>
            </w:pPr>
            <w:r>
              <w:rPr>
                <w:rFonts w:ascii="Calibri" w:hAnsi="Calibri"/>
                <w:color w:val="1B2A41"/>
                <w:sz w:val="20"/>
              </w:rPr>
            </w:r>
          </w:p>
        </w:tc>
        <w:tc>
          <w:tcPr>
            <w:tcW w:type="dxa" w:w="2381"/>
            <w:tcBorders>
              <w:top w:val="nil"/>
              <w:left w:val="nil"/>
              <w:right w:val="nil"/>
              <w:bottom w:val="single" w:sz="4" w:color="D8D4CC"/>
            </w:tcBorders>
          </w:tcPr>
          <w:p>
            <w:pPr>
              <w:spacing w:after="0"/>
            </w:pPr>
            <w:r>
              <w:rPr>
                <w:rFonts w:ascii="Calibri" w:hAnsi="Calibri"/>
                <w:color w:val="1B2A41"/>
                <w:sz w:val="20"/>
              </w:rPr>
            </w:r>
          </w:p>
        </w:tc>
      </w:tr>
    </w:tbl>
    <w:p>
      <w:pPr>
        <w:spacing w:before="240" w:after="60"/>
      </w:pPr>
      <w:r>
        <w:rPr>
          <w:b/>
          <w:color w:val="A8532B"/>
          <w:sz w:val="18"/>
        </w:rPr>
        <w:t>SI EL TIEMPO SE CORRE</w:t>
      </w:r>
    </w:p>
    <w:p>
      <w:pPr>
        <w:pStyle w:val="ListBullet"/>
        <w:spacing w:after="60" w:line="288" w:lineRule="auto"/>
      </w:pPr>
      <w:r>
        <w:rPr>
          <w:color w:val="707886"/>
          <w:sz w:val="21"/>
        </w:rPr>
        <w:t>Para ganar unos 45 segundos: en la diapositiva 4, omitir el párrafo de a quién demanda el cliente.</w:t>
      </w:r>
    </w:p>
    <w:p>
      <w:pPr>
        <w:pStyle w:val="ListBullet"/>
        <w:spacing w:after="60" w:line="288" w:lineRule="auto"/>
      </w:pPr>
      <w:r>
        <w:rPr>
          <w:color w:val="707886"/>
          <w:sz w:val="21"/>
        </w:rPr>
        <w:t>Para ganar unos 20 segundos: en la diapositiva 5, saltarse el ejemplo de la marca en las noticias.</w:t>
      </w:r>
    </w:p>
    <w:p>
      <w:pPr>
        <w:pStyle w:val="ListBullet"/>
        <w:spacing w:after="60" w:line="288" w:lineRule="auto"/>
      </w:pPr>
      <w:r>
        <w:rPr>
          <w:color w:val="707886"/>
          <w:sz w:val="21"/>
        </w:rPr>
        <w:t>Si sobra tiempo: en la 5, desarrollar más los ejemplos. Es lo que el público agradece.</w:t>
      </w:r>
    </w:p>
    <w:p>
      <w:r>
        <w:br w:type="page"/>
      </w:r>
    </w:p>
    <w:p>
      <w:pPr>
        <w:spacing w:after="20"/>
      </w:pPr>
      <w:r>
        <w:rPr>
          <w:b/>
          <w:color w:val="A8532B"/>
          <w:sz w:val="19"/>
        </w:rPr>
        <w:t>0:00 – 1:01   ·   FREDY</w:t>
      </w:r>
    </w:p>
    <w:p>
      <w:pPr>
        <w:spacing w:after="60"/>
      </w:pPr>
      <w:r>
        <w:rPr>
          <w:rFonts w:ascii="Georgia" w:hAnsi="Georgia"/>
          <w:color w:val="1B2A41"/>
          <w:sz w:val="40"/>
        </w:rPr>
        <w:t>1 · Portada</w:t>
      </w:r>
    </w:p>
    <w:p>
      <w:pPr>
        <w:spacing w:after="280"/>
      </w:pPr>
      <w:r>
        <w:rPr>
          <w:i/>
          <w:color w:val="707886"/>
          <w:sz w:val="20"/>
        </w:rPr>
        <w:t>En pantalla: Título y nombres del grupo.</w:t>
      </w:r>
    </w:p>
    <w:p>
      <w:r>
        <w:rPr>
          <w:rFonts w:ascii="Calibri" w:hAnsi="Calibri"/>
          <w:b w:val="0"/>
          <w:color w:val="1B2A41"/>
          <w:sz w:val="25"/>
        </w:rPr>
        <w:t>Buenas tardes. Somos el Grupo 1.</w:t>
      </w:r>
    </w:p>
    <w:p>
      <w:r>
        <w:rPr>
          <w:rFonts w:ascii="Calibri" w:hAnsi="Calibri"/>
          <w:b w:val="0"/>
          <w:color w:val="1B2A41"/>
          <w:sz w:val="25"/>
        </w:rPr>
        <w:t>Voy a empezar con una pregunta. ¿Cuántos de ustedes han almorzado en un local de una cadena conocida? Casi todos. Ahora, ¿de quién era ese local?</w:t>
      </w:r>
    </w:p>
    <w:p>
      <w:r>
        <w:rPr>
          <w:rFonts w:ascii="Calibri" w:hAnsi="Calibri"/>
          <w:b w:val="0"/>
          <w:color w:val="1B2A41"/>
          <w:sz w:val="25"/>
        </w:rPr>
        <w:t>Lo normal es pensar que es de la empresa dueña de la marca. Y casi nunca lo es. Es de un particular, alguien de la ciudad, que pagó para poder usar ese nombre y que firmó un contrato aceptando operar exactamente como la marca le diga.</w:t>
      </w:r>
    </w:p>
    <w:p>
      <w:r>
        <w:rPr>
          <w:rFonts w:ascii="Calibri" w:hAnsi="Calibri"/>
          <w:b w:val="0"/>
          <w:color w:val="1B2A41"/>
          <w:sz w:val="25"/>
        </w:rPr>
        <w:t xml:space="preserve">De eso vamos a hablar hoy: del </w:t>
      </w:r>
      <w:r>
        <w:rPr>
          <w:rFonts w:ascii="Calibri" w:hAnsi="Calibri"/>
          <w:b/>
          <w:color w:val="1B2A41"/>
          <w:sz w:val="25"/>
        </w:rPr>
        <w:t>contrato de franquicia</w:t>
      </w:r>
      <w:r>
        <w:rPr>
          <w:rFonts w:ascii="Calibri" w:hAnsi="Calibri"/>
          <w:b w:val="0"/>
          <w:color w:val="1B2A41"/>
          <w:sz w:val="25"/>
        </w:rPr>
        <w:t>. Es uno de los acuerdos comerciales más extendidos del mundo, está en la esquina de su casa, y aun así casi nadie sabe qué dice por dentro.</w:t>
      </w:r>
    </w:p>
    <w:p>
      <w:r>
        <w:rPr>
          <w:rFonts w:ascii="Calibri" w:hAnsi="Calibri"/>
          <w:b w:val="0"/>
          <w:color w:val="1B2A41"/>
          <w:sz w:val="25"/>
        </w:rPr>
        <w:t>En los próximos quince minutos van a saber qué se compra exactamente cuando alguien compra una franquicia, cuánto le cuesta, y qué es lo que entrega en el camino.</w:t>
      </w:r>
    </w:p>
    <w:p>
      <w:r>
        <w:br w:type="page"/>
      </w:r>
    </w:p>
    <w:p>
      <w:pPr>
        <w:spacing w:after="20"/>
      </w:pPr>
      <w:r>
        <w:rPr>
          <w:b/>
          <w:color w:val="A8532B"/>
          <w:sz w:val="19"/>
        </w:rPr>
        <w:t>1:01 – 4:31   ·   FREDY</w:t>
      </w:r>
    </w:p>
    <w:p>
      <w:pPr>
        <w:spacing w:after="60"/>
      </w:pPr>
      <w:r>
        <w:rPr>
          <w:rFonts w:ascii="Georgia" w:hAnsi="Georgia"/>
          <w:color w:val="1B2A41"/>
          <w:sz w:val="40"/>
        </w:rPr>
        <w:t>2 · Definición conceptual</w:t>
      </w:r>
    </w:p>
    <w:p>
      <w:pPr>
        <w:spacing w:after="280"/>
      </w:pPr>
      <w:r>
        <w:rPr>
          <w:i/>
          <w:color w:val="707886"/>
          <w:sz w:val="20"/>
        </w:rPr>
        <w:t>En pantalla: Dos tarjetas: «La franquicia» y «El contrato de franquicia». Abajo, tres países.</w:t>
      </w:r>
    </w:p>
    <w:p>
      <w:r>
        <w:rPr>
          <w:rFonts w:ascii="Calibri" w:hAnsi="Calibri"/>
          <w:b w:val="0"/>
          <w:color w:val="1B2A41"/>
          <w:sz w:val="25"/>
        </w:rPr>
        <w:t>Cuando una empresa franquicia, lo que vende no es un producto. Vende la posibilidad de repetir su negocio.</w:t>
      </w:r>
    </w:p>
    <w:p>
      <w:r>
        <w:rPr>
          <w:rFonts w:ascii="Calibri" w:hAnsi="Calibri"/>
          <w:b w:val="0"/>
          <w:color w:val="1B2A41"/>
          <w:sz w:val="25"/>
        </w:rPr>
        <w:t>Y eso se reparte en tres cosas muy distintas.</w:t>
      </w:r>
    </w:p>
    <w:p>
      <w:r>
        <w:rPr>
          <w:rFonts w:ascii="Calibri" w:hAnsi="Calibri"/>
          <w:b w:val="0"/>
          <w:color w:val="1B2A41"/>
          <w:sz w:val="25"/>
        </w:rPr>
        <w:t>La primera es la más visible: el letrero. Una marca que la gente ya reconoce le ahorra al negocio los tres o cuatro años que toma ganarse la confianza de un barrio. El cliente entra porque ya sabe qué va a encontrar.</w:t>
      </w:r>
    </w:p>
    <w:p>
      <w:r>
        <w:rPr>
          <w:rFonts w:ascii="Calibri" w:hAnsi="Calibri"/>
          <w:b w:val="0"/>
          <w:color w:val="1B2A41"/>
          <w:sz w:val="25"/>
        </w:rPr>
        <w:t xml:space="preserve">La segunda es el </w:t>
      </w:r>
      <w:r>
        <w:rPr>
          <w:rFonts w:ascii="Calibri" w:hAnsi="Calibri"/>
          <w:b/>
          <w:color w:val="1B2A41"/>
          <w:sz w:val="25"/>
        </w:rPr>
        <w:t>know-how</w:t>
      </w:r>
      <w:r>
        <w:rPr>
          <w:rFonts w:ascii="Calibri" w:hAnsi="Calibri"/>
          <w:b w:val="0"/>
          <w:color w:val="1B2A41"/>
          <w:sz w:val="25"/>
        </w:rPr>
        <w:t>, y aquí me quiero detener, porque es la que menos se entiende. Know-how viene del inglés y significa saber hacer. Piensen en un restaurante que lleva veinte años abierto. En esos veinte años aprendió a qué temperatura sale mejor cada plato, cuánta gente necesita un sábado, en qué orden armar los pedidos para que no se enfríen, qué hacer cuando un cliente reclama. Nada de eso está patentado, porque no es un invento: es experiencia, y se aprendió perdiendo dinero. Cuando la empresa franquicia, le entrega todo eso escrito, en manuales, a alguien que acaba de conocer. Por eso el contrato lo blinda: el franquiciado lo puede usar, pero no lo puede contar, ni durante ni después.</w:t>
      </w:r>
    </w:p>
    <w:p>
      <w:r>
        <w:rPr>
          <w:rFonts w:ascii="Calibri" w:hAnsi="Calibri"/>
          <w:b w:val="0"/>
          <w:color w:val="1B2A41"/>
          <w:sz w:val="25"/>
        </w:rPr>
        <w:t>La tercera es la forma de operar: cómo se ve el local, cómo se atiende, cómo se hace la publicidad. Y esto no es capricho estético. Es lo que permite que ustedes entren a un local en Bogotá y a otro en Quito, con dueños que no se conocen entre sí, y no noten la diferencia.</w:t>
      </w:r>
    </w:p>
    <w:p>
      <w:r>
        <w:rPr>
          <w:rFonts w:ascii="Calibri" w:hAnsi="Calibri"/>
          <w:b w:val="0"/>
          <w:color w:val="1B2A41"/>
          <w:sz w:val="25"/>
        </w:rPr>
        <w:t>Eso, todo junto, es una franquicia.</w:t>
      </w:r>
    </w:p>
    <w:p>
      <w:r>
        <w:rPr>
          <w:rFonts w:ascii="Calibri" w:hAnsi="Calibri"/>
          <w:b w:val="0"/>
          <w:color w:val="1B2A41"/>
          <w:sz w:val="25"/>
        </w:rPr>
        <w:t>Ahora, una cosa es el negocio y otra es el papel. El contrato es donde queda escrito cuánto se paga, por cuánto tiempo, en qué zona, qué puede hacer cada uno y qué pasa si alguien incumple.</w:t>
      </w:r>
    </w:p>
    <w:p>
      <w:r>
        <w:rPr>
          <w:rFonts w:ascii="Calibri" w:hAnsi="Calibri"/>
          <w:b w:val="0"/>
          <w:color w:val="1B2A41"/>
          <w:sz w:val="25"/>
        </w:rPr>
        <w:t>Y tiene dos cosas que suelen sorprender.</w:t>
      </w:r>
    </w:p>
    <w:p>
      <w:r>
        <w:rPr>
          <w:rFonts w:ascii="Calibri" w:hAnsi="Calibri"/>
          <w:b w:val="0"/>
          <w:color w:val="1B2A41"/>
          <w:sz w:val="25"/>
        </w:rPr>
        <w:t>La primera: no se parece a una compraventa. Cuando yo les compro algo, les doy plata, me dan la cosa y la relación se acaba. Aquí no se acaba: se sigue pagando cada mes, se sigue recibiendo asistencia, se sigue siendo supervisado. Se parece mucho más a un arriendo que a una compra.</w:t>
      </w:r>
    </w:p>
    <w:p>
      <w:r>
        <w:rPr>
          <w:rFonts w:ascii="Calibri" w:hAnsi="Calibri"/>
          <w:b w:val="0"/>
          <w:color w:val="1B2A41"/>
          <w:sz w:val="25"/>
        </w:rPr>
        <w:t xml:space="preserve">La segunda: está </w:t>
      </w:r>
      <w:r>
        <w:rPr>
          <w:rFonts w:ascii="Calibri" w:hAnsi="Calibri"/>
          <w:b/>
          <w:color w:val="1B2A41"/>
          <w:sz w:val="25"/>
        </w:rPr>
        <w:t>incompleto a propósito</w:t>
      </w:r>
      <w:r>
        <w:rPr>
          <w:rFonts w:ascii="Calibri" w:hAnsi="Calibri"/>
          <w:b w:val="0"/>
          <w:color w:val="1B2A41"/>
          <w:sz w:val="25"/>
        </w:rPr>
        <w:t>. Ningún contrato de franquicia dice qué hacer si en ocho años cambia la forma en que la gente compra, o si aparece una pandemia. Y no es descuido del abogado. Si el contrato amarrara todo, la red no podría moverse cuando el mercado se mueve. Ese margen es lo que la mantiene viva.</w:t>
      </w:r>
    </w:p>
    <w:p>
      <w:r>
        <w:rPr>
          <w:rFonts w:ascii="Calibri" w:hAnsi="Calibri"/>
          <w:b w:val="0"/>
          <w:color w:val="1B2A41"/>
          <w:sz w:val="25"/>
        </w:rPr>
        <w:t xml:space="preserve">Y una advertencia que cambia según dónde estén parados. En </w:t>
      </w:r>
      <w:r>
        <w:rPr>
          <w:rFonts w:ascii="Calibri" w:hAnsi="Calibri"/>
          <w:b/>
          <w:color w:val="1B2A41"/>
          <w:sz w:val="25"/>
        </w:rPr>
        <w:t>Argentina</w:t>
      </w:r>
      <w:r>
        <w:rPr>
          <w:rFonts w:ascii="Calibri" w:hAnsi="Calibri"/>
          <w:b w:val="0"/>
          <w:color w:val="1B2A41"/>
          <w:sz w:val="25"/>
        </w:rPr>
        <w:t xml:space="preserve">, si mañana hay un pleito por una franquicia, hay artículos concretos en el Código Civil y Comercial a los que acudir. En </w:t>
      </w:r>
      <w:r>
        <w:rPr>
          <w:rFonts w:ascii="Calibri" w:hAnsi="Calibri"/>
          <w:b/>
          <w:color w:val="1B2A41"/>
          <w:sz w:val="25"/>
        </w:rPr>
        <w:t>Ecuador</w:t>
      </w:r>
      <w:r>
        <w:rPr>
          <w:rFonts w:ascii="Calibri" w:hAnsi="Calibri"/>
          <w:b w:val="0"/>
          <w:color w:val="1B2A41"/>
          <w:sz w:val="25"/>
        </w:rPr>
        <w:t xml:space="preserve"> el Código de Comercio también la reconoce. En </w:t>
      </w:r>
      <w:r>
        <w:rPr>
          <w:rFonts w:ascii="Calibri" w:hAnsi="Calibri"/>
          <w:b/>
          <w:color w:val="1B2A41"/>
          <w:sz w:val="25"/>
        </w:rPr>
        <w:t>Colombia y Perú</w:t>
      </w:r>
      <w:r>
        <w:rPr>
          <w:rFonts w:ascii="Calibri" w:hAnsi="Calibri"/>
          <w:b w:val="0"/>
          <w:color w:val="1B2A41"/>
          <w:sz w:val="25"/>
        </w:rPr>
        <w:t>, no: la ley no menciona esta figura. No es ilegal, pero significa que si el contrato no dice algo, probablemente nadie lo dice. Ahí el contrato no es un respaldo del acuerdo: es todo el acuerdo.</w:t>
      </w:r>
    </w:p>
    <w:p>
      <w:r>
        <w:br w:type="page"/>
      </w:r>
    </w:p>
    <w:p>
      <w:pPr>
        <w:spacing w:after="20"/>
      </w:pPr>
      <w:r>
        <w:rPr>
          <w:b/>
          <w:color w:val="A8532B"/>
          <w:sz w:val="19"/>
        </w:rPr>
        <w:t>4:31 – 7:18   ·   MARÍA ISABEL</w:t>
      </w:r>
    </w:p>
    <w:p>
      <w:pPr>
        <w:spacing w:after="60"/>
      </w:pPr>
      <w:r>
        <w:rPr>
          <w:rFonts w:ascii="Georgia" w:hAnsi="Georgia"/>
          <w:color w:val="1B2A41"/>
          <w:sz w:val="40"/>
        </w:rPr>
        <w:t>3 · ¿Cómo se aplica?</w:t>
      </w:r>
    </w:p>
    <w:p>
      <w:pPr>
        <w:spacing w:after="280"/>
      </w:pPr>
      <w:r>
        <w:rPr>
          <w:i/>
          <w:color w:val="707886"/>
          <w:sz w:val="20"/>
        </w:rPr>
        <w:t>En pantalla: Cinco etapas numeradas. Abajo, «20 días» y «La fórmula del modelo».</w:t>
      </w:r>
    </w:p>
    <w:p>
      <w:r>
        <w:rPr>
          <w:rFonts w:ascii="Calibri" w:hAnsi="Calibri"/>
          <w:b w:val="0"/>
          <w:color w:val="1B2A41"/>
          <w:sz w:val="25"/>
        </w:rPr>
        <w:t>Veamos cómo pasa esto en la vida real.</w:t>
      </w:r>
    </w:p>
    <w:p>
      <w:r>
        <w:rPr>
          <w:rFonts w:ascii="Calibri" w:hAnsi="Calibri"/>
          <w:b w:val="0"/>
          <w:color w:val="1B2A41"/>
          <w:sz w:val="25"/>
        </w:rPr>
        <w:t>No arranca con una firma; arranca con una entrevista. La marca escoge, y escoge con desconfianza, porque cada local que se abre lleva su nombre en la fachada. Tener el dinero no alcanza. Hay estudios que muestran que escoger bien al franquiciado es una de las decisiones que más determina si toda la red funciona. Y la lógica es dura: si el franquiciado lo hace mal, él pierde su inversión, pero la marca pierde reputación en toda la ciudad.</w:t>
      </w:r>
    </w:p>
    <w:p>
      <w:r>
        <w:rPr>
          <w:rFonts w:ascii="Calibri" w:hAnsi="Calibri"/>
          <w:b w:val="0"/>
          <w:color w:val="1B2A41"/>
          <w:sz w:val="25"/>
        </w:rPr>
        <w:t>Cuando hay acuerdo, se firma. Y en ese momento no solo se fija el precio: se fija cómo se sale. Cuánto dura, cómo se renueva, en qué casos se puede terminar antes y quién decide si hay pelea. Todo eso se define al principio, cuando las dos partes están contentas, precisamente porque después ya no se van a poner de acuerdo.</w:t>
      </w:r>
    </w:p>
    <w:p>
      <w:r>
        <w:rPr>
          <w:rFonts w:ascii="Calibri" w:hAnsi="Calibri"/>
          <w:b w:val="0"/>
          <w:color w:val="1B2A41"/>
          <w:sz w:val="25"/>
        </w:rPr>
        <w:t>Después viene la parte que nadie ve: la capacitación. Semanas de entrenamiento para el dueño y para los empleados, manuales, acompañamiento en la apertura. Aquí es donde el know-how cambia de manos de verdad.</w:t>
      </w:r>
    </w:p>
    <w:p>
      <w:r>
        <w:rPr>
          <w:rFonts w:ascii="Calibri" w:hAnsi="Calibri"/>
          <w:b w:val="0"/>
          <w:color w:val="1B2A41"/>
          <w:sz w:val="25"/>
        </w:rPr>
        <w:t>Abre el local. Y a partir de ahí el franquiciado hace casi todo: contrata, paga la nómina, atiende, responde por el arriendo. Pero lo hace dentro de reglas que no escribió él.</w:t>
      </w:r>
    </w:p>
    <w:p>
      <w:r>
        <w:rPr>
          <w:rFonts w:ascii="Calibri" w:hAnsi="Calibri"/>
          <w:b w:val="0"/>
          <w:color w:val="1B2A41"/>
          <w:sz w:val="25"/>
        </w:rPr>
        <w:t>Y la marca no se va: vuelve. Visita el local, revisa que los estándares se cumplan, audita las instalaciones y en muchos contratos también los libros contables. Suena invasivo, y lo es, pero está aceptado desde el primer día. La razón es práctica: cuando un cliente tiene una mala experiencia, no dice «qué mal ese dueño». Dice «qué mal esa marca». El daño se reparte entre todos.</w:t>
      </w:r>
    </w:p>
    <w:p>
      <w:r>
        <w:rPr>
          <w:rFonts w:ascii="Calibri" w:hAnsi="Calibri"/>
          <w:b w:val="0"/>
          <w:color w:val="1B2A41"/>
          <w:sz w:val="25"/>
        </w:rPr>
        <w:t xml:space="preserve">Y hay una regla previa a todo esto que a nosotros nos pareció lo más interesante de la figura. Antes de firmar, la marca está obligada a entregarle a quien va a invertir información real del negocio: quién es, cómo está el sector, cómo funciona la red. Y con </w:t>
      </w:r>
      <w:r>
        <w:rPr>
          <w:rFonts w:ascii="Calibri" w:hAnsi="Calibri"/>
          <w:b/>
          <w:color w:val="1B2A41"/>
          <w:sz w:val="25"/>
        </w:rPr>
        <w:t>veinte días hábiles</w:t>
      </w:r>
      <w:r>
        <w:rPr>
          <w:rFonts w:ascii="Calibri" w:hAnsi="Calibri"/>
          <w:b w:val="0"/>
          <w:color w:val="1B2A41"/>
          <w:sz w:val="25"/>
        </w:rPr>
        <w:t xml:space="preserve"> de anticipación, para que la persona lo lea con calma y no firme en caliente. Existe porque el desequilibrio es brutal: quien vende conoce el negocio a fondo, y quien compra está apostando a ciegas. Y si esa información se oculta o se maquilla, hay responsabilidad legal </w:t>
      </w:r>
      <w:r>
        <w:rPr>
          <w:rFonts w:ascii="Calibri" w:hAnsi="Calibri"/>
          <w:b/>
          <w:color w:val="1B2A41"/>
          <w:sz w:val="25"/>
        </w:rPr>
        <w:t>aunque el contrato nunca se llegue a firmar</w:t>
      </w:r>
      <w:r>
        <w:rPr>
          <w:rFonts w:ascii="Calibri" w:hAnsi="Calibri"/>
          <w:b w:val="0"/>
          <w:color w:val="1B2A41"/>
          <w:sz w:val="25"/>
        </w:rPr>
        <w:t>.</w:t>
      </w:r>
    </w:p>
    <w:p>
      <w:r>
        <w:br w:type="page"/>
      </w:r>
    </w:p>
    <w:p>
      <w:pPr>
        <w:spacing w:after="20"/>
      </w:pPr>
      <w:r>
        <w:rPr>
          <w:b/>
          <w:color w:val="A8532B"/>
          <w:sz w:val="19"/>
        </w:rPr>
        <w:t>7:18 – 10:34   ·   XILENA</w:t>
      </w:r>
    </w:p>
    <w:p>
      <w:pPr>
        <w:spacing w:after="60"/>
      </w:pPr>
      <w:r>
        <w:rPr>
          <w:rFonts w:ascii="Georgia" w:hAnsi="Georgia"/>
          <w:color w:val="1B2A41"/>
          <w:sz w:val="40"/>
        </w:rPr>
        <w:t>4 · Partes involucradas</w:t>
      </w:r>
    </w:p>
    <w:p>
      <w:pPr>
        <w:spacing w:after="280"/>
      </w:pPr>
      <w:r>
        <w:rPr>
          <w:i/>
          <w:color w:val="707886"/>
          <w:sz w:val="20"/>
        </w:rPr>
        <w:t>En pantalla: Dos tarjetas, franquiciador y franquiciado. Abajo, la franja del subfranquiciante.</w:t>
      </w:r>
    </w:p>
    <w:p>
      <w:r>
        <w:rPr>
          <w:rFonts w:ascii="Calibri" w:hAnsi="Calibri"/>
          <w:b w:val="0"/>
          <w:color w:val="1B2A41"/>
          <w:sz w:val="25"/>
        </w:rPr>
        <w:t xml:space="preserve">Aquí hay dos, y sus nombres se parecen tanto que se confunden. El </w:t>
      </w:r>
      <w:r>
        <w:rPr>
          <w:rFonts w:ascii="Calibri" w:hAnsi="Calibri"/>
          <w:b/>
          <w:color w:val="1B2A41"/>
          <w:sz w:val="25"/>
        </w:rPr>
        <w:t>franquiciador</w:t>
      </w:r>
      <w:r>
        <w:rPr>
          <w:rFonts w:ascii="Calibri" w:hAnsi="Calibri"/>
          <w:b w:val="0"/>
          <w:color w:val="1B2A41"/>
          <w:sz w:val="25"/>
        </w:rPr>
        <w:t xml:space="preserve"> es el dueño de la marca. El </w:t>
      </w:r>
      <w:r>
        <w:rPr>
          <w:rFonts w:ascii="Calibri" w:hAnsi="Calibri"/>
          <w:b/>
          <w:color w:val="1B2A41"/>
          <w:sz w:val="25"/>
        </w:rPr>
        <w:t>franquiciado</w:t>
      </w:r>
      <w:r>
        <w:rPr>
          <w:rFonts w:ascii="Calibri" w:hAnsi="Calibri"/>
          <w:b w:val="0"/>
          <w:color w:val="1B2A41"/>
          <w:sz w:val="25"/>
        </w:rPr>
        <w:t xml:space="preserve"> es quien abre el local. Si se pierden, piensen en el dueño de la receta y el dueño del local.</w:t>
      </w:r>
    </w:p>
    <w:p>
      <w:r>
        <w:rPr>
          <w:rFonts w:ascii="Calibri" w:hAnsi="Calibri"/>
          <w:b w:val="0"/>
          <w:color w:val="1B2A41"/>
          <w:sz w:val="25"/>
        </w:rPr>
        <w:t>El dueño de la marca pone lo que no se puede tocar: el nombre, el saber hacer, los manuales, la asistencia. Y antes de poder franquiciar tuvo que hacer funcionar su propio negocio durante años. Nadie franquicia una idea; se franquicia un historial. Ese historial es exactamente lo que está vendiendo.</w:t>
      </w:r>
    </w:p>
    <w:p>
      <w:r>
        <w:rPr>
          <w:rFonts w:ascii="Calibri" w:hAnsi="Calibri"/>
          <w:b w:val="0"/>
          <w:color w:val="1B2A41"/>
          <w:sz w:val="25"/>
        </w:rPr>
        <w:t xml:space="preserve">A cambio recibe plata por dos vías distintas, y no son lo mismo. Una es el </w:t>
      </w:r>
      <w:r>
        <w:rPr>
          <w:rFonts w:ascii="Calibri" w:hAnsi="Calibri"/>
          <w:b/>
          <w:color w:val="1B2A41"/>
          <w:sz w:val="25"/>
        </w:rPr>
        <w:t>canon de entrada</w:t>
      </w:r>
      <w:r>
        <w:rPr>
          <w:rFonts w:ascii="Calibri" w:hAnsi="Calibri"/>
          <w:b w:val="0"/>
          <w:color w:val="1B2A41"/>
          <w:sz w:val="25"/>
        </w:rPr>
        <w:t xml:space="preserve">: un pago único, al principio, por el derecho a entrar. Piénsenlo como el derecho de admisión. La otra son las </w:t>
      </w:r>
      <w:r>
        <w:rPr>
          <w:rFonts w:ascii="Calibri" w:hAnsi="Calibri"/>
          <w:b/>
          <w:color w:val="1B2A41"/>
          <w:sz w:val="25"/>
        </w:rPr>
        <w:t>regalías</w:t>
      </w:r>
      <w:r>
        <w:rPr>
          <w:rFonts w:ascii="Calibri" w:hAnsi="Calibri"/>
          <w:b w:val="0"/>
          <w:color w:val="1B2A41"/>
          <w:sz w:val="25"/>
        </w:rPr>
        <w:t>: un pago que se repite todos los meses, casi siempre calculado como un porcentaje de las ventas.</w:t>
      </w:r>
    </w:p>
    <w:p>
      <w:r>
        <w:rPr>
          <w:rFonts w:ascii="Calibri" w:hAnsi="Calibri"/>
          <w:b w:val="0"/>
          <w:color w:val="1B2A41"/>
          <w:sz w:val="25"/>
        </w:rPr>
        <w:t>Y recibe algo más que plata: recibe control. Puede exigir que el local se vea igual, que se opere igual, y que el know-how no salga de ahí.</w:t>
      </w:r>
    </w:p>
    <w:p>
      <w:r>
        <w:rPr>
          <w:rFonts w:ascii="Calibri" w:hAnsi="Calibri"/>
          <w:b w:val="0"/>
          <w:color w:val="1B2A41"/>
          <w:sz w:val="25"/>
        </w:rPr>
        <w:t>Del otro lado, el franquiciado pone el dinero y el cuerpo. La inversión inicial, las regalías, el día a día del negocio, la gente. Y pone algo que la marca no tiene y necesita: sabe cómo compra la gente de su ciudad.</w:t>
      </w:r>
    </w:p>
    <w:p>
      <w:r>
        <w:rPr>
          <w:rFonts w:ascii="Calibri" w:hAnsi="Calibri"/>
          <w:b w:val="0"/>
          <w:color w:val="1B2A41"/>
          <w:sz w:val="25"/>
        </w:rPr>
        <w:t xml:space="preserve">Lo que recibe, además del paquete, es protección. La más valiosa suele ser la </w:t>
      </w:r>
      <w:r>
        <w:rPr>
          <w:rFonts w:ascii="Calibri" w:hAnsi="Calibri"/>
          <w:b/>
          <w:color w:val="1B2A41"/>
          <w:sz w:val="25"/>
        </w:rPr>
        <w:t>exclusividad territorial</w:t>
      </w:r>
      <w:r>
        <w:rPr>
          <w:rFonts w:ascii="Calibri" w:hAnsi="Calibri"/>
          <w:b w:val="0"/>
          <w:color w:val="1B2A41"/>
          <w:sz w:val="25"/>
        </w:rPr>
        <w:t>: el compromiso de que la marca no le va a abrir otro local a tres cuadras y le va a partir la clientela. Si eso no quedó escrito, no existe.</w:t>
      </w:r>
    </w:p>
    <w:p>
      <w:r>
        <w:rPr>
          <w:rFonts w:ascii="Calibri" w:hAnsi="Calibri"/>
          <w:b w:val="0"/>
          <w:color w:val="1B2A41"/>
          <w:sz w:val="25"/>
        </w:rPr>
        <w:t xml:space="preserve">Y aquí está la confusión más común. Aunque siga manuales ajenos, aunque lo auditen, aunque no pueda cambiar los precios, el franquiciado </w:t>
      </w:r>
      <w:r>
        <w:rPr>
          <w:rFonts w:ascii="Calibri" w:hAnsi="Calibri"/>
          <w:b/>
          <w:color w:val="1B2A41"/>
          <w:sz w:val="25"/>
        </w:rPr>
        <w:t>no es un empleado</w:t>
      </w:r>
      <w:r>
        <w:rPr>
          <w:rFonts w:ascii="Calibri" w:hAnsi="Calibri"/>
          <w:b w:val="0"/>
          <w:color w:val="1B2A41"/>
          <w:sz w:val="25"/>
        </w:rPr>
        <w:t>. Es un empresario. Su plata está en juego. Si el local quiebra, la pérdida es suya, no de la marca.</w:t>
      </w:r>
    </w:p>
    <w:p>
      <w:r>
        <w:rPr>
          <w:rFonts w:ascii="Calibri" w:hAnsi="Calibri"/>
          <w:b w:val="0"/>
          <w:color w:val="1B2A41"/>
          <w:sz w:val="25"/>
        </w:rPr>
        <w:t>Eso lleva a una pregunta que en la práctica se pelea mucho: si un cliente sufre un daño dentro del local, ¿a quién demanda? Por regla general responde el franquiciado, incluso por lo que hagan sus empleados, justamente porque es independiente. El letrero de la marca en la puerta no basta para responsabilizar a la marca. Pero los tribunales españoles han hecho una excepción, sobre todo en clínicas estéticas y odontológicas: cuando se prueba que el daño vino de una instrucción concreta que impuso la marca, la marca responde. Tener manuales y supervisar no alcanza; hay que probar que la orden causó el daño.</w:t>
      </w:r>
    </w:p>
    <w:p>
      <w:r>
        <w:rPr>
          <w:rFonts w:ascii="Calibri" w:hAnsi="Calibri"/>
          <w:b w:val="0"/>
          <w:color w:val="1B2A41"/>
          <w:sz w:val="25"/>
        </w:rPr>
        <w:t>Y cuando esto cruza fronteras aparece un tercero. Alguien compra los derechos de un país entero y después reparte franquicias ahí dentro. No es el dueño de la marca, pero para los locales de ese país se comporta como si lo fuera.</w:t>
      </w:r>
    </w:p>
    <w:p>
      <w:r>
        <w:br w:type="page"/>
      </w:r>
    </w:p>
    <w:p>
      <w:pPr>
        <w:spacing w:after="20"/>
      </w:pPr>
      <w:r>
        <w:rPr>
          <w:b/>
          <w:color w:val="A8532B"/>
          <w:sz w:val="19"/>
        </w:rPr>
        <w:t>10:34 – 12:38   ·   MARÍA DANIELA</w:t>
      </w:r>
    </w:p>
    <w:p>
      <w:pPr>
        <w:spacing w:after="60"/>
      </w:pPr>
      <w:r>
        <w:rPr>
          <w:rFonts w:ascii="Georgia" w:hAnsi="Georgia"/>
          <w:color w:val="1B2A41"/>
          <w:sz w:val="40"/>
        </w:rPr>
        <w:t>5 · Ventajas y desventajas</w:t>
      </w:r>
    </w:p>
    <w:p>
      <w:pPr>
        <w:spacing w:after="280"/>
      </w:pPr>
      <w:r>
        <w:rPr>
          <w:i/>
          <w:color w:val="707886"/>
          <w:sz w:val="20"/>
        </w:rPr>
        <w:t>En pantalla: Seis ventajas y seis desventajas.</w:t>
      </w:r>
    </w:p>
    <w:p>
      <w:r>
        <w:rPr>
          <w:rFonts w:ascii="Calibri" w:hAnsi="Calibri"/>
          <w:b w:val="0"/>
          <w:color w:val="1B2A41"/>
          <w:sz w:val="25"/>
        </w:rPr>
        <w:t>En la diapositiva están los doce puntos; no los voy a leer. Prefiero contarles la lógica, porque las dos listas son en realidad la misma decisión.</w:t>
      </w:r>
    </w:p>
    <w:p>
      <w:r>
        <w:rPr>
          <w:rFonts w:ascii="Calibri" w:hAnsi="Calibri"/>
          <w:b w:val="0"/>
          <w:color w:val="1B2A41"/>
          <w:sz w:val="25"/>
        </w:rPr>
        <w:t>Lo que se gana se resume en dos cosas. Se gana tiempo: uno no empieza a averiguar qué funciona, entra a algo que ya funciona. Por eso las franquicias sobreviven más que los negocios independientes; no es suerte, es que los errores caros ya los pagó otro. Y se gana escala: la publicidad, la capacitación y las compras se hacen para toda la red. Un local independiente le pide al proveedor cien unidades; la red le pide cien mil. No les cobran el mismo precio ni les dan el mismo plazo para pagar.</w:t>
      </w:r>
    </w:p>
    <w:p>
      <w:r>
        <w:rPr>
          <w:rFonts w:ascii="Calibri" w:hAnsi="Calibri"/>
          <w:b w:val="0"/>
          <w:color w:val="1B2A41"/>
          <w:sz w:val="25"/>
        </w:rPr>
        <w:t xml:space="preserve">Lo que se pierde también son dos cosas. Se pierde plata, y de una forma que a veces no se ve venir: las regalías son un porcentaje de </w:t>
      </w:r>
      <w:r>
        <w:rPr>
          <w:rFonts w:ascii="Calibri" w:hAnsi="Calibri"/>
          <w:b/>
          <w:color w:val="1B2A41"/>
          <w:sz w:val="25"/>
        </w:rPr>
        <w:t>las ventas, no de las ganancias</w:t>
      </w:r>
      <w:r>
        <w:rPr>
          <w:rFonts w:ascii="Calibri" w:hAnsi="Calibri"/>
          <w:b w:val="0"/>
          <w:color w:val="1B2A41"/>
          <w:sz w:val="25"/>
        </w:rPr>
        <w:t>. Si un mes las ventas caen a la mitad, la regalía se paga igual. Un mes malo para el negocio no es un mes malo para la marca.</w:t>
      </w:r>
    </w:p>
    <w:p>
      <w:r>
        <w:rPr>
          <w:rFonts w:ascii="Calibri" w:hAnsi="Calibri"/>
          <w:b w:val="0"/>
          <w:color w:val="1B2A41"/>
          <w:sz w:val="25"/>
        </w:rPr>
        <w:t>Y se pierde libertad. El franquiciado puede tener una idea excelente para su ciudad y no poder aplicarla porque el manual no lo permite. Hay algo peor todavía, que no depende de él en absoluto: si la marca queda mal en las noticias, aunque sea por algo que pasó en otro país, su local pierde clientes esa semana. Trabajó impecable y de todas formas paga la cuenta.</w:t>
      </w:r>
    </w:p>
    <w:p>
      <w:r>
        <w:rPr>
          <w:rFonts w:ascii="Calibri" w:hAnsi="Calibri"/>
          <w:b w:val="0"/>
          <w:color w:val="1B2A41"/>
          <w:sz w:val="25"/>
        </w:rPr>
        <w:t>Y ahí está el nudo del asunto: lo mismo que hace valiosa a la red es lo que le quita libertad al franquiciado. No se puede tener uno sin el otro. El contrato solo decide en qué punto se traza esa raya.</w:t>
      </w:r>
    </w:p>
    <w:p>
      <w:r>
        <w:br w:type="page"/>
      </w:r>
    </w:p>
    <w:p>
      <w:pPr>
        <w:spacing w:after="20"/>
      </w:pPr>
      <w:r>
        <w:rPr>
          <w:b/>
          <w:color w:val="A8532B"/>
          <w:sz w:val="19"/>
        </w:rPr>
        <w:t>12:38 – 14:54   ·   MARÍA DANIELA</w:t>
      </w:r>
    </w:p>
    <w:p>
      <w:pPr>
        <w:spacing w:after="60"/>
      </w:pPr>
      <w:r>
        <w:rPr>
          <w:rFonts w:ascii="Georgia" w:hAnsi="Georgia"/>
          <w:color w:val="1B2A41"/>
          <w:sz w:val="40"/>
        </w:rPr>
        <w:t>6 · Síntesis e intro al video</w:t>
      </w:r>
    </w:p>
    <w:p>
      <w:pPr>
        <w:spacing w:after="280"/>
      </w:pPr>
      <w:r>
        <w:rPr>
          <w:i/>
          <w:color w:val="707886"/>
          <w:sz w:val="20"/>
        </w:rPr>
        <w:t>En pantalla: El invitado y las cifras de la operación.</w:t>
      </w:r>
    </w:p>
    <w:p>
      <w:r>
        <w:rPr>
          <w:rFonts w:ascii="Calibri" w:hAnsi="Calibri"/>
          <w:b w:val="0"/>
          <w:color w:val="1B2A41"/>
          <w:sz w:val="25"/>
        </w:rPr>
        <w:t>Para cerrar, tres cosas que nos quedaron claras.</w:t>
      </w:r>
    </w:p>
    <w:p>
      <w:r>
        <w:rPr>
          <w:rFonts w:ascii="Calibri" w:hAnsi="Calibri"/>
          <w:b/>
          <w:color w:val="1B2A41"/>
          <w:sz w:val="25"/>
        </w:rPr>
        <w:t>La primera:</w:t>
      </w:r>
      <w:r>
        <w:rPr>
          <w:rFonts w:ascii="Calibri" w:hAnsi="Calibri"/>
          <w:b w:val="0"/>
          <w:color w:val="1B2A41"/>
          <w:sz w:val="25"/>
        </w:rPr>
        <w:t xml:space="preserve"> esto funciona porque ninguno de los dos podría solo. Uno tiene la marca y la experiencia, pero no el capital ni el conocimiento de cada ciudad. El otro tiene el capital y la ciudad, pero no la marca ni el método. La franquicia existe para juntar esas dos mitades.</w:t>
      </w:r>
    </w:p>
    <w:p>
      <w:r>
        <w:rPr>
          <w:rFonts w:ascii="Calibri" w:hAnsi="Calibri"/>
          <w:b/>
          <w:color w:val="1B2A41"/>
          <w:sz w:val="25"/>
        </w:rPr>
        <w:t>La segunda,</w:t>
      </w:r>
      <w:r>
        <w:rPr>
          <w:rFonts w:ascii="Calibri" w:hAnsi="Calibri"/>
          <w:b w:val="0"/>
          <w:color w:val="1B2A41"/>
          <w:sz w:val="25"/>
        </w:rPr>
        <w:t xml:space="preserve"> y es la que más nos sorprendió: qué tan expuestas están las partes depende del país. Donde la ley regula la figura hay un piso mínimo de protección. Donde no, como en Colombia o en Perú, ese piso lo pone el contrato o no lo pone nadie. Un contrato mal redactado ahí no es un problema de forma: es quedarse sin defensa.</w:t>
      </w:r>
    </w:p>
    <w:p>
      <w:r>
        <w:rPr>
          <w:rFonts w:ascii="Calibri" w:hAnsi="Calibri"/>
          <w:b/>
          <w:color w:val="1B2A41"/>
          <w:sz w:val="25"/>
        </w:rPr>
        <w:t>Y la tercera:</w:t>
      </w:r>
      <w:r>
        <w:rPr>
          <w:rFonts w:ascii="Calibri" w:hAnsi="Calibri"/>
          <w:b w:val="0"/>
          <w:color w:val="1B2A41"/>
          <w:sz w:val="25"/>
        </w:rPr>
        <w:t xml:space="preserve"> la independencia entre las partes es cierta, pero tiene un límite. Se sostiene mientras la marca oriente. Cuando la marca controla tanto que decide por el otro, esa independencia deja de ser real, y los tribunales lo han reconocido.</w:t>
      </w:r>
    </w:p>
    <w:p>
      <w:r>
        <w:rPr>
          <w:rFonts w:ascii="Calibri" w:hAnsi="Calibri"/>
          <w:b w:val="0"/>
          <w:color w:val="1B2A41"/>
          <w:sz w:val="25"/>
        </w:rPr>
        <w:t xml:space="preserve">Ahora, todo esto es teoría. Quisimos oírlo de alguien que lo hace todos los días, así que entrevistamos a </w:t>
      </w:r>
      <w:r>
        <w:rPr>
          <w:rFonts w:ascii="Calibri" w:hAnsi="Calibri"/>
          <w:b/>
          <w:color w:val="1B2A41"/>
          <w:sz w:val="25"/>
        </w:rPr>
        <w:t>Gerardo Marcano</w:t>
      </w:r>
      <w:r>
        <w:rPr>
          <w:rFonts w:ascii="Calibri" w:hAnsi="Calibri"/>
          <w:b w:val="0"/>
          <w:color w:val="1B2A41"/>
          <w:sz w:val="25"/>
        </w:rPr>
        <w:t>, vicepresidente de operaciones de Grupo David. Lleva veinte años ahí y hoy responde por más de cuarenta franquicias.</w:t>
      </w:r>
    </w:p>
    <w:p>
      <w:r>
        <w:rPr>
          <w:rFonts w:ascii="Calibri" w:hAnsi="Calibri"/>
          <w:b w:val="0"/>
          <w:color w:val="1B2A41"/>
          <w:sz w:val="25"/>
        </w:rPr>
        <w:t xml:space="preserve">Antes de verlo, dos términos suyos, para que no los pierdan. Va a decir </w:t>
      </w:r>
      <w:r>
        <w:rPr>
          <w:rFonts w:ascii="Calibri" w:hAnsi="Calibri"/>
          <w:b/>
          <w:color w:val="1B2A41"/>
          <w:sz w:val="25"/>
        </w:rPr>
        <w:t>brand awareness</w:t>
      </w:r>
      <w:r>
        <w:rPr>
          <w:rFonts w:ascii="Calibri" w:hAnsi="Calibri"/>
          <w:b w:val="0"/>
          <w:color w:val="1B2A41"/>
          <w:sz w:val="25"/>
        </w:rPr>
        <w:t xml:space="preserve">: es cuánta gente conoce y quiere una marca en una ciudad determinada. Para él, eso decide si se abre o no se abre. Y va a decir </w:t>
      </w:r>
      <w:r>
        <w:rPr>
          <w:rFonts w:ascii="Calibri" w:hAnsi="Calibri"/>
          <w:b/>
          <w:color w:val="1B2A41"/>
          <w:sz w:val="25"/>
        </w:rPr>
        <w:t>tropicalización</w:t>
      </w:r>
      <w:r>
        <w:rPr>
          <w:rFonts w:ascii="Calibri" w:hAnsi="Calibri"/>
          <w:b w:val="0"/>
          <w:color w:val="1B2A41"/>
          <w:sz w:val="25"/>
        </w:rPr>
        <w:t>: es adaptar el producto a cada mercado, cambiar telas, colores y surtido según el clima y el gusto local. Su ejemplo lo dice todo: mandar ropa de invierno a una ciudad caliente es perder la temporada.</w:t>
      </w:r>
    </w:p>
    <w:p>
      <w:r>
        <w:rPr>
          <w:rFonts w:ascii="Calibri" w:hAnsi="Calibri"/>
          <w:b w:val="0"/>
          <w:color w:val="1B2A41"/>
          <w:sz w:val="25"/>
        </w:rPr>
        <w:t>Escuchen sobre todo una cosa: hasta dónde se puede adaptar el modelo sin romperlo. Eso, que aquí sonaba abstracto, para él es una decisión de todos los días.</w:t>
      </w:r>
    </w:p>
    <w:p>
      <w:r>
        <w:rPr>
          <w:rFonts w:ascii="Calibri" w:hAnsi="Calibri"/>
          <w:b w:val="0"/>
          <w:color w:val="1B2A41"/>
          <w:sz w:val="25"/>
        </w:rPr>
        <w:t>Con esto cerramos. Gracias.</w:t>
      </w:r>
    </w:p>
    <w:p>
      <w:r>
        <w:br w:type="page"/>
      </w:r>
    </w:p>
    <w:p>
      <w:pPr>
        <w:spacing w:after="20"/>
      </w:pPr>
      <w:r>
        <w:rPr>
          <w:b/>
          <w:color w:val="A8532B"/>
          <w:sz w:val="19"/>
        </w:rPr>
        <w:t>DESPUÉS DEL VIDEO</w:t>
      </w:r>
    </w:p>
    <w:p>
      <w:pPr>
        <w:spacing w:after="60"/>
      </w:pPr>
      <w:r>
        <w:rPr>
          <w:rFonts w:ascii="Georgia" w:hAnsi="Georgia"/>
          <w:color w:val="1B2A41"/>
          <w:sz w:val="40"/>
        </w:rPr>
        <w:t>7 · Gracias y preguntas</w:t>
      </w:r>
    </w:p>
    <w:p>
      <w:pPr>
        <w:spacing w:after="280"/>
      </w:pPr>
      <w:r>
        <w:rPr>
          <w:i/>
          <w:color w:val="707886"/>
          <w:sz w:val="20"/>
        </w:rPr>
        <w:t>En pantalla: «Gracias».</w:t>
      </w:r>
    </w:p>
    <w:p>
      <w:r>
        <w:rPr>
          <w:rFonts w:ascii="Calibri" w:hAnsi="Calibri"/>
          <w:b w:val="0"/>
          <w:color w:val="1B2A41"/>
          <w:sz w:val="25"/>
        </w:rPr>
        <w:t>Como vieron, lo que sostiene una franquicia no es el texto del contrato, sino la disciplina con que se repite el estándar y la maña con que se adapta a cada mercado. Quedamos atentos a sus preguntas.</w:t>
      </w:r>
    </w:p>
    <w:p>
      <w:pPr>
        <w:spacing w:before="360" w:after="200"/>
      </w:pPr>
      <w:r>
        <w:rPr>
          <w:rFonts w:ascii="Georgia" w:hAnsi="Georgia"/>
          <w:color w:val="1B2A41"/>
          <w:sz w:val="32"/>
        </w:rPr>
        <w:t>Si preguntan</w:t>
      </w:r>
    </w:p>
    <w:p>
      <w:pPr>
        <w:spacing w:after="40" w:line="300" w:lineRule="auto"/>
      </w:pPr>
      <w:r>
        <w:rPr>
          <w:b/>
          <w:color w:val="1B2A41"/>
          <w:sz w:val="23"/>
        </w:rPr>
        <w:t>¿Cuánto cuesta una franquicia?</w:t>
      </w:r>
    </w:p>
    <w:p>
      <w:pPr>
        <w:spacing w:after="220" w:line="312" w:lineRule="auto"/>
      </w:pPr>
      <w:r>
        <w:rPr>
          <w:color w:val="445570"/>
          <w:sz w:val="23"/>
        </w:rPr>
        <w:t>Depende del sector y de la marca, pero siempre son dos pagos distintos: el canon de entrada, que es único y al inicio, y las regalías, que son mensuales y normalmente un porcentaje de las ventas.</w:t>
      </w:r>
    </w:p>
    <w:p>
      <w:pPr>
        <w:spacing w:after="40" w:line="300" w:lineRule="auto"/>
      </w:pPr>
      <w:r>
        <w:rPr>
          <w:b/>
          <w:color w:val="1B2A41"/>
          <w:sz w:val="23"/>
        </w:rPr>
        <w:t>¿El franquiciado puede vender su local?</w:t>
      </w:r>
    </w:p>
    <w:p>
      <w:pPr>
        <w:spacing w:after="220" w:line="312" w:lineRule="auto"/>
      </w:pPr>
      <w:r>
        <w:rPr>
          <w:color w:val="445570"/>
          <w:sz w:val="23"/>
        </w:rPr>
        <w:t>Solo con autorización de la marca, y así suele quedar escrito. La marca quiere decidir quién entra a su red.</w:t>
      </w:r>
    </w:p>
    <w:p>
      <w:pPr>
        <w:spacing w:after="40" w:line="300" w:lineRule="auto"/>
      </w:pPr>
      <w:r>
        <w:rPr>
          <w:b/>
          <w:color w:val="1B2A41"/>
          <w:sz w:val="23"/>
        </w:rPr>
        <w:t>¿Quién responde si un cliente sufre un daño en el local?</w:t>
      </w:r>
    </w:p>
    <w:p>
      <w:pPr>
        <w:spacing w:after="220" w:line="312" w:lineRule="auto"/>
      </w:pPr>
      <w:r>
        <w:rPr>
          <w:color w:val="445570"/>
          <w:sz w:val="23"/>
        </w:rPr>
        <w:t>Por regla general el franquiciado, porque es un empresario independiente. Los tribunales españoles han responsabilizado a la marca cuando se prueba que el daño vino de una instrucción concreta que ella impuso. Tener estándares de calidad no basta: hay que probar ese nexo.</w:t>
      </w:r>
    </w:p>
    <w:p>
      <w:pPr>
        <w:spacing w:after="40" w:line="300" w:lineRule="auto"/>
      </w:pPr>
      <w:r>
        <w:rPr>
          <w:b/>
          <w:color w:val="1B2A41"/>
          <w:sz w:val="23"/>
        </w:rPr>
        <w:t>¿Y si el franquiciado quiere cambiar algo del negocio?</w:t>
      </w:r>
    </w:p>
    <w:p>
      <w:pPr>
        <w:spacing w:after="220" w:line="312" w:lineRule="auto"/>
      </w:pPr>
      <w:r>
        <w:rPr>
          <w:color w:val="445570"/>
          <w:sz w:val="23"/>
        </w:rPr>
        <w:t>Necesita autorización. Un laudo arbitral colombiano, el caso PANACA, precisó que el franquiciado debe seguir la filosofía de la marca, pero que los manuales tampoco pueden aplicarse igual en cualquier ciudad.</w:t>
      </w:r>
    </w:p>
    <w:p>
      <w:pPr>
        <w:spacing w:after="40" w:line="300" w:lineRule="auto"/>
      </w:pPr>
      <w:r>
        <w:rPr>
          <w:b/>
          <w:color w:val="1B2A41"/>
          <w:sz w:val="23"/>
        </w:rPr>
        <w:t>¿En qué se diferencia de una licencia de marca?</w:t>
      </w:r>
    </w:p>
    <w:p>
      <w:pPr>
        <w:spacing w:after="220" w:line="312" w:lineRule="auto"/>
      </w:pPr>
      <w:r>
        <w:rPr>
          <w:color w:val="445570"/>
          <w:sz w:val="23"/>
        </w:rPr>
        <w:t>La licencia autoriza solo el uso del nombre. La franquicia transfiere además el know-how, los manuales, la capacitación y la asistencia continua, y viene con control sobre cómo se opera.</w:t>
      </w:r>
    </w:p>
    <w:p>
      <w:pPr>
        <w:spacing w:after="40" w:line="300" w:lineRule="auto"/>
      </w:pPr>
      <w:r>
        <w:rPr>
          <w:b/>
          <w:color w:val="1B2A41"/>
          <w:sz w:val="23"/>
        </w:rPr>
        <w:t>¿Por qué en Colombia no está regulado si es tan común?</w:t>
      </w:r>
    </w:p>
    <w:p>
      <w:pPr>
        <w:spacing w:after="220" w:line="312" w:lineRule="auto"/>
      </w:pPr>
      <w:r>
        <w:rPr>
          <w:color w:val="445570"/>
          <w:sz w:val="23"/>
        </w:rPr>
        <w:t>Hay una norma técnica voluntaria, la NTC 5813, y el Ministerio de Comercio redactó un proyecto de decreto en 2021 que preveía ese plazo de veinte días. Cuando hicimos esta revisión, el proyecto seguía sin expedirse.</w:t>
      </w:r>
    </w:p>
    <w:p>
      <w:pPr>
        <w:spacing w:after="40" w:line="300" w:lineRule="auto"/>
      </w:pPr>
      <w:r>
        <w:rPr>
          <w:b/>
          <w:color w:val="1B2A41"/>
          <w:sz w:val="23"/>
        </w:rPr>
        <w:t>¿Cuánto durará el contrato normalmente?</w:t>
      </w:r>
    </w:p>
    <w:p>
      <w:pPr>
        <w:spacing w:after="220" w:line="312" w:lineRule="auto"/>
      </w:pPr>
      <w:r>
        <w:rPr>
          <w:color w:val="445570"/>
          <w:sz w:val="23"/>
        </w:rPr>
        <w:t>Lo fija el contrato y varía mucho, pero siempre trae cláusulas de renovación y de terminación. Es una relación de larga duración: por eso se negocia la salida desde el principio.</w:t>
      </w:r>
    </w:p>
    <w:sectPr w:rsidR="00FC693F" w:rsidRPr="0006063C" w:rsidSect="00034616">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80"/>
    </w:pPr>
    <w:rPr>
      <w:rFonts w:ascii="Calibri" w:hAnsi="Calibri"/>
      <w:color w:val="1B2A41"/>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