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ind w:firstLine="709"/>
        <w:jc w:val="center"/>
      </w:pPr>
      <w:r>
        <w:rPr>
          <w:rFonts w:ascii="Calibri" w:hAnsi="Calibri"/>
          <w:b/>
          <w:sz w:val="24"/>
        </w:rPr>
        <w:t>Ensayo #3: Differeniation Strategies</w:t>
      </w:r>
    </w:p>
    <w:p>
      <w:pPr>
        <w:spacing w:line="480" w:lineRule="auto" w:after="240"/>
      </w:pPr>
      <w:r>
        <w:rPr>
          <w:rFonts w:ascii="Calibri" w:hAnsi="Calibri"/>
          <w:b/>
          <w:sz w:val="24"/>
        </w:rPr>
        <w:t>Diferenciarse cuesta dinero: crédito, garantías y riesgo detrás del precio alto</w:t>
      </w:r>
    </w:p>
    <w:p>
      <w:pPr>
        <w:spacing w:line="480" w:lineRule="auto" w:after="200"/>
        <w:ind w:firstLine="709"/>
        <w:jc w:val="both"/>
      </w:pPr>
      <w:r>
        <w:rPr>
          <w:rFonts w:ascii="Calibri" w:hAnsi="Calibri"/>
          <w:sz w:val="24"/>
        </w:rPr>
        <w:t>Brenes, Montoya y Ciravegna (2014) no escriben otro estudio más sobre Porter; se preguntan qué hace distinta a una agroindustria latinoamericana que sí logra cobrar más caro que su competencia. La respuesta no es una sola cosa, sino cinco dimensiones que se mueven juntas, y de esas cinco pesan dos, capacidad de innovación y habilidades de mercadeo. Hasta ahí se lee como un estudio de estrategia, pero cuando lo cruzo con la Unidad III del curso, que habla de operaciones ante instituciones de crédito, garantías bancarias, lavado de activos y contrato de seguro (Soto, 2026), aparece algo que no dice de frente, y es que todo lo que hacen esas empresas para diferenciarse necesita plata prestada, garantías que respalden esa plata y cobertura para el riesgo, y no todas llegan con esas tres cosas. Todavía no tengo claro si es una lectura complementaria o una critica al modelo.</w:t>
      </w:r>
    </w:p>
    <w:p>
      <w:pPr>
        <w:spacing w:line="480" w:lineRule="auto" w:after="120" w:before="240"/>
      </w:pPr>
      <w:r>
        <w:rPr>
          <w:rFonts w:ascii="Calibri" w:hAnsi="Calibri"/>
          <w:b/>
          <w:sz w:val="24"/>
        </w:rPr>
        <w:t>Innovación y mercadeo, donde de verdad se separan</w:t>
      </w:r>
    </w:p>
    <w:p>
      <w:pPr>
        <w:spacing w:line="480" w:lineRule="auto" w:after="200"/>
        <w:ind w:firstLine="709"/>
        <w:jc w:val="both"/>
      </w:pPr>
      <w:r>
        <w:rPr>
          <w:rFonts w:ascii="Calibri" w:hAnsi="Calibri"/>
          <w:sz w:val="24"/>
        </w:rPr>
        <w:t>El estudio compara treinta y tres empresas que dicen cobrar por encima del promedio contra treinta y tres que no, todas del trópico húmedo, privadas, fuera de bolsa y con la familia del fundador en la gerencia (Brenes et al., 2014). Las diferencias mayores aparecen en innovación, con cero punto cincuenta y seis, y mercadeo, con cero punto cincuenta y cinco; luego vienen alcance del agronegocio, operaciones y calidad de la gerencia, esta última con apenas cero punto veinte. Lo que me llamó la atención es lo chicos que son, ya que hablamos de medio punto en una escala de siete y sobre eso se construye todo un modelo. Los autores aclaran que ahí significativo no denota significancia estadística sino nada mas indicativa (Brenes et al., 2014), y agradezco la honestidad, perp igual dudo cuánto sobreviviría esa brecha con una muestra grande.</w:t>
      </w:r>
    </w:p>
    <w:p>
      <w:pPr>
        <w:spacing w:line="480" w:lineRule="auto" w:after="200"/>
        <w:ind w:firstLine="709"/>
        <w:jc w:val="both"/>
      </w:pPr>
      <w:r>
        <w:rPr>
          <w:rFonts w:ascii="Calibri" w:hAnsi="Calibri"/>
          <w:sz w:val="24"/>
        </w:rPr>
        <w:t>En innovación el detalle sí es fuerte, puesto a que setenta y tres por ciento de las empresas diferenciadas califican sus procesos internos como altos o excelentes, invierten cincuenta por ciento más en investigación y desarrollo, y dieciocho por ciento destina más del siete por ciento de sus ventas a eso, mientras del otro grupo solo tres por ciento lo hace (Brenes et al., 2014). Ese contraste de dieciocho contra tres me parece el dato más duro del artículo. La innovación abierta va en la misma linea, y estas empresas se relacionan con universidades, reciben pasantes y hacen investigación conjunta al doble de intensidad. Grupo Britt es el caso que usan, con una jefatura de innovación que reporta directo a la gerencia general y un sistema formal de desarrollo de productos.</w:t>
      </w:r>
    </w:p>
    <w:p>
      <w:pPr>
        <w:spacing w:line="480" w:lineRule="auto" w:after="200"/>
        <w:ind w:firstLine="709"/>
        <w:jc w:val="both"/>
      </w:pPr>
      <w:r>
        <w:rPr>
          <w:rFonts w:ascii="Calibri" w:hAnsi="Calibri"/>
          <w:sz w:val="24"/>
        </w:rPr>
        <w:t>En mercadeo el patrón se repite con marca propia de por medio, ochenta y dos por ciento usa marcas propias de forma intensa y de ese grupo sesenta por ciento vende más de tres cuartas partes bajo marca propia; setenta y seis por ciento usa el origen como herramienta de venta, y noventa y uno por ciento afirma conocer al consumidor final (Brenes et al., 2014). La Canasta, de El Salvador, construye su posición en Estados Unidos sobre el hecho de ser salvadoreña, y hay una exportadora de mango que decidió primero qué variedad quería cada mercado y después sembró, mientras otra sembró según el suelo y se enteró tarde de que su fruta no vendía. Analizandolo rápido parece sentido común, aunuqe decidir la variedad desde el mercado exige información que cuesta dinero.</w:t>
      </w:r>
    </w:p>
    <w:p>
      <w:pPr>
        <w:spacing w:line="480" w:lineRule="auto" w:after="120" w:before="240"/>
      </w:pPr>
      <w:r>
        <w:rPr>
          <w:rFonts w:ascii="Calibri" w:hAnsi="Calibri"/>
          <w:b/>
          <w:sz w:val="24"/>
        </w:rPr>
        <w:t>El crédito que el modelo no menciona</w:t>
      </w:r>
    </w:p>
    <w:p>
      <w:pPr>
        <w:spacing w:line="480" w:lineRule="auto" w:after="200"/>
        <w:ind w:firstLine="709"/>
        <w:jc w:val="both"/>
      </w:pPr>
      <w:r>
        <w:rPr>
          <w:rFonts w:ascii="Calibri" w:hAnsi="Calibri"/>
          <w:sz w:val="24"/>
        </w:rPr>
        <w:t>Aquí entra la Unidad III y aquí el artículo se queda corto. La intermediación financiera es actividad de interés público y el negocio bancario se organiza en operaciones pasivas, activas, neutrales y mixtas, siendo las activas justamente las de crédito (Soto, 2026). Si junto las dos lecturas, invertir cincuenta por ciento más en investigación, comprar maquinaria compleja, pagar certificaciones y construir marca no son decisiones que se financien con la caja del mes; eso se financia con crédito, y el crédito no se otorga por tener buena estrategia. El artículo describe con detalle qué hacen estas empresas y casi nada sobre cómo lo pagaron, y esa ausencia pesa cuando se trata de empresas familiares fuera de bolsa, que no pueden emitir acciones ni deuda para financiarse.</w:t>
      </w:r>
    </w:p>
    <w:p>
      <w:pPr>
        <w:spacing w:line="480" w:lineRule="auto" w:after="200"/>
        <w:ind w:firstLine="709"/>
        <w:jc w:val="both"/>
      </w:pPr>
      <w:r>
        <w:rPr>
          <w:rFonts w:ascii="Calibri" w:hAnsi="Calibri"/>
          <w:sz w:val="24"/>
        </w:rPr>
        <w:t>La Unidad III separa los créditos descubiertos de los créditos con garantía, y dentro de estos distingue la garantía personal, que se da con fianza o aval, de la real, que se da con prenda o hipoteca (Soto, 2026). Esa clasificación que parece nada mas técnica explica bastante del artículo. Una empresa duena de su finca puede hipotecarla y financiar una planta de proceso; una que arrienda no tiene qué hipotecar y le queda la prenda sobre maquinaria o el aval de un tercero, casi siempre la familia. Ahí vuelve el rasgo familiar de la muestra, porque la familia no solo aporta gerentes, tambien aporta patrimonio para avalar. No sé hasta qué punto lo que Brenes et al. (2014) leen como capacidad estratégica es capacidad de garantizar.</w:t>
      </w:r>
    </w:p>
    <w:p>
      <w:pPr>
        <w:spacing w:line="480" w:lineRule="auto" w:after="200"/>
        <w:ind w:firstLine="709"/>
        <w:jc w:val="both"/>
      </w:pPr>
      <w:r>
        <w:rPr>
          <w:rFonts w:ascii="Calibri" w:hAnsi="Calibri"/>
          <w:sz w:val="24"/>
        </w:rPr>
        <w:t>El caso de Monteverde me sirve para esto. Usó un distribuidor externo por años con resultados promedio y en dos mil ocho compró una distribuidora especializada en frío y congelado, y hoy esa integración vertical le da ventaja por mejor conocimiento de mercado y servicio (Brenes et al., 2014). Leído como estrategia es impecable, leído desde la Unidad III es una operación activa de banco con garantía real de por medio, ósea que alguien tuvo que hipotecar o prendar algo para que esa compra ocurriera. Que sesenta y siete por ciento de las diferenciadas estén integradas verticalmente contra treinta y nueve del otro grupo puede medir apetito estratégico o acceso a garantías, y el artículo no da forma de separar las dos cosas.</w:t>
      </w:r>
    </w:p>
    <w:p>
      <w:pPr>
        <w:spacing w:line="480" w:lineRule="auto" w:after="120" w:before="240"/>
      </w:pPr>
      <w:r>
        <w:rPr>
          <w:rFonts w:ascii="Calibri" w:hAnsi="Calibri"/>
          <w:b/>
          <w:sz w:val="24"/>
        </w:rPr>
        <w:t>Certificaciones, trazabilidad y una sospecha incómoda</w:t>
      </w:r>
    </w:p>
    <w:p>
      <w:pPr>
        <w:spacing w:line="480" w:lineRule="auto" w:after="200"/>
        <w:ind w:firstLine="709"/>
        <w:jc w:val="both"/>
      </w:pPr>
      <w:r>
        <w:rPr>
          <w:rFonts w:ascii="Calibri" w:hAnsi="Calibri"/>
          <w:sz w:val="24"/>
        </w:rPr>
        <w:t>Las certificaciones son donde la brecha se abre más, con cincuenta y ocho por ciento de las diferenciadas reportando más certificaciones internacionales que su competencia frente a treinta y tres del otro grupo (Brenes et al., 2014). Una certificación no es un atributo del producto, es gasto recurrente en auditorías, registros y trazabilidad que hay que sostener año con año. La Unidad III agrega aquí una capa que el artículo no toca; el lavado de activos busca ocultar el origen de bienes obtenidos ilegalmente dándoles apariencia de legalidad mediante actividades lícitas, es delito autónomo y contempla la misma sanción para testaferros (Soto, 2026). El agro paga a productores pequeños en efectivo y maneja cadenas largas de acopio, y eso, sin que nadie haya hecho nada mal, ya es un perfil que el banco mira con lupa.</w:t>
      </w:r>
    </w:p>
    <w:p>
      <w:pPr>
        <w:spacing w:line="480" w:lineRule="auto" w:after="200"/>
        <w:ind w:firstLine="709"/>
        <w:jc w:val="both"/>
      </w:pPr>
      <w:r>
        <w:rPr>
          <w:rFonts w:ascii="Calibri" w:hAnsi="Calibri"/>
          <w:sz w:val="24"/>
        </w:rPr>
        <w:t>La consecuencia va en una dirección que el artículo no considera. Una empresa que ya tiene trazabilidad montada porque la exige su certificación europea puede documentar de dónde viene cada lote y a quién le pagó, y por eso cumple más fácil la debida diligencia que le pide el banco; una que compra en la plaza y paga en efectivo no puede, y no porque esté lavando nada. La trazabilidad sirve entonces para dos cosas a la vez, para vender caro afuera y para poder pedir prestado adentro, y esa doble función hace que la brecha se ensanche sola. Vale aclarar que el debido proceso y la presunción de inocencia siguen vigentes (Soto, 2026), pero un banco no necesita acusar a nadie para simplemente no prestar.</w:t>
      </w:r>
    </w:p>
    <w:p>
      <w:pPr>
        <w:spacing w:line="480" w:lineRule="auto" w:after="120" w:before="240"/>
      </w:pPr>
      <w:r>
        <w:rPr>
          <w:rFonts w:ascii="Calibri" w:hAnsi="Calibri"/>
          <w:b/>
          <w:sz w:val="24"/>
        </w:rPr>
        <w:t>El seguro y el riesgo que el estudio no mide</w:t>
      </w:r>
    </w:p>
    <w:p>
      <w:pPr>
        <w:spacing w:line="480" w:lineRule="auto" w:after="200"/>
        <w:ind w:firstLine="709"/>
        <w:jc w:val="both"/>
      </w:pPr>
      <w:r>
        <w:rPr>
          <w:rFonts w:ascii="Calibri" w:hAnsi="Calibri"/>
          <w:sz w:val="24"/>
        </w:rPr>
        <w:t>Hay un resultado que los autores admiten como contradictorio, y es que setenta por ciento de las empresas diferenciadas reportan uso intenso de maquinaria especializada contra setenta y nueve de las que no se diferencian (Brenes et al., 2014). Su explicación es que las diferenciadas dependen menos del equipo aunque su procesamiento sea más complejo, y que las otras probablemente siguen liderazgo en costos, estrategia que sí vive de invertir en equipo para bajar costo unitario. Me parece razonable, aunque el estudio pregunta por intensidad de uso, no por monto invertido.</w:t>
      </w:r>
    </w:p>
    <w:p>
      <w:pPr>
        <w:spacing w:line="480" w:lineRule="auto" w:after="200"/>
        <w:ind w:firstLine="709"/>
        <w:jc w:val="both"/>
      </w:pPr>
      <w:r>
        <w:rPr>
          <w:rFonts w:ascii="Calibri" w:hAnsi="Calibri"/>
          <w:sz w:val="24"/>
        </w:rPr>
        <w:t>Aquí la Unidad III me dio la pregunta que no tenía. El riesgo es el fundamento del concepto de seguro, y el contrato se articula sobre póliza y prima, con dos errores típicos que son el infraseguro y el supraseguro (Soto, 2026). Una planta de proceso complejo, una cámara de frío o una flota como la de Monteverde concentran muchísimo valor en poco espacio y son los activos que un banco no financia sin póliza endosada a su favor. Si esa póliza está mal calculada y la empresa cae en infraseguro, un incendio se lleva la diferenciación completa y deja la deuda viva. El artículo mide cinco dimensiones y ninguna es gestión de riesgo, y me cuesta creer que eso no importe donde el patrimonio del duenño y el de la empresa son lo mismo.</w:t>
      </w:r>
    </w:p>
    <w:p>
      <w:pPr>
        <w:spacing w:line="480" w:lineRule="auto" w:after="120" w:before="240"/>
      </w:pPr>
      <w:r>
        <w:rPr>
          <w:rFonts w:ascii="Calibri" w:hAnsi="Calibri"/>
          <w:b/>
          <w:sz w:val="24"/>
        </w:rPr>
        <w:t>Internacionalización lenta y el precio de la paciencia</w:t>
      </w:r>
    </w:p>
    <w:p>
      <w:pPr>
        <w:spacing w:line="480" w:lineRule="auto" w:after="200"/>
        <w:ind w:firstLine="709"/>
        <w:jc w:val="both"/>
      </w:pPr>
      <w:r>
        <w:rPr>
          <w:rFonts w:ascii="Calibri" w:hAnsi="Calibri"/>
          <w:sz w:val="24"/>
        </w:rPr>
        <w:t>Setenta y nueve por ciento de las empresas diferenciadas operan en uno o dos países, mientras las otras llegan a estar en cinco, y la explicación es que quien quiere cobrar caro conquista mercados de forma gradual, diversificando producto, mejorando procesos y afirmando la marca en casa antes de salir (Brenes et al., 2014). El resultado invierte lo que uno esperaría, ya que internacionalizarse se lee como señal de éxito y aquí la exitosa está en menos países. Lo que veo detrás es que la gradualidad se paga con capital de trabajo inmovilizado durante años, ósea que la empresa financia marca, inventario y aprendizaje sin ingreso proporcional de vuelta, y eso solo se sostiene con líneas de crédito estables o patrimonio familiar.</w:t>
      </w:r>
    </w:p>
    <w:p>
      <w:pPr>
        <w:spacing w:line="480" w:lineRule="auto" w:after="200"/>
        <w:ind w:firstLine="709"/>
        <w:jc w:val="both"/>
      </w:pPr>
      <w:r>
        <w:rPr>
          <w:rFonts w:ascii="Calibri" w:hAnsi="Calibri"/>
          <w:sz w:val="24"/>
        </w:rPr>
        <w:t>Los autores tambien sugieren que resulta más fácil entrar a mercados nuevos sin diferenciarse, vendiendo lo mismo más barato, y que muchas empresas terminan siendo líderes en costo por defecto, no por decisión (Hillman y Hitt, 1999, como se citó en Brenes et al., 2014). Esa idea del líder en costo por defecto me parece la más honesta de todo el articulo, porque acepta que muchas no eligieron, se quedaron con la única estrategia que podían pagar. Para Honduras eso significa que pedirle a una agroindustria mediana que agregue valor no es un consejo si no viene con crédito de largo plazo, garantías que no dependan solo de hipoteca y algún seguro agrícola.</w:t>
      </w:r>
    </w:p>
    <w:p>
      <w:pPr>
        <w:spacing w:line="480" w:lineRule="auto" w:after="120" w:before="240"/>
      </w:pPr>
      <w:r>
        <w:rPr>
          <w:rFonts w:ascii="Calibri" w:hAnsi="Calibri"/>
          <w:b/>
          <w:sz w:val="24"/>
        </w:rPr>
        <w:t>Lo que se puede sostener y lo que no</w:t>
      </w:r>
    </w:p>
    <w:p>
      <w:pPr>
        <w:spacing w:line="480" w:lineRule="auto" w:after="200"/>
        <w:ind w:firstLine="709"/>
        <w:jc w:val="both"/>
      </w:pPr>
      <w:r>
        <w:rPr>
          <w:rFonts w:ascii="Calibri" w:hAnsi="Calibri"/>
          <w:sz w:val="24"/>
        </w:rPr>
        <w:t>Hay una limitación que me dejó dando vueltas más que las que los autores declaran. Toda la clasificación depende de una sola pregunta, si la empresa cobra precios consistentemente por encima de su competencia, respondida por el propio gerente en escala de uno a siete, y quien contestó cinco, seis o siete quedó clasificado como diferenciado (Brenes et al., 2014). Los autores explican que no había datos formales y que preguntar directo es práctica aceptada, pero entonces la variable que divide la muestra es una autopercepción. Un gerente que invirtió en marca, certificaciones e innovación tiene todos los incentivos para creer que cobra caro. ¿Cuánto de la brecha es diferencia real de precio y cuánto es confianza del gerente que responde?</w:t>
      </w:r>
    </w:p>
    <w:p>
      <w:pPr>
        <w:spacing w:line="480" w:lineRule="auto" w:after="200"/>
        <w:ind w:firstLine="709"/>
        <w:jc w:val="both"/>
      </w:pPr>
      <w:r>
        <w:rPr>
          <w:rFonts w:ascii="Calibri" w:hAnsi="Calibri"/>
          <w:sz w:val="24"/>
        </w:rPr>
        <w:t>Con eso dicho, el estudio se presenta como exploratorio y pide desarrollar hipótesis formales para probarlas en contextos más amplios (Brenes et al., 2014), así que no le exigiré lo que no ofrece. Lo que sí sostengo después de este analisis es que la diferenciación, tal como la describen, es una estrategia intensiva en capital y en garantías, no solo en creatividad; innovar, certificar, procesar, marcar y distribuir cuestan dinero antes de generarlo.</w:t>
      </w:r>
    </w:p>
    <w:p>
      <w:pPr>
        <w:spacing w:line="480" w:lineRule="auto" w:after="200"/>
        <w:ind w:firstLine="709"/>
        <w:jc w:val="both"/>
      </w:pPr>
      <w:r>
        <w:rPr>
          <w:rFonts w:ascii="Calibri" w:hAnsi="Calibri"/>
          <w:sz w:val="24"/>
        </w:rPr>
        <w:t>Aprendí que el artículo y la Unidad III se están mirando sin saberlo, ósea que uno describe qué tiene que hacer la empresa para cobrar más y el otro las condiciones legales y financieras bajo las cuales eso se puede o no hacer. Brenes, Montoya y Ciravegna (2014) muestran que diferenciarse sí cambia el comportamiento de la empresa de forma medible, y la Unidad III me dejó claro que ese comportamiento pasa antes por un banco, por una garantía y por una póliza. Sigue sin quedarme resuelto quién debería cargar el costo de esa entrada, ni si el sistema financiero de la región está armado para financiar diferenciación o solamente volumen.</w:t>
      </w:r>
    </w:p>
    <w:p>
      <w:pPr>
        <w:spacing w:line="480" w:lineRule="auto" w:after="120"/>
        <w:ind w:firstLine="709"/>
        <w:jc w:val="center"/>
      </w:pPr>
      <w:r>
        <w:rPr>
          <w:rFonts w:ascii="Calibri" w:hAnsi="Calibri"/>
          <w:b/>
          <w:sz w:val="24"/>
        </w:rPr>
        <w:t>Bibliografía</w:t>
      </w:r>
    </w:p>
    <w:p>
      <w:pPr>
        <w:spacing w:line="480" w:lineRule="auto" w:after="120"/>
        <w:ind w:firstLine="709"/>
      </w:pPr>
      <w:r>
        <w:rPr>
          <w:rFonts w:ascii="Calibri" w:hAnsi="Calibri"/>
          <w:sz w:val="24"/>
        </w:rPr>
        <w:t>Brenes, E. R., Montoya, D., &amp; Ciravegna, L. (2014). Differentiation strategies in emerging markets: The case of Latin American agribusinesses. Journal of Business Research, 67(5), 847-855. https://doi.org/10.1016/j.jbusres.2013.07.003</w:t>
      </w:r>
    </w:p>
    <w:p>
      <w:pPr>
        <w:spacing w:line="480" w:lineRule="auto"/>
        <w:ind w:firstLine="709"/>
      </w:pPr>
      <w:r>
        <w:rPr>
          <w:rFonts w:ascii="Calibri" w:hAnsi="Calibri"/>
          <w:sz w:val="24"/>
        </w:rPr>
        <w:t>Soto, R. A. (2026). Acuerdos comerciales. Unidad III. Departamento de Agronegocios, Escuela Agrícola Panamericana, Zamorano.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