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A8532B"/>
          <w:sz w:val="19"/>
        </w:rPr>
        <w:t>CONTRATO DE FRANQUICIA</w:t>
      </w:r>
    </w:p>
    <w:p>
      <w:pPr>
        <w:spacing w:after="80"/>
      </w:pPr>
      <w:r>
        <w:rPr>
          <w:rFonts w:ascii="Georgia" w:hAnsi="Georgia"/>
          <w:color w:val="1B2A41"/>
          <w:sz w:val="52"/>
        </w:rPr>
        <w:t>Guion de exposición</w:t>
      </w:r>
    </w:p>
    <w:p>
      <w:pPr>
        <w:spacing w:after="320"/>
      </w:pPr>
      <w:r>
        <w:rPr>
          <w:color w:val="707886"/>
          <w:sz w:val="21"/>
        </w:rPr>
        <w:t>15 minutos · Acuerdos Comerciales · Grupo 1 · María Isabel Acosta, Xilena Blanco, María Daniela García, Fredy Valladares</w:t>
      </w:r>
    </w:p>
    <w:p>
      <w:pPr>
        <w:spacing w:after="160"/>
      </w:pPr>
      <w:r>
        <w:rPr>
          <w:color w:val="707886"/>
          <w:sz w:val="22"/>
        </w:rPr>
        <w:t>El video de la entrevista se proyecta después de los quince minutos, de modo que estos quince corresponden íntegramente a la exposición. La diapositiva 6 la cierra y deja el video montado. Leído a ritmo normal, unas 140 palabras por minuto, el guion completo da 14:59.</w:t>
      </w:r>
    </w:p>
    <w:tbl>
      <w:tblPr>
        <w:tblW w:type="auto" w:w="0"/>
        <w:jc w:val="left"/>
        <w:tblLook w:firstColumn="1" w:firstRow="1" w:lastColumn="0" w:lastRow="0" w:noHBand="0" w:noVBand="1" w:val="04A0"/>
      </w:tblPr>
      <w:tblGrid>
        <w:gridCol w:w="3211"/>
        <w:gridCol w:w="3211"/>
        <w:gridCol w:w="3211"/>
      </w:tblGrid>
      <w:tr>
        <w:tc>
          <w:tcPr>
            <w:tcW w:type="dxa" w:w="1361"/>
            <w:shd w:val="clear" w:fill="1B2A41"/>
          </w:tcPr>
          <w:p>
            <w:pPr>
              <w:spacing w:after="0"/>
            </w:pPr>
            <w:r>
              <w:rPr>
                <w:rFonts w:ascii="Calibri" w:hAnsi="Calibri"/>
                <w:b/>
                <w:color w:val="FFFFFF"/>
                <w:sz w:val="17"/>
              </w:rPr>
              <w:t>ENTRA</w:t>
            </w:r>
          </w:p>
        </w:tc>
        <w:tc>
          <w:tcPr>
            <w:tcW w:type="dxa" w:w="4876"/>
            <w:shd w:val="clear" w:fill="1B2A41"/>
          </w:tcPr>
          <w:p>
            <w:pPr>
              <w:spacing w:after="0"/>
            </w:pPr>
            <w:r>
              <w:rPr>
                <w:rFonts w:ascii="Calibri" w:hAnsi="Calibri"/>
                <w:b/>
                <w:color w:val="FFFFFF"/>
                <w:sz w:val="17"/>
              </w:rPr>
              <w:t>DIAPOSITIVA</w:t>
            </w:r>
          </w:p>
        </w:tc>
        <w:tc>
          <w:tcPr>
            <w:tcW w:type="dxa" w:w="1361"/>
            <w:shd w:val="clear" w:fill="1B2A41"/>
          </w:tcPr>
          <w:p>
            <w:pPr>
              <w:spacing w:after="0"/>
            </w:pPr>
            <w:r>
              <w:rPr>
                <w:rFonts w:ascii="Calibri" w:hAnsi="Calibri"/>
                <w:b/>
                <w:color w:val="FFFFFF"/>
                <w:sz w:val="17"/>
              </w:rPr>
              <w:t>DURA</w:t>
            </w:r>
          </w:p>
        </w:tc>
      </w:tr>
      <w:tr>
        <w:tc>
          <w:tcPr>
            <w:tcW w:type="dxa" w:w="1361"/>
            <w:tcBorders>
              <w:top w:val="nil"/>
              <w:left w:val="nil"/>
              <w:right w:val="nil"/>
              <w:bottom w:val="single" w:sz="4" w:color="D8D4CC"/>
            </w:tcBorders>
          </w:tcPr>
          <w:p>
            <w:pPr>
              <w:spacing w:after="0"/>
            </w:pPr>
            <w:r>
              <w:rPr>
                <w:rFonts w:ascii="Calibri" w:hAnsi="Calibri"/>
                <w:color w:val="1B2A41"/>
                <w:sz w:val="20"/>
              </w:rPr>
              <w:t>0:00</w:t>
            </w:r>
          </w:p>
        </w:tc>
        <w:tc>
          <w:tcPr>
            <w:tcW w:type="dxa" w:w="4876"/>
            <w:tcBorders>
              <w:top w:val="nil"/>
              <w:left w:val="nil"/>
              <w:right w:val="nil"/>
              <w:bottom w:val="single" w:sz="4" w:color="D8D4CC"/>
            </w:tcBorders>
          </w:tcPr>
          <w:p>
            <w:pPr>
              <w:spacing w:after="0"/>
            </w:pPr>
            <w:r>
              <w:rPr>
                <w:rFonts w:ascii="Calibri" w:hAnsi="Calibri"/>
                <w:color w:val="1B2A41"/>
                <w:sz w:val="20"/>
              </w:rPr>
              <w:t>1 · Portada</w:t>
            </w:r>
          </w:p>
        </w:tc>
        <w:tc>
          <w:tcPr>
            <w:tcW w:type="dxa" w:w="1361"/>
            <w:tcBorders>
              <w:top w:val="nil"/>
              <w:left w:val="nil"/>
              <w:right w:val="nil"/>
              <w:bottom w:val="single" w:sz="4" w:color="D8D4CC"/>
            </w:tcBorders>
          </w:tcPr>
          <w:p>
            <w:pPr>
              <w:spacing w:after="0"/>
            </w:pPr>
            <w:r>
              <w:rPr>
                <w:rFonts w:ascii="Calibri" w:hAnsi="Calibri"/>
                <w:color w:val="1B2A41"/>
                <w:sz w:val="20"/>
              </w:rPr>
              <w:t>1:08</w:t>
            </w:r>
          </w:p>
        </w:tc>
      </w:tr>
      <w:tr>
        <w:tc>
          <w:tcPr>
            <w:tcW w:type="dxa" w:w="1361"/>
            <w:tcBorders>
              <w:top w:val="nil"/>
              <w:left w:val="nil"/>
              <w:right w:val="nil"/>
              <w:bottom w:val="single" w:sz="4" w:color="D8D4CC"/>
            </w:tcBorders>
          </w:tcPr>
          <w:p>
            <w:pPr>
              <w:spacing w:after="0"/>
            </w:pPr>
            <w:r>
              <w:rPr>
                <w:rFonts w:ascii="Calibri" w:hAnsi="Calibri"/>
                <w:color w:val="1B2A41"/>
                <w:sz w:val="20"/>
              </w:rPr>
              <w:t>1:08</w:t>
            </w:r>
          </w:p>
        </w:tc>
        <w:tc>
          <w:tcPr>
            <w:tcW w:type="dxa" w:w="4876"/>
            <w:tcBorders>
              <w:top w:val="nil"/>
              <w:left w:val="nil"/>
              <w:right w:val="nil"/>
              <w:bottom w:val="single" w:sz="4" w:color="D8D4CC"/>
            </w:tcBorders>
          </w:tcPr>
          <w:p>
            <w:pPr>
              <w:spacing w:after="0"/>
            </w:pPr>
            <w:r>
              <w:rPr>
                <w:rFonts w:ascii="Calibri" w:hAnsi="Calibri"/>
                <w:color w:val="1B2A41"/>
                <w:sz w:val="20"/>
              </w:rPr>
              <w:t>2 · Definición conceptual</w:t>
            </w:r>
          </w:p>
        </w:tc>
        <w:tc>
          <w:tcPr>
            <w:tcW w:type="dxa" w:w="1361"/>
            <w:tcBorders>
              <w:top w:val="nil"/>
              <w:left w:val="nil"/>
              <w:right w:val="nil"/>
              <w:bottom w:val="single" w:sz="4" w:color="D8D4CC"/>
            </w:tcBorders>
          </w:tcPr>
          <w:p>
            <w:pPr>
              <w:spacing w:after="0"/>
            </w:pPr>
            <w:r>
              <w:rPr>
                <w:rFonts w:ascii="Calibri" w:hAnsi="Calibri"/>
                <w:color w:val="1B2A41"/>
                <w:sz w:val="20"/>
              </w:rPr>
              <w:t>3:32</w:t>
            </w:r>
          </w:p>
        </w:tc>
      </w:tr>
      <w:tr>
        <w:tc>
          <w:tcPr>
            <w:tcW w:type="dxa" w:w="1361"/>
            <w:tcBorders>
              <w:top w:val="nil"/>
              <w:left w:val="nil"/>
              <w:right w:val="nil"/>
              <w:bottom w:val="single" w:sz="4" w:color="D8D4CC"/>
            </w:tcBorders>
          </w:tcPr>
          <w:p>
            <w:pPr>
              <w:spacing w:after="0"/>
            </w:pPr>
            <w:r>
              <w:rPr>
                <w:rFonts w:ascii="Calibri" w:hAnsi="Calibri"/>
                <w:color w:val="1B2A41"/>
                <w:sz w:val="20"/>
              </w:rPr>
              <w:t>4:40</w:t>
            </w:r>
          </w:p>
        </w:tc>
        <w:tc>
          <w:tcPr>
            <w:tcW w:type="dxa" w:w="4876"/>
            <w:tcBorders>
              <w:top w:val="nil"/>
              <w:left w:val="nil"/>
              <w:right w:val="nil"/>
              <w:bottom w:val="single" w:sz="4" w:color="D8D4CC"/>
            </w:tcBorders>
          </w:tcPr>
          <w:p>
            <w:pPr>
              <w:spacing w:after="0"/>
            </w:pPr>
            <w:r>
              <w:rPr>
                <w:rFonts w:ascii="Calibri" w:hAnsi="Calibri"/>
                <w:color w:val="1B2A41"/>
                <w:sz w:val="20"/>
              </w:rPr>
              <w:t>3 · ¿Cómo se aplica?</w:t>
            </w:r>
          </w:p>
        </w:tc>
        <w:tc>
          <w:tcPr>
            <w:tcW w:type="dxa" w:w="1361"/>
            <w:tcBorders>
              <w:top w:val="nil"/>
              <w:left w:val="nil"/>
              <w:right w:val="nil"/>
              <w:bottom w:val="single" w:sz="4" w:color="D8D4CC"/>
            </w:tcBorders>
          </w:tcPr>
          <w:p>
            <w:pPr>
              <w:spacing w:after="0"/>
            </w:pPr>
            <w:r>
              <w:rPr>
                <w:rFonts w:ascii="Calibri" w:hAnsi="Calibri"/>
                <w:color w:val="1B2A41"/>
                <w:sz w:val="20"/>
              </w:rPr>
              <w:t>2:37</w:t>
            </w:r>
          </w:p>
        </w:tc>
      </w:tr>
      <w:tr>
        <w:tc>
          <w:tcPr>
            <w:tcW w:type="dxa" w:w="1361"/>
            <w:tcBorders>
              <w:top w:val="nil"/>
              <w:left w:val="nil"/>
              <w:right w:val="nil"/>
              <w:bottom w:val="single" w:sz="4" w:color="D8D4CC"/>
            </w:tcBorders>
          </w:tcPr>
          <w:p>
            <w:pPr>
              <w:spacing w:after="0"/>
            </w:pPr>
            <w:r>
              <w:rPr>
                <w:rFonts w:ascii="Calibri" w:hAnsi="Calibri"/>
                <w:color w:val="1B2A41"/>
                <w:sz w:val="20"/>
              </w:rPr>
              <w:t>7:17</w:t>
            </w:r>
          </w:p>
        </w:tc>
        <w:tc>
          <w:tcPr>
            <w:tcW w:type="dxa" w:w="4876"/>
            <w:tcBorders>
              <w:top w:val="nil"/>
              <w:left w:val="nil"/>
              <w:right w:val="nil"/>
              <w:bottom w:val="single" w:sz="4" w:color="D8D4CC"/>
            </w:tcBorders>
          </w:tcPr>
          <w:p>
            <w:pPr>
              <w:spacing w:after="0"/>
            </w:pPr>
            <w:r>
              <w:rPr>
                <w:rFonts w:ascii="Calibri" w:hAnsi="Calibri"/>
                <w:color w:val="1B2A41"/>
                <w:sz w:val="20"/>
              </w:rPr>
              <w:t>4 · Partes involucradas</w:t>
            </w:r>
          </w:p>
        </w:tc>
        <w:tc>
          <w:tcPr>
            <w:tcW w:type="dxa" w:w="1361"/>
            <w:tcBorders>
              <w:top w:val="nil"/>
              <w:left w:val="nil"/>
              <w:right w:val="nil"/>
              <w:bottom w:val="single" w:sz="4" w:color="D8D4CC"/>
            </w:tcBorders>
          </w:tcPr>
          <w:p>
            <w:pPr>
              <w:spacing w:after="0"/>
            </w:pPr>
            <w:r>
              <w:rPr>
                <w:rFonts w:ascii="Calibri" w:hAnsi="Calibri"/>
                <w:color w:val="1B2A41"/>
                <w:sz w:val="20"/>
              </w:rPr>
              <w:t>3:17</w:t>
            </w:r>
          </w:p>
        </w:tc>
      </w:tr>
      <w:tr>
        <w:tc>
          <w:tcPr>
            <w:tcW w:type="dxa" w:w="1361"/>
            <w:tcBorders>
              <w:top w:val="nil"/>
              <w:left w:val="nil"/>
              <w:right w:val="nil"/>
              <w:bottom w:val="single" w:sz="4" w:color="D8D4CC"/>
            </w:tcBorders>
          </w:tcPr>
          <w:p>
            <w:pPr>
              <w:spacing w:after="0"/>
            </w:pPr>
            <w:r>
              <w:rPr>
                <w:rFonts w:ascii="Calibri" w:hAnsi="Calibri"/>
                <w:color w:val="1B2A41"/>
                <w:sz w:val="20"/>
              </w:rPr>
              <w:t>10:35</w:t>
            </w:r>
          </w:p>
        </w:tc>
        <w:tc>
          <w:tcPr>
            <w:tcW w:type="dxa" w:w="4876"/>
            <w:tcBorders>
              <w:top w:val="nil"/>
              <w:left w:val="nil"/>
              <w:right w:val="nil"/>
              <w:bottom w:val="single" w:sz="4" w:color="D8D4CC"/>
            </w:tcBorders>
          </w:tcPr>
          <w:p>
            <w:pPr>
              <w:spacing w:after="0"/>
            </w:pPr>
            <w:r>
              <w:rPr>
                <w:rFonts w:ascii="Calibri" w:hAnsi="Calibri"/>
                <w:color w:val="1B2A41"/>
                <w:sz w:val="20"/>
              </w:rPr>
              <w:t>5 · Ventajas y desventajas</w:t>
            </w:r>
          </w:p>
        </w:tc>
        <w:tc>
          <w:tcPr>
            <w:tcW w:type="dxa" w:w="1361"/>
            <w:tcBorders>
              <w:top w:val="nil"/>
              <w:left w:val="nil"/>
              <w:right w:val="nil"/>
              <w:bottom w:val="single" w:sz="4" w:color="D8D4CC"/>
            </w:tcBorders>
          </w:tcPr>
          <w:p>
            <w:pPr>
              <w:spacing w:after="0"/>
            </w:pPr>
            <w:r>
              <w:rPr>
                <w:rFonts w:ascii="Calibri" w:hAnsi="Calibri"/>
                <w:color w:val="1B2A41"/>
                <w:sz w:val="20"/>
              </w:rPr>
              <w:t>2:02</w:t>
            </w:r>
          </w:p>
        </w:tc>
      </w:tr>
      <w:tr>
        <w:tc>
          <w:tcPr>
            <w:tcW w:type="dxa" w:w="1361"/>
            <w:tcBorders>
              <w:top w:val="nil"/>
              <w:left w:val="nil"/>
              <w:right w:val="nil"/>
              <w:bottom w:val="single" w:sz="4" w:color="D8D4CC"/>
            </w:tcBorders>
          </w:tcPr>
          <w:p>
            <w:pPr>
              <w:spacing w:after="0"/>
            </w:pPr>
            <w:r>
              <w:rPr>
                <w:rFonts w:ascii="Calibri" w:hAnsi="Calibri"/>
                <w:color w:val="1B2A41"/>
                <w:sz w:val="20"/>
              </w:rPr>
              <w:t>12:37</w:t>
            </w:r>
          </w:p>
        </w:tc>
        <w:tc>
          <w:tcPr>
            <w:tcW w:type="dxa" w:w="4876"/>
            <w:tcBorders>
              <w:top w:val="nil"/>
              <w:left w:val="nil"/>
              <w:right w:val="nil"/>
              <w:bottom w:val="single" w:sz="4" w:color="D8D4CC"/>
            </w:tcBorders>
          </w:tcPr>
          <w:p>
            <w:pPr>
              <w:spacing w:after="0"/>
            </w:pPr>
            <w:r>
              <w:rPr>
                <w:rFonts w:ascii="Calibri" w:hAnsi="Calibri"/>
                <w:color w:val="1B2A41"/>
                <w:sz w:val="20"/>
              </w:rPr>
              <w:t>6 · Síntesis e intro al video</w:t>
            </w:r>
          </w:p>
        </w:tc>
        <w:tc>
          <w:tcPr>
            <w:tcW w:type="dxa" w:w="1361"/>
            <w:tcBorders>
              <w:top w:val="nil"/>
              <w:left w:val="nil"/>
              <w:right w:val="nil"/>
              <w:bottom w:val="single" w:sz="4" w:color="D8D4CC"/>
            </w:tcBorders>
          </w:tcPr>
          <w:p>
            <w:pPr>
              <w:spacing w:after="0"/>
            </w:pPr>
            <w:r>
              <w:rPr>
                <w:rFonts w:ascii="Calibri" w:hAnsi="Calibri"/>
                <w:color w:val="1B2A41"/>
                <w:sz w:val="20"/>
              </w:rPr>
              <w:t>2:21</w:t>
            </w:r>
          </w:p>
        </w:tc>
      </w:tr>
      <w:tr>
        <w:tc>
          <w:tcPr>
            <w:tcW w:type="dxa" w:w="1361"/>
            <w:tcBorders>
              <w:top w:val="nil"/>
              <w:left w:val="nil"/>
              <w:right w:val="nil"/>
              <w:bottom w:val="single" w:sz="4" w:color="D8D4CC"/>
            </w:tcBorders>
          </w:tcPr>
          <w:p>
            <w:pPr>
              <w:spacing w:after="0"/>
            </w:pPr>
            <w:r>
              <w:rPr>
                <w:rFonts w:ascii="Calibri" w:hAnsi="Calibri"/>
                <w:b/>
                <w:color w:val="A8532B"/>
                <w:sz w:val="20"/>
              </w:rPr>
              <w:t>14:59</w:t>
            </w:r>
          </w:p>
        </w:tc>
        <w:tc>
          <w:tcPr>
            <w:tcW w:type="dxa" w:w="4876"/>
            <w:tcBorders>
              <w:top w:val="nil"/>
              <w:left w:val="nil"/>
              <w:right w:val="nil"/>
              <w:bottom w:val="single" w:sz="4" w:color="D8D4CC"/>
            </w:tcBorders>
          </w:tcPr>
          <w:p>
            <w:pPr>
              <w:spacing w:after="0"/>
            </w:pPr>
            <w:r>
              <w:rPr>
                <w:rFonts w:ascii="Calibri" w:hAnsi="Calibri"/>
                <w:b/>
                <w:color w:val="A8532B"/>
                <w:sz w:val="20"/>
              </w:rPr>
              <w:t>Fin de la exposición · empieza el video</w:t>
            </w:r>
          </w:p>
        </w:tc>
        <w:tc>
          <w:tcPr>
            <w:tcW w:type="dxa" w:w="1361"/>
            <w:tcBorders>
              <w:top w:val="nil"/>
              <w:left w:val="nil"/>
              <w:right w:val="nil"/>
              <w:bottom w:val="single" w:sz="4" w:color="D8D4CC"/>
            </w:tcBorders>
          </w:tcPr>
          <w:p>
            <w:pPr>
              <w:spacing w:after="0"/>
            </w:pPr>
            <w:r>
              <w:rPr>
                <w:rFonts w:ascii="Calibri" w:hAnsi="Calibri"/>
                <w:b w:val="0"/>
                <w:color w:val="A8532B"/>
                <w:sz w:val="20"/>
              </w:rPr>
            </w:r>
          </w:p>
        </w:tc>
      </w:tr>
    </w:tbl>
    <w:p>
      <w:pPr>
        <w:spacing w:before="240" w:after="60"/>
      </w:pPr>
      <w:r>
        <w:rPr>
          <w:b/>
          <w:color w:val="A8532B"/>
          <w:sz w:val="18"/>
        </w:rPr>
        <w:t>SI EL TIEMPO SE CORRE</w:t>
      </w:r>
    </w:p>
    <w:p>
      <w:pPr>
        <w:pStyle w:val="ListBullet"/>
        <w:spacing w:after="60" w:line="288" w:lineRule="auto"/>
      </w:pPr>
      <w:r>
        <w:rPr>
          <w:color w:val="707886"/>
          <w:sz w:val="21"/>
        </w:rPr>
        <w:t>Para recuperar unos 50 segundos: en la diapositiva 4, omitir el párrafo sobre responsabilidad frente al consumidor.</w:t>
      </w:r>
    </w:p>
    <w:p>
      <w:pPr>
        <w:pStyle w:val="ListBullet"/>
        <w:spacing w:after="60" w:line="288" w:lineRule="auto"/>
      </w:pPr>
      <w:r>
        <w:rPr>
          <w:color w:val="707886"/>
          <w:sz w:val="21"/>
        </w:rPr>
        <w:t>Para recuperar unos 20 segundos: en la diapositiva 5, suprimir el caso del deterioro reputacional.</w:t>
      </w:r>
    </w:p>
    <w:p>
      <w:pPr>
        <w:pStyle w:val="ListBullet"/>
        <w:spacing w:after="60" w:line="288" w:lineRule="auto"/>
      </w:pPr>
      <w:r>
        <w:rPr>
          <w:color w:val="707886"/>
          <w:sz w:val="21"/>
        </w:rPr>
        <w:t>Si sobra tiempo: desarrollar los ejemplos de la diapositiva 5, que es donde la explicación gana concreción.</w:t>
      </w:r>
    </w:p>
    <w:p>
      <w:r>
        <w:br w:type="page"/>
      </w:r>
    </w:p>
    <w:p>
      <w:pPr>
        <w:spacing w:after="20"/>
      </w:pPr>
      <w:r>
        <w:rPr>
          <w:b/>
          <w:color w:val="A8532B"/>
          <w:sz w:val="19"/>
        </w:rPr>
        <w:t>0:00 – 1:08</w:t>
      </w:r>
    </w:p>
    <w:p>
      <w:pPr>
        <w:spacing w:after="60"/>
      </w:pPr>
      <w:r>
        <w:rPr>
          <w:rFonts w:ascii="Georgia" w:hAnsi="Georgia"/>
          <w:color w:val="1B2A41"/>
          <w:sz w:val="40"/>
        </w:rPr>
        <w:t>1 · Portada</w:t>
      </w:r>
    </w:p>
    <w:p>
      <w:pPr>
        <w:spacing w:after="280"/>
      </w:pPr>
      <w:r>
        <w:rPr>
          <w:i/>
          <w:color w:val="707886"/>
          <w:sz w:val="20"/>
        </w:rPr>
        <w:t>En pantalla: Título y nombres del grupo.</w:t>
      </w:r>
    </w:p>
    <w:p>
      <w:r>
        <w:rPr>
          <w:rFonts w:ascii="Calibri" w:hAnsi="Calibri"/>
          <w:b w:val="0"/>
          <w:color w:val="1B2A41"/>
          <w:sz w:val="25"/>
        </w:rPr>
        <w:t xml:space="preserve">Buenas tardes. Voy a presentarles el trabajo del Grupo 1 sobre el </w:t>
      </w:r>
      <w:r>
        <w:rPr>
          <w:rFonts w:ascii="Calibri" w:hAnsi="Calibri"/>
          <w:b/>
          <w:color w:val="1B2A41"/>
          <w:sz w:val="25"/>
        </w:rPr>
        <w:t>contrato de franquicia</w:t>
      </w:r>
      <w:r>
        <w:rPr>
          <w:rFonts w:ascii="Calibri" w:hAnsi="Calibri"/>
          <w:b w:val="0"/>
          <w:color w:val="1B2A41"/>
          <w:sz w:val="25"/>
        </w:rPr>
        <w:t>.</w:t>
      </w:r>
    </w:p>
    <w:p>
      <w:r>
        <w:rPr>
          <w:rFonts w:ascii="Calibri" w:hAnsi="Calibri"/>
          <w:b w:val="0"/>
          <w:color w:val="1B2A41"/>
          <w:sz w:val="25"/>
        </w:rPr>
        <w:t>Toda empresa que decide crecer enfrenta la misma restricción: la expansión exige capital, y el capital propio siempre es limitado. Las respuestas habituales son endeudarse o abrir más despacio. La franquicia plantea una tercera: expandirse con capital de terceros, cediéndoles el derecho a operar bajo la marca.</w:t>
      </w:r>
    </w:p>
    <w:p>
      <w:r>
        <w:rPr>
          <w:rFonts w:ascii="Calibri" w:hAnsi="Calibri"/>
          <w:b w:val="0"/>
          <w:color w:val="1B2A41"/>
          <w:sz w:val="25"/>
        </w:rPr>
        <w:t>El costo de esa decisión es alto. Obliga a entregarle a un tercero lo único que sostiene el valor de la empresa —su nombre y su forma de trabajar— y a confiar en que lo ejecutará con el mismo estándar, en un mercado donde el titular no está presente.</w:t>
      </w:r>
    </w:p>
    <w:p>
      <w:r>
        <w:rPr>
          <w:rFonts w:ascii="Calibri" w:hAnsi="Calibri"/>
          <w:b w:val="0"/>
          <w:color w:val="1B2A41"/>
          <w:sz w:val="25"/>
        </w:rPr>
        <w:t>El contrato de franquicia es el instrumento que vuelve administrable esa decisión. Define qué se transfiere, qué se cobra, qué se controla y qué ocurre cuando la relación se rompe. En los próximos quince minutos voy a recorrer cómo está construido, quiénes intervienen y qué asume cada parte.</w:t>
      </w:r>
    </w:p>
    <w:p>
      <w:r>
        <w:br w:type="page"/>
      </w:r>
    </w:p>
    <w:p>
      <w:pPr>
        <w:spacing w:after="20"/>
      </w:pPr>
      <w:r>
        <w:rPr>
          <w:b/>
          <w:color w:val="A8532B"/>
          <w:sz w:val="19"/>
        </w:rPr>
        <w:t>1:08 – 4:40</w:t>
      </w:r>
    </w:p>
    <w:p>
      <w:pPr>
        <w:spacing w:after="60"/>
      </w:pPr>
      <w:r>
        <w:rPr>
          <w:rFonts w:ascii="Georgia" w:hAnsi="Georgia"/>
          <w:color w:val="1B2A41"/>
          <w:sz w:val="40"/>
        </w:rPr>
        <w:t>2 · Definición conceptual</w:t>
      </w:r>
    </w:p>
    <w:p>
      <w:pPr>
        <w:spacing w:after="280"/>
      </w:pPr>
      <w:r>
        <w:rPr>
          <w:i/>
          <w:color w:val="707886"/>
          <w:sz w:val="20"/>
        </w:rPr>
        <w:t>En pantalla: Dos tarjetas: «La franquicia» y «El contrato de franquicia». Abajo, tres países.</w:t>
      </w:r>
    </w:p>
    <w:p>
      <w:r>
        <w:rPr>
          <w:rFonts w:ascii="Calibri" w:hAnsi="Calibri"/>
          <w:b w:val="0"/>
          <w:color w:val="1B2A41"/>
          <w:sz w:val="25"/>
        </w:rPr>
        <w:t>Franquiciar no consiste en vender un producto, sino en transferir la capacidad de reproducir un negocio. Esa capacidad se compone de tres elementos, con naturaleza y valor distintos.</w:t>
      </w:r>
    </w:p>
    <w:p>
      <w:r>
        <w:rPr>
          <w:rFonts w:ascii="Calibri" w:hAnsi="Calibri"/>
          <w:b w:val="0"/>
          <w:color w:val="1B2A41"/>
          <w:sz w:val="25"/>
        </w:rPr>
        <w:t>El primero es la marca. Su función económica es concreta: le ahorra al nuevo establecimiento los años que toma construir reputación en un mercado. El cliente ingresa con una expectativa ya formada.</w:t>
      </w:r>
    </w:p>
    <w:p>
      <w:r>
        <w:rPr>
          <w:rFonts w:ascii="Calibri" w:hAnsi="Calibri"/>
          <w:b w:val="0"/>
          <w:color w:val="1B2A41"/>
          <w:sz w:val="25"/>
        </w:rPr>
        <w:t xml:space="preserve">El segundo es el </w:t>
      </w:r>
      <w:r>
        <w:rPr>
          <w:rFonts w:ascii="Calibri" w:hAnsi="Calibri"/>
          <w:b/>
          <w:color w:val="1B2A41"/>
          <w:sz w:val="25"/>
        </w:rPr>
        <w:t>know-how</w:t>
      </w:r>
      <w:r>
        <w:rPr>
          <w:rFonts w:ascii="Calibri" w:hAnsi="Calibri"/>
          <w:b w:val="0"/>
          <w:color w:val="1B2A41"/>
          <w:sz w:val="25"/>
        </w:rPr>
        <w:t>, y es donde reside el valor real del sistema. Se traduce como saber hacer, y comprende el conjunto de procedimientos que la empresa depuró a lo largo de años de operación: estándares de producción, dimensionamiento del personal, protocolos de atención, manejo de reclamos, control de inventarios. No es materia patentable, porque no se trata de una invención sino de experiencia acumulada, buena parte de ella a costa de errores costosos. Al franquiciar, todo eso se documenta en manuales y se entrega a un tercero. De ahí la severidad de las cláusulas de confidencialidad: el franquiciado queda autorizado a utilizarlo, no a divulgarlo, y esa obligación sobrevive a la terminación del contrato.</w:t>
      </w:r>
    </w:p>
    <w:p>
      <w:r>
        <w:rPr>
          <w:rFonts w:ascii="Calibri" w:hAnsi="Calibri"/>
          <w:b w:val="0"/>
          <w:color w:val="1B2A41"/>
          <w:sz w:val="25"/>
        </w:rPr>
        <w:t>El tercero es el sistema de operación: configuración del local, protocolo de servicio, política publicitaria. No responde a un criterio estético, sino a la necesidad de que dos establecimientos con propietarios distintos resulten indistinguibles para el consumidor.</w:t>
      </w:r>
    </w:p>
    <w:p>
      <w:r>
        <w:rPr>
          <w:rFonts w:ascii="Calibri" w:hAnsi="Calibri"/>
          <w:b w:val="0"/>
          <w:color w:val="1B2A41"/>
          <w:sz w:val="25"/>
        </w:rPr>
        <w:t>Esos tres elementos, en conjunto, constituyen la franquicia.</w:t>
      </w:r>
    </w:p>
    <w:p>
      <w:r>
        <w:rPr>
          <w:rFonts w:ascii="Calibri" w:hAnsi="Calibri"/>
          <w:b w:val="0"/>
          <w:color w:val="1B2A41"/>
          <w:sz w:val="25"/>
        </w:rPr>
        <w:t>El contrato opera en otro plano. Es el instrumento donde se fijan la contraprestación, el plazo, el territorio, las facultades de cada parte y las consecuencias del incumplimiento. Presenta dos particularidades que lo separan de la contratación mercantil ordinaria.</w:t>
      </w:r>
    </w:p>
    <w:p>
      <w:r>
        <w:rPr>
          <w:rFonts w:ascii="Calibri" w:hAnsi="Calibri"/>
          <w:b w:val="0"/>
          <w:color w:val="1B2A41"/>
          <w:sz w:val="25"/>
        </w:rPr>
        <w:t>La primera: no se agota en un acto. En una compraventa hay una prestación, una contraprestación y la relación se extingue. Aquí la relación permanece activa durante toda la vigencia, con pagos periódicos, asistencia continua y supervisión permanente. Su estructura se aproxima más al arrendamiento que a la compraventa.</w:t>
      </w:r>
    </w:p>
    <w:p>
      <w:r>
        <w:rPr>
          <w:rFonts w:ascii="Calibri" w:hAnsi="Calibri"/>
          <w:b w:val="0"/>
          <w:color w:val="1B2A41"/>
          <w:sz w:val="25"/>
        </w:rPr>
        <w:t xml:space="preserve">La segunda es menos evidente: el contrato es </w:t>
      </w:r>
      <w:r>
        <w:rPr>
          <w:rFonts w:ascii="Calibri" w:hAnsi="Calibri"/>
          <w:b/>
          <w:color w:val="1B2A41"/>
          <w:sz w:val="25"/>
        </w:rPr>
        <w:t>deliberadamente incompleto</w:t>
      </w:r>
      <w:r>
        <w:rPr>
          <w:rFonts w:ascii="Calibri" w:hAnsi="Calibri"/>
          <w:b w:val="0"/>
          <w:color w:val="1B2A41"/>
          <w:sz w:val="25"/>
        </w:rPr>
        <w:t>. Ninguno anticipa un cambio en los hábitos de consumo a ocho años, ni una contingencia sanitaria. Y no se trata de una deficiencia de redacción. Un contrato que cerrara todas las variables impediría a la red ajustarse cuando el mercado se desplaza. Ese margen es lo que le da capacidad de adaptación.</w:t>
      </w:r>
    </w:p>
    <w:p>
      <w:r>
        <w:rPr>
          <w:rFonts w:ascii="Calibri" w:hAnsi="Calibri"/>
          <w:b w:val="0"/>
          <w:color w:val="1B2A41"/>
          <w:sz w:val="25"/>
        </w:rPr>
        <w:t xml:space="preserve">A ello se suma su condición de </w:t>
      </w:r>
      <w:r>
        <w:rPr>
          <w:rFonts w:ascii="Calibri" w:hAnsi="Calibri"/>
          <w:b/>
          <w:color w:val="1B2A41"/>
          <w:sz w:val="25"/>
        </w:rPr>
        <w:t>contrato marco</w:t>
      </w:r>
      <w:r>
        <w:rPr>
          <w:rFonts w:ascii="Calibri" w:hAnsi="Calibri"/>
          <w:b w:val="0"/>
          <w:color w:val="1B2A41"/>
          <w:sz w:val="25"/>
        </w:rPr>
        <w:t>: no regula una operación aislada, sino la incorporación a una red. Por eso las obligaciones del franquiciado no derivan únicamente del texto pactado, sino también de la ejecución cotidiana del know-how dentro de ese sistema.</w:t>
      </w:r>
    </w:p>
    <w:p>
      <w:r>
        <w:rPr>
          <w:rFonts w:ascii="Calibri" w:hAnsi="Calibri"/>
          <w:b w:val="0"/>
          <w:color w:val="1B2A41"/>
          <w:sz w:val="25"/>
        </w:rPr>
        <w:t xml:space="preserve">Por último, el grado de protección varía según la jurisdicción. </w:t>
      </w:r>
      <w:r>
        <w:rPr>
          <w:rFonts w:ascii="Calibri" w:hAnsi="Calibri"/>
          <w:b/>
          <w:color w:val="1B2A41"/>
          <w:sz w:val="25"/>
        </w:rPr>
        <w:t>Argentina</w:t>
      </w:r>
      <w:r>
        <w:rPr>
          <w:rFonts w:ascii="Calibri" w:hAnsi="Calibri"/>
          <w:b w:val="0"/>
          <w:color w:val="1B2A41"/>
          <w:sz w:val="25"/>
        </w:rPr>
        <w:t xml:space="preserve"> tipificó la figura en su Código Civil y Comercial: ante un litigio existen artículos aplicables. </w:t>
      </w:r>
      <w:r>
        <w:rPr>
          <w:rFonts w:ascii="Calibri" w:hAnsi="Calibri"/>
          <w:b/>
          <w:color w:val="1B2A41"/>
          <w:sz w:val="25"/>
        </w:rPr>
        <w:t>Ecuador</w:t>
      </w:r>
      <w:r>
        <w:rPr>
          <w:rFonts w:ascii="Calibri" w:hAnsi="Calibri"/>
          <w:b w:val="0"/>
          <w:color w:val="1B2A41"/>
          <w:sz w:val="25"/>
        </w:rPr>
        <w:t xml:space="preserve"> la reconoce en su Código de Comercio. </w:t>
      </w:r>
      <w:r>
        <w:rPr>
          <w:rFonts w:ascii="Calibri" w:hAnsi="Calibri"/>
          <w:b/>
          <w:color w:val="1B2A41"/>
          <w:sz w:val="25"/>
        </w:rPr>
        <w:t>Colombia y Perú</w:t>
      </w:r>
      <w:r>
        <w:rPr>
          <w:rFonts w:ascii="Calibri" w:hAnsi="Calibri"/>
          <w:b w:val="0"/>
          <w:color w:val="1B2A41"/>
          <w:sz w:val="25"/>
        </w:rPr>
        <w:t xml:space="preserve"> la mantienen como contrato atípico, es decir, la ley no la nombra. No es una figura ilegal, pero implica que lo que el contrato no prevea, no lo prevé nadie. En esas jurisdicciones el contrato no respalda el acuerdo: lo constituye por completo.</w:t>
      </w:r>
    </w:p>
    <w:p>
      <w:r>
        <w:br w:type="page"/>
      </w:r>
    </w:p>
    <w:p>
      <w:pPr>
        <w:spacing w:after="20"/>
      </w:pPr>
      <w:r>
        <w:rPr>
          <w:b/>
          <w:color w:val="A8532B"/>
          <w:sz w:val="19"/>
        </w:rPr>
        <w:t>4:40 – 7:17</w:t>
      </w:r>
    </w:p>
    <w:p>
      <w:pPr>
        <w:spacing w:after="60"/>
      </w:pPr>
      <w:r>
        <w:rPr>
          <w:rFonts w:ascii="Georgia" w:hAnsi="Georgia"/>
          <w:color w:val="1B2A41"/>
          <w:sz w:val="40"/>
        </w:rPr>
        <w:t>3 · ¿Cómo se aplica?</w:t>
      </w:r>
    </w:p>
    <w:p>
      <w:pPr>
        <w:spacing w:after="280"/>
      </w:pPr>
      <w:r>
        <w:rPr>
          <w:i/>
          <w:color w:val="707886"/>
          <w:sz w:val="20"/>
        </w:rPr>
        <w:t>En pantalla: Cinco etapas numeradas. Abajo, «20 días» y «La fórmula del modelo».</w:t>
      </w:r>
    </w:p>
    <w:p>
      <w:r>
        <w:rPr>
          <w:rFonts w:ascii="Calibri" w:hAnsi="Calibri"/>
          <w:b w:val="0"/>
          <w:color w:val="1B2A41"/>
          <w:sz w:val="25"/>
        </w:rPr>
        <w:t>El ciclo tiene cinco etapas, y la primera no es la firma: es la selección.</w:t>
      </w:r>
    </w:p>
    <w:p>
      <w:r>
        <w:rPr>
          <w:rFonts w:ascii="Calibri" w:hAnsi="Calibri"/>
          <w:b w:val="0"/>
          <w:color w:val="1B2A41"/>
          <w:sz w:val="25"/>
        </w:rPr>
        <w:t>El titular de la marca evalúa candidatos con criterio restrictivo, porque cada establecimiento que abre compromete su nombre. La capacidad de inversión no es suficiente. La literatura especializada identifica la selección de franquiciados como una de las decisiones determinantes del desempeño del sistema completo, y la razón es asimétrica: si el franquiciado opera mal, él pierde su inversión, pero la marca pierde posicionamiento en todo el mercado.</w:t>
      </w:r>
    </w:p>
    <w:p>
      <w:r>
        <w:rPr>
          <w:rFonts w:ascii="Calibri" w:hAnsi="Calibri"/>
          <w:b w:val="0"/>
          <w:color w:val="1B2A41"/>
          <w:sz w:val="25"/>
        </w:rPr>
        <w:t>Alcanzado el acuerdo, se formaliza. Y en ese momento no solo se define el precio: se define la salida. Plazo, condiciones de renovación, causales de terminación anticipada y mecanismo de solución de controversias. Todo eso se pacta al inicio, cuando existe voluntad de acuerdo, precisamente porque después no la habrá.</w:t>
      </w:r>
    </w:p>
    <w:p>
      <w:r>
        <w:rPr>
          <w:rFonts w:ascii="Calibri" w:hAnsi="Calibri"/>
          <w:b w:val="0"/>
          <w:color w:val="1B2A41"/>
          <w:sz w:val="25"/>
        </w:rPr>
        <w:t>Sigue la transferencia y la capacitación, que es la etapa menos visible y una de las más determinantes: entrenamiento del propietario y del personal, entrega de manuales, acompañamiento en la apertura. Es aquí donde el know-how cambia de titular en términos prácticos.</w:t>
      </w:r>
    </w:p>
    <w:p>
      <w:r>
        <w:rPr>
          <w:rFonts w:ascii="Calibri" w:hAnsi="Calibri"/>
          <w:b w:val="0"/>
          <w:color w:val="1B2A41"/>
          <w:sz w:val="25"/>
        </w:rPr>
        <w:t>Luego opera el establecimiento. El franquiciado asume la gestión completa —contratación, nómina, atención, obligaciones locales— pero la ejerce dentro de parámetros que no definió.</w:t>
      </w:r>
    </w:p>
    <w:p>
      <w:r>
        <w:rPr>
          <w:rFonts w:ascii="Calibri" w:hAnsi="Calibri"/>
          <w:b w:val="0"/>
          <w:color w:val="1B2A41"/>
          <w:sz w:val="25"/>
        </w:rPr>
        <w:t>Y la relación no termina ahí: continúa la supervisión. Visitas, verificación de estándares, auditoría de instalaciones y, en muchos contratos, revisión de los libros contables. Es una facultad intrusiva, y está aceptada desde el inicio por una razón práctica: cuando el servicio falla, el consumidor no atribuye la falla al propietario del local, la atribuye a la marca. El costo reputacional se distribuye sobre toda la red.</w:t>
      </w:r>
    </w:p>
    <w:p>
      <w:r>
        <w:rPr>
          <w:rFonts w:ascii="Calibri" w:hAnsi="Calibri"/>
          <w:b w:val="0"/>
          <w:color w:val="1B2A41"/>
          <w:sz w:val="25"/>
        </w:rPr>
        <w:t xml:space="preserve">Hay además una obligación previa a todo el ciclo, que a mi juicio es la que mejor caracteriza esta figura. Antes de la firma, el titular de la marca debe entregar al futuro franquiciado información veraz sobre el negocio: su identidad, la situación del sector, la estructura de la red. Y con </w:t>
      </w:r>
      <w:r>
        <w:rPr>
          <w:rFonts w:ascii="Calibri" w:hAnsi="Calibri"/>
          <w:b/>
          <w:color w:val="1B2A41"/>
          <w:sz w:val="25"/>
        </w:rPr>
        <w:t>veinte días hábiles</w:t>
      </w:r>
      <w:r>
        <w:rPr>
          <w:rFonts w:ascii="Calibri" w:hAnsi="Calibri"/>
          <w:b w:val="0"/>
          <w:color w:val="1B2A41"/>
          <w:sz w:val="25"/>
        </w:rPr>
        <w:t xml:space="preserve"> de anticipación, para que la decisión se adopte con información completa. El fundamento es la asimetría: quien ofrece conoce el negocio en detalle y quien invierte lo desconoce casi por completo. El incumplimiento de este deber genera responsabilidad por daños </w:t>
      </w:r>
      <w:r>
        <w:rPr>
          <w:rFonts w:ascii="Calibri" w:hAnsi="Calibri"/>
          <w:b/>
          <w:color w:val="1B2A41"/>
          <w:sz w:val="25"/>
        </w:rPr>
        <w:t>aunque el contrato nunca llegue a celebrarse</w:t>
      </w:r>
      <w:r>
        <w:rPr>
          <w:rFonts w:ascii="Calibri" w:hAnsi="Calibri"/>
          <w:b w:val="0"/>
          <w:color w:val="1B2A41"/>
          <w:sz w:val="25"/>
        </w:rPr>
        <w:t>.</w:t>
      </w:r>
    </w:p>
    <w:p>
      <w:r>
        <w:br w:type="page"/>
      </w:r>
    </w:p>
    <w:p>
      <w:pPr>
        <w:spacing w:after="20"/>
      </w:pPr>
      <w:r>
        <w:rPr>
          <w:b/>
          <w:color w:val="A8532B"/>
          <w:sz w:val="19"/>
        </w:rPr>
        <w:t>7:17 – 10:35</w:t>
      </w:r>
    </w:p>
    <w:p>
      <w:pPr>
        <w:spacing w:after="60"/>
      </w:pPr>
      <w:r>
        <w:rPr>
          <w:rFonts w:ascii="Georgia" w:hAnsi="Georgia"/>
          <w:color w:val="1B2A41"/>
          <w:sz w:val="40"/>
        </w:rPr>
        <w:t>4 · Partes involucradas</w:t>
      </w:r>
    </w:p>
    <w:p>
      <w:pPr>
        <w:spacing w:after="280"/>
      </w:pPr>
      <w:r>
        <w:rPr>
          <w:i/>
          <w:color w:val="707886"/>
          <w:sz w:val="20"/>
        </w:rPr>
        <w:t>En pantalla: Dos tarjetas, franquiciador y franquiciado. Abajo, la franja del subfranquiciante.</w:t>
      </w:r>
    </w:p>
    <w:p>
      <w:r>
        <w:rPr>
          <w:rFonts w:ascii="Calibri" w:hAnsi="Calibri"/>
          <w:b w:val="0"/>
          <w:color w:val="1B2A41"/>
          <w:sz w:val="25"/>
        </w:rPr>
        <w:t xml:space="preserve">Intervienen dos partes, con denominaciones que se confunden con facilidad. El </w:t>
      </w:r>
      <w:r>
        <w:rPr>
          <w:rFonts w:ascii="Calibri" w:hAnsi="Calibri"/>
          <w:b/>
          <w:color w:val="1B2A41"/>
          <w:sz w:val="25"/>
        </w:rPr>
        <w:t>franquiciador</w:t>
      </w:r>
      <w:r>
        <w:rPr>
          <w:rFonts w:ascii="Calibri" w:hAnsi="Calibri"/>
          <w:b w:val="0"/>
          <w:color w:val="1B2A41"/>
          <w:sz w:val="25"/>
        </w:rPr>
        <w:t xml:space="preserve">, también llamado franquiciante u otorgante, es el titular de la marca. El </w:t>
      </w:r>
      <w:r>
        <w:rPr>
          <w:rFonts w:ascii="Calibri" w:hAnsi="Calibri"/>
          <w:b/>
          <w:color w:val="1B2A41"/>
          <w:sz w:val="25"/>
        </w:rPr>
        <w:t>franquiciado</w:t>
      </w:r>
      <w:r>
        <w:rPr>
          <w:rFonts w:ascii="Calibri" w:hAnsi="Calibri"/>
          <w:b w:val="0"/>
          <w:color w:val="1B2A41"/>
          <w:sz w:val="25"/>
        </w:rPr>
        <w:t>, o franquiciatario, es quien explota el establecimiento.</w:t>
      </w:r>
    </w:p>
    <w:p>
      <w:r>
        <w:rPr>
          <w:rFonts w:ascii="Calibri" w:hAnsi="Calibri"/>
          <w:b w:val="0"/>
          <w:color w:val="1B2A41"/>
          <w:sz w:val="25"/>
        </w:rPr>
        <w:t>El franquiciador aporta activos intangibles: el nombre comercial, el know-how, los manuales y la asistencia técnica. Y hay un requisito previo que suele omitirse: para franquiciar debió haber operado con éxito su propio negocio durante un período razonable. No se franquicia un proyecto; se franquicia un historial acreditado. Ese historial es lo que determina el valor de lo que ofrece.</w:t>
      </w:r>
    </w:p>
    <w:p>
      <w:r>
        <w:rPr>
          <w:rFonts w:ascii="Calibri" w:hAnsi="Calibri"/>
          <w:b w:val="0"/>
          <w:color w:val="1B2A41"/>
          <w:sz w:val="25"/>
        </w:rPr>
        <w:t xml:space="preserve">Su contraprestación llega por dos vías que no deben confundirse. El </w:t>
      </w:r>
      <w:r>
        <w:rPr>
          <w:rFonts w:ascii="Calibri" w:hAnsi="Calibri"/>
          <w:b/>
          <w:color w:val="1B2A41"/>
          <w:sz w:val="25"/>
        </w:rPr>
        <w:t>canon de entrada</w:t>
      </w:r>
      <w:r>
        <w:rPr>
          <w:rFonts w:ascii="Calibri" w:hAnsi="Calibri"/>
          <w:b w:val="0"/>
          <w:color w:val="1B2A41"/>
          <w:sz w:val="25"/>
        </w:rPr>
        <w:t xml:space="preserve"> es un pago único, al inicio, por el derecho de incorporación a la red. Las </w:t>
      </w:r>
      <w:r>
        <w:rPr>
          <w:rFonts w:ascii="Calibri" w:hAnsi="Calibri"/>
          <w:b/>
          <w:color w:val="1B2A41"/>
          <w:sz w:val="25"/>
        </w:rPr>
        <w:t>regalías</w:t>
      </w:r>
      <w:r>
        <w:rPr>
          <w:rFonts w:ascii="Calibri" w:hAnsi="Calibri"/>
          <w:b w:val="0"/>
          <w:color w:val="1B2A41"/>
          <w:sz w:val="25"/>
        </w:rPr>
        <w:t xml:space="preserve"> son pagos periódicos, generalmente calculados como un porcentaje de las ventas.</w:t>
      </w:r>
    </w:p>
    <w:p>
      <w:r>
        <w:rPr>
          <w:rFonts w:ascii="Calibri" w:hAnsi="Calibri"/>
          <w:b w:val="0"/>
          <w:color w:val="1B2A41"/>
          <w:sz w:val="25"/>
        </w:rPr>
        <w:t>Y recibe algo más que la contraprestación económica: recibe facultades de control. Puede exigir uniformidad en la imagen del local y en la operación, y la reserva del know-how transferido.</w:t>
      </w:r>
    </w:p>
    <w:p>
      <w:r>
        <w:rPr>
          <w:rFonts w:ascii="Calibri" w:hAnsi="Calibri"/>
          <w:b w:val="0"/>
          <w:color w:val="1B2A41"/>
          <w:sz w:val="25"/>
        </w:rPr>
        <w:t>El franquiciado aporta capital y gestión: la inversión inicial, las regalías, la operación diaria, el equipo humano. Y aporta un activo que el franquiciador no posee: el conocimiento del comportamiento de compra en su propio mercado.</w:t>
      </w:r>
    </w:p>
    <w:p>
      <w:r>
        <w:rPr>
          <w:rFonts w:ascii="Calibri" w:hAnsi="Calibri"/>
          <w:b w:val="0"/>
          <w:color w:val="1B2A41"/>
          <w:sz w:val="25"/>
        </w:rPr>
        <w:t xml:space="preserve">A su favor, la protección más relevante suele ser la </w:t>
      </w:r>
      <w:r>
        <w:rPr>
          <w:rFonts w:ascii="Calibri" w:hAnsi="Calibri"/>
          <w:b/>
          <w:color w:val="1B2A41"/>
          <w:sz w:val="25"/>
        </w:rPr>
        <w:t>exclusividad territorial</w:t>
      </w:r>
      <w:r>
        <w:rPr>
          <w:rFonts w:ascii="Calibri" w:hAnsi="Calibri"/>
          <w:b w:val="0"/>
          <w:color w:val="1B2A41"/>
          <w:sz w:val="25"/>
        </w:rPr>
        <w:t>: el compromiso de que la marca no abrirá otro establecimiento en su zona de influencia fragmentando su clientela. Si no se pactó expresamente, no existe.</w:t>
      </w:r>
    </w:p>
    <w:p>
      <w:r>
        <w:rPr>
          <w:rFonts w:ascii="Calibri" w:hAnsi="Calibri"/>
          <w:b w:val="0"/>
          <w:color w:val="1B2A41"/>
          <w:sz w:val="25"/>
        </w:rPr>
        <w:t>Entre sus obligaciones figura además la prohibición de competir con la red mientras el contrato esté vigente, correlato lógico de haber recibido el método.</w:t>
      </w:r>
    </w:p>
    <w:p>
      <w:r>
        <w:rPr>
          <w:rFonts w:ascii="Calibri" w:hAnsi="Calibri"/>
          <w:b w:val="0"/>
          <w:color w:val="1B2A41"/>
          <w:sz w:val="25"/>
        </w:rPr>
        <w:t xml:space="preserve">Y aquí está la confusión más frecuente. Aunque siga manuales ajenos, aunque se someta a auditorías, aunque no fije libremente sus precios, el franquiciado </w:t>
      </w:r>
      <w:r>
        <w:rPr>
          <w:rFonts w:ascii="Calibri" w:hAnsi="Calibri"/>
          <w:b/>
          <w:color w:val="1B2A41"/>
          <w:sz w:val="25"/>
        </w:rPr>
        <w:t>no es un dependiente</w:t>
      </w:r>
      <w:r>
        <w:rPr>
          <w:rFonts w:ascii="Calibri" w:hAnsi="Calibri"/>
          <w:b w:val="0"/>
          <w:color w:val="1B2A41"/>
          <w:sz w:val="25"/>
        </w:rPr>
        <w:t>. Es un empresario independiente. Su capital está en riesgo. Si el establecimiento fracasa, la pérdida es suya y no de la marca.</w:t>
      </w:r>
    </w:p>
    <w:p>
      <w:r>
        <w:rPr>
          <w:rFonts w:ascii="Calibri" w:hAnsi="Calibri"/>
          <w:b w:val="0"/>
          <w:color w:val="1B2A41"/>
          <w:sz w:val="25"/>
        </w:rPr>
        <w:t>De ahí se deriva el punto de mayor litigiosidad: quién responde frente al consumidor que sufre un daño en el establecimiento. La regla general atribuye la responsabilidad al franquiciado, incluso por los actos de sus dependientes, por su condición de empresario independiente. La presencia del signo distintivo en la fachada no basta para trasladar la responsabilidad al titular de la marca. Sin embargo, los tribunales españoles han admitido una excepción, particularmente en clínicas de medicina estética y odontología: cuando se acredita que el daño derivó de una instrucción concreta impuesta por el franquiciador, este responde. La existencia de estándares y de supervisión no es suficiente; debe probarse el nexo causal.</w:t>
      </w:r>
    </w:p>
    <w:p>
      <w:r>
        <w:rPr>
          <w:rFonts w:ascii="Calibri" w:hAnsi="Calibri"/>
          <w:b w:val="0"/>
          <w:color w:val="1B2A41"/>
          <w:sz w:val="25"/>
        </w:rPr>
        <w:t>Finalmente, cuando la red se internacionaliza aparece un tercer sujeto. Un operador adquiere los derechos sobre un territorio completo y otorga franquicias dentro de él. No es el titular originario de la marca, pero frente a esos franquiciados asume sus funciones.</w:t>
      </w:r>
    </w:p>
    <w:p>
      <w:r>
        <w:br w:type="page"/>
      </w:r>
    </w:p>
    <w:p>
      <w:pPr>
        <w:spacing w:after="20"/>
      </w:pPr>
      <w:r>
        <w:rPr>
          <w:b/>
          <w:color w:val="A8532B"/>
          <w:sz w:val="19"/>
        </w:rPr>
        <w:t>10:35 – 12:37</w:t>
      </w:r>
    </w:p>
    <w:p>
      <w:pPr>
        <w:spacing w:after="60"/>
      </w:pPr>
      <w:r>
        <w:rPr>
          <w:rFonts w:ascii="Georgia" w:hAnsi="Georgia"/>
          <w:color w:val="1B2A41"/>
          <w:sz w:val="40"/>
        </w:rPr>
        <w:t>5 · Ventajas y desventajas</w:t>
      </w:r>
    </w:p>
    <w:p>
      <w:pPr>
        <w:spacing w:after="280"/>
      </w:pPr>
      <w:r>
        <w:rPr>
          <w:i/>
          <w:color w:val="707886"/>
          <w:sz w:val="20"/>
        </w:rPr>
        <w:t>En pantalla: Seis ventajas y seis desventajas.</w:t>
      </w:r>
    </w:p>
    <w:p>
      <w:r>
        <w:rPr>
          <w:rFonts w:ascii="Calibri" w:hAnsi="Calibri"/>
          <w:b w:val="0"/>
          <w:color w:val="1B2A41"/>
          <w:sz w:val="25"/>
        </w:rPr>
        <w:t>En la diapositiva están los doce puntos; no voy a leerlos. Prefiero detenerme en la lógica que los ordena, porque ambas columnas describen la misma decisión desde lados opuestos.</w:t>
      </w:r>
    </w:p>
    <w:p>
      <w:r>
        <w:rPr>
          <w:rFonts w:ascii="Calibri" w:hAnsi="Calibri"/>
          <w:b w:val="0"/>
          <w:color w:val="1B2A41"/>
          <w:sz w:val="25"/>
        </w:rPr>
        <w:t>Lo que se obtiene se reduce a dos cosas. La primera es tiempo: no se invierte en averiguar qué funciona, se ingresa a un modelo ya validado. De ahí que las franquicias registren tasas de supervivencia superiores a las de negocios independientes comparables; no es un efecto del azar, es que los errores costosos ya fueron asumidos por otro. La segunda es escala: publicidad, capacitación y compras se ejecutan para la red completa. Un establecimiento independiente negocia cien unidades; la red negocia cien mil. No obtienen el mismo precio ni las mismas condiciones de pago.</w:t>
      </w:r>
    </w:p>
    <w:p>
      <w:r>
        <w:rPr>
          <w:rFonts w:ascii="Calibri" w:hAnsi="Calibri"/>
          <w:b w:val="0"/>
          <w:color w:val="1B2A41"/>
          <w:sz w:val="25"/>
        </w:rPr>
        <w:t xml:space="preserve">Lo que se cede son también dos cosas. Se cede margen, y en una modalidad que merece precisión: las regalías se calculan sobre </w:t>
      </w:r>
      <w:r>
        <w:rPr>
          <w:rFonts w:ascii="Calibri" w:hAnsi="Calibri"/>
          <w:b/>
          <w:color w:val="1B2A41"/>
          <w:sz w:val="25"/>
        </w:rPr>
        <w:t>las ventas, no sobre la utilidad</w:t>
      </w:r>
      <w:r>
        <w:rPr>
          <w:rFonts w:ascii="Calibri" w:hAnsi="Calibri"/>
          <w:b w:val="0"/>
          <w:color w:val="1B2A41"/>
          <w:sz w:val="25"/>
        </w:rPr>
        <w:t>. Si en un mes las ventas caen a la mitad, la regalía se liquida igual. Un mes adverso para el establecimiento no es un mes adverso para la marca.</w:t>
      </w:r>
    </w:p>
    <w:p>
      <w:r>
        <w:rPr>
          <w:rFonts w:ascii="Calibri" w:hAnsi="Calibri"/>
          <w:b w:val="0"/>
          <w:color w:val="1B2A41"/>
          <w:sz w:val="25"/>
        </w:rPr>
        <w:t>Y se cede autonomía. El franquiciado puede identificar una oportunidad válida en su mercado y no poder implementarla porque el manual no lo autoriza. Existe además una exposición que no controla en absoluto: si la marca sufre un deterioro reputacional, incluso por hechos ocurridos en otro país, su establecimiento pierde afluencia esa semana. Su gestión pudo ser impecable y el costo lo asume igual.</w:t>
      </w:r>
    </w:p>
    <w:p>
      <w:r>
        <w:rPr>
          <w:rFonts w:ascii="Calibri" w:hAnsi="Calibri"/>
          <w:b w:val="0"/>
          <w:color w:val="1B2A41"/>
          <w:sz w:val="25"/>
        </w:rPr>
        <w:t>Y ahí está el núcleo del asunto: aquello que genera el valor de la red es lo mismo que restringe al franquiciado. No hay uno sin el otro. El contrato únicamente determina en qué punto se traza esa línea.</w:t>
      </w:r>
    </w:p>
    <w:p>
      <w:r>
        <w:br w:type="page"/>
      </w:r>
    </w:p>
    <w:p>
      <w:pPr>
        <w:spacing w:after="20"/>
      </w:pPr>
      <w:r>
        <w:rPr>
          <w:b/>
          <w:color w:val="A8532B"/>
          <w:sz w:val="19"/>
        </w:rPr>
        <w:t>12:37 – 14:59</w:t>
      </w:r>
    </w:p>
    <w:p>
      <w:pPr>
        <w:spacing w:after="60"/>
      </w:pPr>
      <w:r>
        <w:rPr>
          <w:rFonts w:ascii="Georgia" w:hAnsi="Georgia"/>
          <w:color w:val="1B2A41"/>
          <w:sz w:val="40"/>
        </w:rPr>
        <w:t>6 · Síntesis e intro al video</w:t>
      </w:r>
    </w:p>
    <w:p>
      <w:pPr>
        <w:spacing w:after="280"/>
      </w:pPr>
      <w:r>
        <w:rPr>
          <w:i/>
          <w:color w:val="707886"/>
          <w:sz w:val="20"/>
        </w:rPr>
        <w:t>En pantalla: El invitado y las cifras de la operación.</w:t>
      </w:r>
    </w:p>
    <w:p>
      <w:r>
        <w:rPr>
          <w:rFonts w:ascii="Calibri" w:hAnsi="Calibri"/>
          <w:b w:val="0"/>
          <w:color w:val="1B2A41"/>
          <w:sz w:val="25"/>
        </w:rPr>
        <w:t>Para cerrar, tres conclusiones.</w:t>
      </w:r>
    </w:p>
    <w:p>
      <w:r>
        <w:rPr>
          <w:rFonts w:ascii="Calibri" w:hAnsi="Calibri"/>
          <w:b/>
          <w:color w:val="1B2A41"/>
          <w:sz w:val="25"/>
        </w:rPr>
        <w:t>La primera:</w:t>
      </w:r>
      <w:r>
        <w:rPr>
          <w:rFonts w:ascii="Calibri" w:hAnsi="Calibri"/>
          <w:b w:val="0"/>
          <w:color w:val="1B2A41"/>
          <w:sz w:val="25"/>
        </w:rPr>
        <w:t xml:space="preserve"> el modelo funciona porque ninguna de las partes podría sola. Una dispone de la marca, el método y la experiencia acumulada, pero no del capital ni del conocimiento de cada mercado. La otra dispone del capital y del mercado, pero no de la marca ni del método. La franquicia existe para articular esas dos mitades.</w:t>
      </w:r>
    </w:p>
    <w:p>
      <w:r>
        <w:rPr>
          <w:rFonts w:ascii="Calibri" w:hAnsi="Calibri"/>
          <w:b/>
          <w:color w:val="1B2A41"/>
          <w:sz w:val="25"/>
        </w:rPr>
        <w:t>La segunda,</w:t>
      </w:r>
      <w:r>
        <w:rPr>
          <w:rFonts w:ascii="Calibri" w:hAnsi="Calibri"/>
          <w:b w:val="0"/>
          <w:color w:val="1B2A41"/>
          <w:sz w:val="25"/>
        </w:rPr>
        <w:t xml:space="preserve"> y es la que más me llamó la atención de la investigación: el grado de exposición de las partes depende de la jurisdicción. Donde la figura está regulada existe un estándar mínimo de protección. Donde no lo está, como en Colombia o en Perú, ese estándar lo fija el contrato o no lo fija nadie. Un contrato deficiente en esas jurisdicciones no es un problema de técnica jurídica: es la ausencia de defensa.</w:t>
      </w:r>
    </w:p>
    <w:p>
      <w:r>
        <w:rPr>
          <w:rFonts w:ascii="Calibri" w:hAnsi="Calibri"/>
          <w:b/>
          <w:color w:val="1B2A41"/>
          <w:sz w:val="25"/>
        </w:rPr>
        <w:t>La tercera:</w:t>
      </w:r>
      <w:r>
        <w:rPr>
          <w:rFonts w:ascii="Calibri" w:hAnsi="Calibri"/>
          <w:b w:val="0"/>
          <w:color w:val="1B2A41"/>
          <w:sz w:val="25"/>
        </w:rPr>
        <w:t xml:space="preserve"> la independencia entre las partes es efectiva, pero admite un límite. Se sostiene mientras el franquiciador oriente la operación. Cuando el control alcanza tal intensidad que sustituye la decisión del franquiciado, esa independencia deja de ser real, y así lo han reconocido los tribunales.</w:t>
      </w:r>
    </w:p>
    <w:p>
      <w:r>
        <w:rPr>
          <w:rFonts w:ascii="Calibri" w:hAnsi="Calibri"/>
          <w:b w:val="0"/>
          <w:color w:val="1B2A41"/>
          <w:sz w:val="25"/>
        </w:rPr>
        <w:t xml:space="preserve">Todo lo anterior es análisis normativo y doctrinal. Para contrastarlo con la práctica, entrevistamos a </w:t>
      </w:r>
      <w:r>
        <w:rPr>
          <w:rFonts w:ascii="Calibri" w:hAnsi="Calibri"/>
          <w:b/>
          <w:color w:val="1B2A41"/>
          <w:sz w:val="25"/>
        </w:rPr>
        <w:t>Gerardo Marcano</w:t>
      </w:r>
      <w:r>
        <w:rPr>
          <w:rFonts w:ascii="Calibri" w:hAnsi="Calibri"/>
          <w:b w:val="0"/>
          <w:color w:val="1B2A41"/>
          <w:sz w:val="25"/>
        </w:rPr>
        <w:t>, vicepresidente de operaciones de Grupo David, con veinte años en la organización y responsabilidad sobre más de cuarenta franquicias.</w:t>
      </w:r>
    </w:p>
    <w:p>
      <w:r>
        <w:rPr>
          <w:rFonts w:ascii="Calibri" w:hAnsi="Calibri"/>
          <w:b w:val="0"/>
          <w:color w:val="1B2A41"/>
          <w:sz w:val="25"/>
        </w:rPr>
        <w:t xml:space="preserve">Antes de la proyección, dos términos que él emplea. </w:t>
      </w:r>
      <w:r>
        <w:rPr>
          <w:rFonts w:ascii="Calibri" w:hAnsi="Calibri"/>
          <w:b/>
          <w:color w:val="1B2A41"/>
          <w:sz w:val="25"/>
        </w:rPr>
        <w:t>Brand awareness</w:t>
      </w:r>
      <w:r>
        <w:rPr>
          <w:rFonts w:ascii="Calibri" w:hAnsi="Calibri"/>
          <w:b w:val="0"/>
          <w:color w:val="1B2A41"/>
          <w:sz w:val="25"/>
        </w:rPr>
        <w:t xml:space="preserve"> es el nivel de reconocimiento y preferencia de marca en un mercado determinado; para él es el factor que define si una apertura procede o no procede. Y </w:t>
      </w:r>
      <w:r>
        <w:rPr>
          <w:rFonts w:ascii="Calibri" w:hAnsi="Calibri"/>
          <w:b/>
          <w:color w:val="1B2A41"/>
          <w:sz w:val="25"/>
        </w:rPr>
        <w:t>tropicalización</w:t>
      </w:r>
      <w:r>
        <w:rPr>
          <w:rFonts w:ascii="Calibri" w:hAnsi="Calibri"/>
          <w:b w:val="0"/>
          <w:color w:val="1B2A41"/>
          <w:sz w:val="25"/>
        </w:rPr>
        <w:t xml:space="preserve"> es la adaptación del producto al mercado local: ajuste de materiales, colores y surtido según clima y hábitos de consumo. Su ejemplo es ilustrativo: enviar ropa de invierno a una ciudad cálida equivale a perder la temporada completa.</w:t>
      </w:r>
    </w:p>
    <w:p>
      <w:r>
        <w:rPr>
          <w:rFonts w:ascii="Calibri" w:hAnsi="Calibri"/>
          <w:b w:val="0"/>
          <w:color w:val="1B2A41"/>
          <w:sz w:val="25"/>
        </w:rPr>
        <w:t>Presten atención especialmente a un punto: hasta dónde puede adaptarse el modelo sin comprometer el estándar. Lo que aquí se plantea en términos abstractos, para él constituye una decisión operativa cotidiana.</w:t>
      </w:r>
    </w:p>
    <w:p>
      <w:r>
        <w:rPr>
          <w:rFonts w:ascii="Calibri" w:hAnsi="Calibri"/>
          <w:b w:val="0"/>
          <w:color w:val="1B2A41"/>
          <w:sz w:val="25"/>
        </w:rPr>
        <w:t>Con esto cierro. Gracias.</w:t>
      </w:r>
    </w:p>
    <w:p>
      <w:r>
        <w:br w:type="page"/>
      </w:r>
    </w:p>
    <w:p>
      <w:pPr>
        <w:spacing w:after="20"/>
      </w:pPr>
      <w:r>
        <w:rPr>
          <w:b/>
          <w:color w:val="A8532B"/>
          <w:sz w:val="19"/>
        </w:rPr>
        <w:t>DESPUÉS DEL VIDEO</w:t>
      </w:r>
    </w:p>
    <w:p>
      <w:pPr>
        <w:spacing w:after="60"/>
      </w:pPr>
      <w:r>
        <w:rPr>
          <w:rFonts w:ascii="Georgia" w:hAnsi="Georgia"/>
          <w:color w:val="1B2A41"/>
          <w:sz w:val="40"/>
        </w:rPr>
        <w:t>7 · Gracias y preguntas</w:t>
      </w:r>
    </w:p>
    <w:p>
      <w:pPr>
        <w:spacing w:after="280"/>
      </w:pPr>
      <w:r>
        <w:rPr>
          <w:i/>
          <w:color w:val="707886"/>
          <w:sz w:val="20"/>
        </w:rPr>
        <w:t>En pantalla: «Gracias».</w:t>
      </w:r>
    </w:p>
    <w:p>
      <w:r>
        <w:rPr>
          <w:rFonts w:ascii="Calibri" w:hAnsi="Calibri"/>
          <w:b w:val="0"/>
          <w:color w:val="1B2A41"/>
          <w:sz w:val="25"/>
        </w:rPr>
        <w:t>La entrevista confirma algo que en el análisis apenas se intuye: lo que sostiene una franquicia no es el texto del contrato, sino el rigor con que se replica el estándar y el criterio con que se adapta a cada mercado. Con gusto respondo sus preguntas.</w:t>
      </w:r>
    </w:p>
    <w:p>
      <w:pPr>
        <w:spacing w:before="360" w:after="200"/>
      </w:pPr>
      <w:r>
        <w:rPr>
          <w:rFonts w:ascii="Georgia" w:hAnsi="Georgia"/>
          <w:color w:val="1B2A41"/>
          <w:sz w:val="32"/>
        </w:rPr>
        <w:t>Si preguntan</w:t>
      </w:r>
    </w:p>
    <w:p>
      <w:pPr>
        <w:spacing w:after="40" w:line="300" w:lineRule="auto"/>
      </w:pPr>
      <w:r>
        <w:rPr>
          <w:b/>
          <w:color w:val="1B2A41"/>
          <w:sz w:val="23"/>
        </w:rPr>
        <w:t>¿Cuál es el monto de una franquicia?</w:t>
      </w:r>
    </w:p>
    <w:p>
      <w:pPr>
        <w:spacing w:after="220" w:line="312" w:lineRule="auto"/>
      </w:pPr>
      <w:r>
        <w:rPr>
          <w:color w:val="445570"/>
          <w:sz w:val="23"/>
        </w:rPr>
        <w:t>Depende del sector y del posicionamiento de la marca, pero la estructura es siempre la misma: un canon de entrada, único y al inicio, y regalías periódicas calculadas normalmente como porcentaje de las ventas.</w:t>
      </w:r>
    </w:p>
    <w:p>
      <w:pPr>
        <w:spacing w:after="40" w:line="300" w:lineRule="auto"/>
      </w:pPr>
      <w:r>
        <w:rPr>
          <w:b/>
          <w:color w:val="1B2A41"/>
          <w:sz w:val="23"/>
        </w:rPr>
        <w:t>¿Puede el franquiciado transferir su establecimiento?</w:t>
      </w:r>
    </w:p>
    <w:p>
      <w:pPr>
        <w:spacing w:after="220" w:line="312" w:lineRule="auto"/>
      </w:pPr>
      <w:r>
        <w:rPr>
          <w:color w:val="445570"/>
          <w:sz w:val="23"/>
        </w:rPr>
        <w:t>Solo con autorización del franquiciador, y así suele quedar pactado. La marca conserva la facultad de decidir quién se incorpora a su red.</w:t>
      </w:r>
    </w:p>
    <w:p>
      <w:pPr>
        <w:spacing w:after="40" w:line="300" w:lineRule="auto"/>
      </w:pPr>
      <w:r>
        <w:rPr>
          <w:b/>
          <w:color w:val="1B2A41"/>
          <w:sz w:val="23"/>
        </w:rPr>
        <w:t>¿Quién responde frente a un daño sufrido por un cliente en el local?</w:t>
      </w:r>
    </w:p>
    <w:p>
      <w:pPr>
        <w:spacing w:after="220" w:line="312" w:lineRule="auto"/>
      </w:pPr>
      <w:r>
        <w:rPr>
          <w:color w:val="445570"/>
          <w:sz w:val="23"/>
        </w:rPr>
        <w:t>Por regla general el franquiciado, por su condición de empresario independiente. Los tribunales españoles han responsabilizado al franquiciador cuando se acredita que el daño derivó de una instrucción concreta que él impuso. La existencia de estándares de calidad no basta: debe probarse el nexo causal.</w:t>
      </w:r>
    </w:p>
    <w:p>
      <w:pPr>
        <w:spacing w:after="40" w:line="300" w:lineRule="auto"/>
      </w:pPr>
      <w:r>
        <w:rPr>
          <w:b/>
          <w:color w:val="1B2A41"/>
          <w:sz w:val="23"/>
        </w:rPr>
        <w:t>¿Qué margen tiene el franquiciado para modificar la operación?</w:t>
      </w:r>
    </w:p>
    <w:p>
      <w:pPr>
        <w:spacing w:after="220" w:line="312" w:lineRule="auto"/>
      </w:pPr>
      <w:r>
        <w:rPr>
          <w:color w:val="445570"/>
          <w:sz w:val="23"/>
        </w:rPr>
        <w:t>Requiere autorización. Un laudo arbitral colombiano, el caso PANACA, precisó que el franquiciado debe respetar la filosofía de la marca, pero que los manuales tampoco pueden aplicarse de forma idéntica en cualquier plaza o mercado.</w:t>
      </w:r>
    </w:p>
    <w:p>
      <w:pPr>
        <w:spacing w:after="40" w:line="300" w:lineRule="auto"/>
      </w:pPr>
      <w:r>
        <w:rPr>
          <w:b/>
          <w:color w:val="1B2A41"/>
          <w:sz w:val="23"/>
        </w:rPr>
        <w:t>¿En qué se diferencia de una licencia de marca?</w:t>
      </w:r>
    </w:p>
    <w:p>
      <w:pPr>
        <w:spacing w:after="220" w:line="312" w:lineRule="auto"/>
      </w:pPr>
      <w:r>
        <w:rPr>
          <w:color w:val="445570"/>
          <w:sz w:val="23"/>
        </w:rPr>
        <w:t>La licencia autoriza únicamente el uso del signo distintivo. La franquicia transfiere además el know-how, los manuales, la capacitación y la asistencia continua, y viene acompañada de facultades de control sobre la operación.</w:t>
      </w:r>
    </w:p>
    <w:p>
      <w:pPr>
        <w:spacing w:after="40" w:line="300" w:lineRule="auto"/>
      </w:pPr>
      <w:r>
        <w:rPr>
          <w:b/>
          <w:color w:val="1B2A41"/>
          <w:sz w:val="23"/>
        </w:rPr>
        <w:t>¿Por qué Colombia no ha regulado la figura pese a su difusión?</w:t>
      </w:r>
    </w:p>
    <w:p>
      <w:pPr>
        <w:spacing w:after="220" w:line="312" w:lineRule="auto"/>
      </w:pPr>
      <w:r>
        <w:rPr>
          <w:color w:val="445570"/>
          <w:sz w:val="23"/>
        </w:rPr>
        <w:t>Existe una norma técnica de aplicación voluntaria, la NTC 5813, y el Ministerio de Comercio redactó en 2021 un proyecto de decreto que contemplaba ese plazo de veinte días hábiles. A la fecha de nuestra revisión, el proyecto seguía sin expedirse.</w:t>
      </w:r>
    </w:p>
    <w:p>
      <w:pPr>
        <w:spacing w:after="40" w:line="300" w:lineRule="auto"/>
      </w:pPr>
      <w:r>
        <w:rPr>
          <w:b/>
          <w:color w:val="1B2A41"/>
          <w:sz w:val="23"/>
        </w:rPr>
        <w:t>¿Cuál es la duración habitual del contrato?</w:t>
      </w:r>
    </w:p>
    <w:p>
      <w:pPr>
        <w:spacing w:after="220" w:line="312" w:lineRule="auto"/>
      </w:pPr>
      <w:r>
        <w:rPr>
          <w:color w:val="445570"/>
          <w:sz w:val="23"/>
        </w:rPr>
        <w:t>La fija el contrato y varía según el sector, pero siempre incorpora cláusulas de renovación y de terminación. Se trata de una relación de larga duración, y por eso la salida se negocia desde el inicio.</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80"/>
    </w:pPr>
    <w:rPr>
      <w:rFonts w:ascii="Calibri" w:hAnsi="Calibri"/>
      <w:color w:val="1B2A41"/>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