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AURORA FOOD GROUP S.r.l. — PROCEDURA PRO-QA-08</w:t>
      </w:r>
    </w:p>
    <w:p/>
    <w:p>
      <w:r>
        <w:t>Sistema di Gestione Qualità e Sicurezza Alimentare — BRCGS Food Safety Issue 9 / IFS Food v8</w:t>
      </w:r>
    </w:p>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rPr>
            </w:r>
            <w:r>
              <w:rPr>
                <w:b/>
                <w:sz w:val="17"/>
              </w:rPr>
              <w:t>Codice</w:t>
            </w:r>
          </w:p>
        </w:tc>
        <w:tc>
          <w:tcPr>
            <w:tcW w:type="dxa" w:w="1399"/>
          </w:tcPr>
          <w:p>
            <w:r>
              <w:rPr>
                <w:b/>
              </w:rPr>
            </w:r>
            <w:r>
              <w:rPr>
                <w:b/>
                <w:sz w:val="17"/>
              </w:rPr>
              <w:t>Titolo</w:t>
            </w:r>
          </w:p>
        </w:tc>
        <w:tc>
          <w:tcPr>
            <w:tcW w:type="dxa" w:w="1399"/>
          </w:tcPr>
          <w:p>
            <w:r>
              <w:rPr>
                <w:b/>
              </w:rPr>
            </w:r>
            <w:r>
              <w:rPr>
                <w:b/>
                <w:sz w:val="17"/>
              </w:rPr>
              <w:t>Revisione</w:t>
            </w:r>
          </w:p>
        </w:tc>
        <w:tc>
          <w:tcPr>
            <w:tcW w:type="dxa" w:w="1399"/>
          </w:tcPr>
          <w:p>
            <w:r>
              <w:rPr>
                <w:b/>
              </w:rPr>
            </w:r>
            <w:r>
              <w:rPr>
                <w:b/>
                <w:sz w:val="17"/>
              </w:rPr>
              <w:t>Data emissione</w:t>
            </w:r>
          </w:p>
        </w:tc>
        <w:tc>
          <w:tcPr>
            <w:tcW w:type="dxa" w:w="1399"/>
          </w:tcPr>
          <w:p>
            <w:r>
              <w:rPr>
                <w:b/>
              </w:rPr>
            </w:r>
            <w:r>
              <w:rPr>
                <w:b/>
                <w:sz w:val="17"/>
              </w:rPr>
              <w:t>Redatto</w:t>
            </w:r>
          </w:p>
        </w:tc>
        <w:tc>
          <w:tcPr>
            <w:tcW w:type="dxa" w:w="1399"/>
          </w:tcPr>
          <w:p>
            <w:r>
              <w:rPr>
                <w:b/>
              </w:rPr>
            </w:r>
            <w:r>
              <w:rPr>
                <w:b/>
                <w:sz w:val="17"/>
              </w:rPr>
              <w:t>Verificato</w:t>
            </w:r>
          </w:p>
        </w:tc>
        <w:tc>
          <w:tcPr>
            <w:tcW w:type="dxa" w:w="1399"/>
          </w:tcPr>
          <w:p>
            <w:r>
              <w:rPr>
                <w:b/>
              </w:rPr>
            </w:r>
            <w:r>
              <w:rPr>
                <w:b/>
                <w:sz w:val="17"/>
              </w:rPr>
              <w:t>Approvato</w:t>
            </w:r>
          </w:p>
        </w:tc>
      </w:tr>
      <w:tr>
        <w:tc>
          <w:tcPr>
            <w:tcW w:type="dxa" w:w="1399"/>
          </w:tcPr>
          <w:p>
            <w:r/>
            <w:r>
              <w:rPr>
                <w:sz w:val="17"/>
              </w:rPr>
              <w:t>PRO-QA-08</w:t>
            </w:r>
          </w:p>
        </w:tc>
        <w:tc>
          <w:tcPr>
            <w:tcW w:type="dxa" w:w="1399"/>
          </w:tcPr>
          <w:p>
            <w:r/>
            <w:r>
              <w:rPr>
                <w:sz w:val="17"/>
              </w:rPr>
              <w:t>Gestione dei reclami cliente e consumatore</w:t>
            </w:r>
          </w:p>
        </w:tc>
        <w:tc>
          <w:tcPr>
            <w:tcW w:type="dxa" w:w="1399"/>
          </w:tcPr>
          <w:p>
            <w:r/>
            <w:r>
              <w:rPr>
                <w:sz w:val="17"/>
              </w:rPr>
              <w:t>rev. 2</w:t>
            </w:r>
          </w:p>
        </w:tc>
        <w:tc>
          <w:tcPr>
            <w:tcW w:type="dxa" w:w="1399"/>
          </w:tcPr>
          <w:p>
            <w:r/>
            <w:r>
              <w:rPr>
                <w:sz w:val="17"/>
              </w:rPr>
              <w:t>14/03/2026</w:t>
            </w:r>
          </w:p>
        </w:tc>
        <w:tc>
          <w:tcPr>
            <w:tcW w:type="dxa" w:w="1399"/>
          </w:tcPr>
          <w:p>
            <w:r/>
            <w:r>
              <w:rPr>
                <w:sz w:val="17"/>
              </w:rPr>
              <w:t>dott.ssa E. Marchetti (RSGQ)</w:t>
            </w:r>
          </w:p>
        </w:tc>
        <w:tc>
          <w:tcPr>
            <w:tcW w:type="dxa" w:w="1399"/>
          </w:tcPr>
          <w:p>
            <w:r/>
            <w:r>
              <w:rPr>
                <w:sz w:val="17"/>
              </w:rPr>
              <w:t>dott.ssa C. Vicentini (cons. HACCP)</w:t>
            </w:r>
          </w:p>
        </w:tc>
        <w:tc>
          <w:tcPr>
            <w:tcW w:type="dxa" w:w="1399"/>
          </w:tcPr>
          <w:p>
            <w:r/>
            <w:r>
              <w:rPr>
                <w:sz w:val="17"/>
              </w:rPr>
              <w:t>ing. M. Fantin (Dir. Stabilimento)</w:t>
            </w:r>
          </w:p>
        </w:tc>
      </w:tr>
    </w:tbl>
    <w:p/>
    <w:p>
      <w:r>
        <w:rPr>
          <w:i/>
          <w:color w:val="C00000"/>
          <w:sz w:val="17"/>
          <w:highlight w:val="yellow"/>
        </w:rPr>
        <w:t>[Marchetti E. - la rev.2 recepisce la NC 1 audit CSQA del 17-18/02/2026: aggiunta la seconda firma di verifica al par. 7.4. Da distribuire in copia controllata entro fine marzo.]</w:t>
      </w:r>
    </w:p>
    <w:p/>
    <w:p>
      <w:pPr>
        <w:pStyle w:val="Heading2"/>
      </w:pPr>
      <w:r>
        <w:t>1. SCOPO</w:t>
      </w:r>
    </w:p>
    <w:p/>
    <w:p>
      <w:r>
        <w:t>La presente procedura definisce le modalità operative con cui Aurora Food Group S.r.l. riceve, registra, classifica, indaga e chiude i reclami provenienti da clienti (GDO, grossisti, Ho.Re.Ca.) e da consumatori finali, al fine di:</w:t>
      </w:r>
    </w:p>
    <w:p/>
    <w:p>
      <w:pPr>
        <w:pStyle w:val="ListBullet"/>
      </w:pPr>
      <w:r>
        <w:t>garantire una risposta tempestiva e documentata a ogni segnalazione;</w:t>
      </w:r>
    </w:p>
    <w:p>
      <w:pPr>
        <w:pStyle w:val="ListBullet"/>
      </w:pPr>
      <w:r>
        <w:t>individuare la causa radice ed attuare azioni correttive efficaci;</w:t>
      </w:r>
    </w:p>
    <w:p>
      <w:pPr>
        <w:pStyle w:val="ListBullet"/>
      </w:pPr>
      <w:r>
        <w:t>alimentare il riesame della direzione con indicatori misurabili;</w:t>
      </w:r>
    </w:p>
    <w:p>
      <w:pPr>
        <w:pStyle w:val="ListBullet"/>
      </w:pPr>
      <w:r>
        <w:t>assicurare la conformità ai requisiti BRCGS Food Safety Issue 9 (cl. 3.10) e IFS Food v8 (cap. 5.8).</w:t>
      </w:r>
    </w:p>
    <w:p/>
    <w:p>
      <w:r>
        <w:rPr>
          <w:strike/>
          <w:color w:val="888888"/>
        </w:rPr>
        <w:t>La presente procedura si applica anche ai reclami dei fornitori.</w:t>
      </w:r>
      <w:r>
        <w:t xml:space="preserve"> </w:t>
      </w:r>
      <w:r>
        <w:rPr>
          <w:i/>
          <w:color w:val="C00000"/>
          <w:sz w:val="17"/>
          <w:highlight w:val="yellow"/>
        </w:rPr>
        <w:t>[Vicentini C. - i reclami VERSO i fornitori sono in PRO-ACQ-03, non qui. Tolto.]</w:t>
      </w:r>
    </w:p>
    <w:p/>
    <w:p>
      <w:pPr>
        <w:pStyle w:val="Heading2"/>
      </w:pPr>
      <w:r>
        <w:t>2. CAMPO DI APPLICAZIONE</w:t>
      </w:r>
    </w:p>
    <w:p/>
    <w:p>
      <w:r>
        <w:t>Si applica a tutti i reclami relativi a prodotti fabbricati e/o confezionati presso lo stabilimento di Via dell'Industria 27, Cologna Veneta (VR), a marchio Aurora e a marchio del cliente (private label), qualunque sia il canale di ricezione:</w:t>
      </w:r>
    </w:p>
    <w:p/>
    <w:p>
      <w:pPr>
        <w:pStyle w:val="ListBullet"/>
      </w:pPr>
      <w:r>
        <w:t>comunicazione scritta del cliente (PEC, e-mail, portale fornitori GDO);</w:t>
      </w:r>
    </w:p>
    <w:p>
      <w:pPr>
        <w:pStyle w:val="ListBullet"/>
      </w:pPr>
      <w:r>
        <w:t>segnalazione telefonica agli uffici commerciali;</w:t>
      </w:r>
    </w:p>
    <w:p>
      <w:pPr>
        <w:pStyle w:val="ListBullet"/>
      </w:pPr>
      <w:r>
        <w:t>form "Contattaci" del sito www.aurorafoodgroup.it;</w:t>
      </w:r>
    </w:p>
    <w:p>
      <w:pPr>
        <w:pStyle w:val="ListBullet"/>
      </w:pPr>
      <w:r>
        <w:t>segnalazione tramite agente di vendita;</w:t>
      </w:r>
    </w:p>
    <w:p>
      <w:pPr>
        <w:pStyle w:val="ListBullet"/>
      </w:pPr>
      <w:r>
        <w:t>resi non conformi contestati al ricevimento merci del cliente.</w:t>
      </w:r>
    </w:p>
    <w:p/>
    <w:p>
      <w:r>
        <w:t>Sono escluse le contestazioni di natura esclusivamente amministrativa (differenze di prezzo, errori di fatturazione), gestite dall'Amministrazione secondo prassi interna.</w:t>
      </w:r>
    </w:p>
    <w:p/>
    <w:p>
      <w:pPr>
        <w:pStyle w:val="Heading2"/>
      </w:pPr>
      <w:r>
        <w:t>3. RIFERIMENTI</w:t>
      </w:r>
    </w:p>
    <w:p/>
    <w:p>
      <w:pPr>
        <w:pStyle w:val="ListBullet"/>
      </w:pPr>
      <w:r>
        <w:t>Reg. (CE) 178/2002 — principi generali della legislazione alimentare, art. 19</w:t>
      </w:r>
    </w:p>
    <w:p>
      <w:pPr>
        <w:pStyle w:val="ListBullet"/>
      </w:pPr>
      <w:r>
        <w:t>Reg. (CE) 852/2004 — igiene dei prodotti alimentari</w:t>
      </w:r>
    </w:p>
    <w:p>
      <w:pPr>
        <w:pStyle w:val="ListBullet"/>
      </w:pPr>
      <w:r>
        <w:t>BRCGS Food Safety Issue 9, clausole 3.10.1 e 3.10.2</w:t>
      </w:r>
    </w:p>
    <w:p>
      <w:pPr>
        <w:pStyle w:val="ListBullet"/>
      </w:pPr>
      <w:r>
        <w:t>IFS Food v8, requisiti 5.8.1 e 5.8.2</w:t>
      </w:r>
    </w:p>
    <w:p>
      <w:pPr>
        <w:pStyle w:val="ListBullet"/>
      </w:pPr>
      <w:r>
        <w:t>PRO-QA-11 Gestione ritiro e richiamo prodotto</w:t>
      </w:r>
    </w:p>
    <w:p>
      <w:pPr>
        <w:pStyle w:val="ListBullet"/>
      </w:pPr>
      <w:r>
        <w:t>PRO-QA-05 Azioni correttive e preventive</w:t>
      </w:r>
    </w:p>
    <w:p>
      <w:pPr>
        <w:pStyle w:val="ListBullet"/>
      </w:pPr>
      <w:r>
        <w:t>MOD-QA-31 Modulo di gestione reclami</w:t>
      </w:r>
    </w:p>
    <w:p/>
    <w:p>
      <w:pPr>
        <w:pStyle w:val="Heading2"/>
      </w:pPr>
      <w:r>
        <w:t>4. RESPONSABILITÀ</w:t>
      </w:r>
    </w:p>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r>
            <w:r>
              <w:rPr>
                <w:b/>
                <w:sz w:val="17"/>
              </w:rPr>
              <w:t>Attività</w:t>
            </w:r>
          </w:p>
        </w:tc>
        <w:tc>
          <w:tcPr>
            <w:tcW w:type="dxa" w:w="1632"/>
          </w:tcPr>
          <w:p>
            <w:r>
              <w:rPr>
                <w:b/>
              </w:rPr>
            </w:r>
            <w:r>
              <w:rPr>
                <w:b/>
                <w:sz w:val="17"/>
              </w:rPr>
              <w:t>RSGQ (Marchetti)</w:t>
            </w:r>
          </w:p>
        </w:tc>
        <w:tc>
          <w:tcPr>
            <w:tcW w:type="dxa" w:w="1632"/>
          </w:tcPr>
          <w:p>
            <w:r>
              <w:rPr>
                <w:b/>
              </w:rPr>
            </w:r>
            <w:r>
              <w:rPr>
                <w:b/>
                <w:sz w:val="17"/>
              </w:rPr>
              <w:t>Ass. Qualità (Pozzato)</w:t>
            </w:r>
          </w:p>
        </w:tc>
        <w:tc>
          <w:tcPr>
            <w:tcW w:type="dxa" w:w="1632"/>
          </w:tcPr>
          <w:p>
            <w:r>
              <w:rPr>
                <w:b/>
              </w:rPr>
            </w:r>
            <w:r>
              <w:rPr>
                <w:b/>
                <w:sz w:val="17"/>
              </w:rPr>
              <w:t>Dir. Commerciale (S. Bertoldi)</w:t>
            </w:r>
          </w:p>
        </w:tc>
        <w:tc>
          <w:tcPr>
            <w:tcW w:type="dxa" w:w="1632"/>
          </w:tcPr>
          <w:p>
            <w:r>
              <w:rPr>
                <w:b/>
              </w:rPr>
            </w:r>
            <w:r>
              <w:rPr>
                <w:b/>
                <w:sz w:val="17"/>
              </w:rPr>
              <w:t>Resp. Produzione (Zanella)</w:t>
            </w:r>
          </w:p>
        </w:tc>
        <w:tc>
          <w:tcPr>
            <w:tcW w:type="dxa" w:w="1632"/>
          </w:tcPr>
          <w:p>
            <w:r>
              <w:rPr>
                <w:b/>
              </w:rPr>
            </w:r>
            <w:r>
              <w:rPr>
                <w:b/>
                <w:sz w:val="17"/>
              </w:rPr>
              <w:t>Dir. Stabilimento (Fantin)</w:t>
            </w:r>
          </w:p>
        </w:tc>
      </w:tr>
      <w:tr>
        <w:tc>
          <w:tcPr>
            <w:tcW w:type="dxa" w:w="1632"/>
          </w:tcPr>
          <w:p>
            <w:r/>
            <w:r>
              <w:rPr>
                <w:sz w:val="17"/>
              </w:rPr>
              <w:t>Ricezione e protocollo reclamo</w:t>
            </w:r>
          </w:p>
        </w:tc>
        <w:tc>
          <w:tcPr>
            <w:tcW w:type="dxa" w:w="1632"/>
          </w:tcPr>
          <w:p>
            <w:r/>
            <w:r>
              <w:rPr>
                <w:sz w:val="17"/>
              </w:rPr>
              <w:t>R</w:t>
            </w:r>
          </w:p>
        </w:tc>
        <w:tc>
          <w:tcPr>
            <w:tcW w:type="dxa" w:w="1632"/>
          </w:tcPr>
          <w:p>
            <w:r/>
            <w:r>
              <w:rPr>
                <w:sz w:val="17"/>
              </w:rPr>
              <w:t>C</w:t>
            </w:r>
          </w:p>
        </w:tc>
        <w:tc>
          <w:tcPr>
            <w:tcW w:type="dxa" w:w="1632"/>
          </w:tcPr>
          <w:p>
            <w:r/>
            <w:r>
              <w:rPr>
                <w:sz w:val="17"/>
              </w:rPr>
              <w:t>C</w:t>
            </w:r>
          </w:p>
        </w:tc>
        <w:tc>
          <w:tcPr>
            <w:tcW w:type="dxa" w:w="1632"/>
          </w:tcPr>
          <w:p>
            <w:r/>
            <w:r>
              <w:rPr>
                <w:sz w:val="17"/>
              </w:rPr>
              <w:t>—</w:t>
            </w:r>
          </w:p>
        </w:tc>
        <w:tc>
          <w:tcPr>
            <w:tcW w:type="dxa" w:w="1632"/>
          </w:tcPr>
          <w:p>
            <w:r/>
            <w:r>
              <w:rPr>
                <w:sz w:val="17"/>
              </w:rPr>
              <w:t>I</w:t>
            </w:r>
          </w:p>
        </w:tc>
      </w:tr>
      <w:tr>
        <w:tc>
          <w:tcPr>
            <w:tcW w:type="dxa" w:w="1632"/>
          </w:tcPr>
          <w:p>
            <w:r/>
            <w:r>
              <w:rPr>
                <w:sz w:val="17"/>
              </w:rPr>
              <w:t>Apertura MOD-QA-31</w:t>
            </w:r>
          </w:p>
        </w:tc>
        <w:tc>
          <w:tcPr>
            <w:tcW w:type="dxa" w:w="1632"/>
          </w:tcPr>
          <w:p>
            <w:r/>
            <w:r>
              <w:rPr>
                <w:sz w:val="17"/>
              </w:rPr>
              <w:t>R</w:t>
            </w:r>
          </w:p>
        </w:tc>
        <w:tc>
          <w:tcPr>
            <w:tcW w:type="dxa" w:w="1632"/>
          </w:tcPr>
          <w:p>
            <w:r/>
            <w:r>
              <w:rPr>
                <w:sz w:val="17"/>
              </w:rPr>
              <w:t>C</w:t>
            </w:r>
          </w:p>
        </w:tc>
        <w:tc>
          <w:tcPr>
            <w:tcW w:type="dxa" w:w="1632"/>
          </w:tcPr>
          <w:p>
            <w:r/>
            <w:r>
              <w:rPr>
                <w:sz w:val="17"/>
              </w:rPr>
              <w:t>I</w:t>
            </w:r>
          </w:p>
        </w:tc>
        <w:tc>
          <w:tcPr>
            <w:tcW w:type="dxa" w:w="1632"/>
          </w:tcPr>
          <w:p>
            <w:r/>
            <w:r>
              <w:rPr>
                <w:sz w:val="17"/>
              </w:rPr>
              <w:t>—</w:t>
            </w:r>
          </w:p>
        </w:tc>
        <w:tc>
          <w:tcPr>
            <w:tcW w:type="dxa" w:w="1632"/>
          </w:tcPr>
          <w:p>
            <w:r/>
            <w:r>
              <w:rPr>
                <w:sz w:val="17"/>
              </w:rPr>
              <w:t>—</w:t>
            </w:r>
          </w:p>
        </w:tc>
      </w:tr>
      <w:tr>
        <w:tc>
          <w:tcPr>
            <w:tcW w:type="dxa" w:w="1632"/>
          </w:tcPr>
          <w:p>
            <w:r/>
            <w:r>
              <w:rPr>
                <w:sz w:val="17"/>
              </w:rPr>
              <w:t>Classificazione gravità</w:t>
            </w:r>
          </w:p>
        </w:tc>
        <w:tc>
          <w:tcPr>
            <w:tcW w:type="dxa" w:w="1632"/>
          </w:tcPr>
          <w:p>
            <w:r/>
            <w:r>
              <w:rPr>
                <w:sz w:val="17"/>
              </w:rPr>
              <w:t>R</w:t>
            </w:r>
          </w:p>
        </w:tc>
        <w:tc>
          <w:tcPr>
            <w:tcW w:type="dxa" w:w="1632"/>
          </w:tcPr>
          <w:p>
            <w:r/>
            <w:r>
              <w:rPr>
                <w:sz w:val="17"/>
              </w:rPr>
              <w:t>C</w:t>
            </w:r>
          </w:p>
        </w:tc>
        <w:tc>
          <w:tcPr>
            <w:tcW w:type="dxa" w:w="1632"/>
          </w:tcPr>
          <w:p>
            <w:r/>
            <w:r>
              <w:rPr>
                <w:sz w:val="17"/>
              </w:rPr>
              <w:t>—</w:t>
            </w:r>
          </w:p>
        </w:tc>
        <w:tc>
          <w:tcPr>
            <w:tcW w:type="dxa" w:w="1632"/>
          </w:tcPr>
          <w:p>
            <w:r/>
            <w:r>
              <w:rPr>
                <w:sz w:val="17"/>
              </w:rPr>
              <w:t>—</w:t>
            </w:r>
          </w:p>
        </w:tc>
        <w:tc>
          <w:tcPr>
            <w:tcW w:type="dxa" w:w="1632"/>
          </w:tcPr>
          <w:p>
            <w:r/>
            <w:r>
              <w:rPr>
                <w:sz w:val="17"/>
              </w:rPr>
              <w:t>I</w:t>
            </w:r>
          </w:p>
        </w:tc>
      </w:tr>
      <w:tr>
        <w:tc>
          <w:tcPr>
            <w:tcW w:type="dxa" w:w="1632"/>
          </w:tcPr>
          <w:p>
            <w:r/>
            <w:r>
              <w:rPr>
                <w:sz w:val="17"/>
              </w:rPr>
              <w:t>Indagine causa radice</w:t>
            </w:r>
          </w:p>
        </w:tc>
        <w:tc>
          <w:tcPr>
            <w:tcW w:type="dxa" w:w="1632"/>
          </w:tcPr>
          <w:p>
            <w:r/>
            <w:r>
              <w:rPr>
                <w:sz w:val="17"/>
              </w:rPr>
              <w:t>R</w:t>
            </w:r>
          </w:p>
        </w:tc>
        <w:tc>
          <w:tcPr>
            <w:tcW w:type="dxa" w:w="1632"/>
          </w:tcPr>
          <w:p>
            <w:r/>
            <w:r>
              <w:rPr>
                <w:sz w:val="17"/>
              </w:rPr>
              <w:t>C</w:t>
            </w:r>
          </w:p>
        </w:tc>
        <w:tc>
          <w:tcPr>
            <w:tcW w:type="dxa" w:w="1632"/>
          </w:tcPr>
          <w:p>
            <w:r/>
            <w:r>
              <w:rPr>
                <w:sz w:val="17"/>
              </w:rPr>
              <w:t>—</w:t>
            </w:r>
          </w:p>
        </w:tc>
        <w:tc>
          <w:tcPr>
            <w:tcW w:type="dxa" w:w="1632"/>
          </w:tcPr>
          <w:p>
            <w:r/>
            <w:r>
              <w:rPr>
                <w:sz w:val="17"/>
              </w:rPr>
              <w:t>C</w:t>
            </w:r>
          </w:p>
        </w:tc>
        <w:tc>
          <w:tcPr>
            <w:tcW w:type="dxa" w:w="1632"/>
          </w:tcPr>
          <w:p>
            <w:r/>
            <w:r>
              <w:rPr>
                <w:sz w:val="17"/>
              </w:rPr>
              <w:t>I</w:t>
            </w:r>
          </w:p>
        </w:tc>
      </w:tr>
      <w:tr>
        <w:tc>
          <w:tcPr>
            <w:tcW w:type="dxa" w:w="1632"/>
          </w:tcPr>
          <w:p>
            <w:r/>
            <w:r>
              <w:rPr>
                <w:sz w:val="17"/>
              </w:rPr>
              <w:t>Gestione campione reso</w:t>
            </w:r>
          </w:p>
        </w:tc>
        <w:tc>
          <w:tcPr>
            <w:tcW w:type="dxa" w:w="1632"/>
          </w:tcPr>
          <w:p>
            <w:r/>
            <w:r>
              <w:rPr>
                <w:sz w:val="17"/>
              </w:rPr>
              <w:t>C</w:t>
            </w:r>
          </w:p>
        </w:tc>
        <w:tc>
          <w:tcPr>
            <w:tcW w:type="dxa" w:w="1632"/>
          </w:tcPr>
          <w:p>
            <w:r/>
            <w:r>
              <w:rPr>
                <w:sz w:val="17"/>
              </w:rPr>
              <w:t>R</w:t>
            </w:r>
          </w:p>
        </w:tc>
        <w:tc>
          <w:tcPr>
            <w:tcW w:type="dxa" w:w="1632"/>
          </w:tcPr>
          <w:p>
            <w:r/>
            <w:r>
              <w:rPr>
                <w:sz w:val="17"/>
              </w:rPr>
              <w:t>—</w:t>
            </w:r>
          </w:p>
        </w:tc>
        <w:tc>
          <w:tcPr>
            <w:tcW w:type="dxa" w:w="1632"/>
          </w:tcPr>
          <w:p>
            <w:r/>
            <w:r>
              <w:rPr>
                <w:sz w:val="17"/>
              </w:rPr>
              <w:t>—</w:t>
            </w:r>
          </w:p>
        </w:tc>
        <w:tc>
          <w:tcPr>
            <w:tcW w:type="dxa" w:w="1632"/>
          </w:tcPr>
          <w:p>
            <w:r/>
            <w:r>
              <w:rPr>
                <w:sz w:val="17"/>
              </w:rPr>
              <w:t>—</w:t>
            </w:r>
          </w:p>
        </w:tc>
      </w:tr>
      <w:tr>
        <w:tc>
          <w:tcPr>
            <w:tcW w:type="dxa" w:w="1632"/>
          </w:tcPr>
          <w:p>
            <w:r/>
            <w:r>
              <w:rPr>
                <w:sz w:val="17"/>
              </w:rPr>
              <w:t>Risposta scritta al cliente GDO</w:t>
            </w:r>
          </w:p>
        </w:tc>
        <w:tc>
          <w:tcPr>
            <w:tcW w:type="dxa" w:w="1632"/>
          </w:tcPr>
          <w:p>
            <w:r/>
            <w:r>
              <w:rPr>
                <w:sz w:val="17"/>
              </w:rPr>
              <w:t>C</w:t>
            </w:r>
          </w:p>
        </w:tc>
        <w:tc>
          <w:tcPr>
            <w:tcW w:type="dxa" w:w="1632"/>
          </w:tcPr>
          <w:p>
            <w:r/>
            <w:r>
              <w:rPr>
                <w:sz w:val="17"/>
              </w:rPr>
              <w:t>—</w:t>
            </w:r>
          </w:p>
        </w:tc>
        <w:tc>
          <w:tcPr>
            <w:tcW w:type="dxa" w:w="1632"/>
          </w:tcPr>
          <w:p>
            <w:r/>
            <w:r>
              <w:rPr>
                <w:sz w:val="17"/>
              </w:rPr>
              <w:t>R</w:t>
            </w:r>
          </w:p>
        </w:tc>
        <w:tc>
          <w:tcPr>
            <w:tcW w:type="dxa" w:w="1632"/>
          </w:tcPr>
          <w:p>
            <w:r/>
            <w:r>
              <w:rPr>
                <w:sz w:val="17"/>
              </w:rPr>
              <w:t>—</w:t>
            </w:r>
          </w:p>
        </w:tc>
        <w:tc>
          <w:tcPr>
            <w:tcW w:type="dxa" w:w="1632"/>
          </w:tcPr>
          <w:p>
            <w:r/>
            <w:r>
              <w:rPr>
                <w:sz w:val="17"/>
              </w:rPr>
              <w:t>I</w:t>
            </w:r>
          </w:p>
        </w:tc>
      </w:tr>
      <w:tr>
        <w:tc>
          <w:tcPr>
            <w:tcW w:type="dxa" w:w="1632"/>
          </w:tcPr>
          <w:p>
            <w:r/>
            <w:r>
              <w:rPr>
                <w:sz w:val="17"/>
              </w:rPr>
              <w:t>Risposta al consumatore finale</w:t>
            </w:r>
          </w:p>
        </w:tc>
        <w:tc>
          <w:tcPr>
            <w:tcW w:type="dxa" w:w="1632"/>
          </w:tcPr>
          <w:p>
            <w:r/>
            <w:r>
              <w:rPr>
                <w:sz w:val="17"/>
              </w:rPr>
              <w:t>R</w:t>
            </w:r>
          </w:p>
        </w:tc>
        <w:tc>
          <w:tcPr>
            <w:tcW w:type="dxa" w:w="1632"/>
          </w:tcPr>
          <w:p>
            <w:r/>
            <w:r>
              <w:rPr>
                <w:sz w:val="17"/>
              </w:rPr>
              <w:t>C</w:t>
            </w:r>
          </w:p>
        </w:tc>
        <w:tc>
          <w:tcPr>
            <w:tcW w:type="dxa" w:w="1632"/>
          </w:tcPr>
          <w:p>
            <w:r/>
            <w:r>
              <w:rPr>
                <w:sz w:val="17"/>
              </w:rPr>
              <w:t>I</w:t>
            </w:r>
          </w:p>
        </w:tc>
        <w:tc>
          <w:tcPr>
            <w:tcW w:type="dxa" w:w="1632"/>
          </w:tcPr>
          <w:p>
            <w:r/>
            <w:r>
              <w:rPr>
                <w:sz w:val="17"/>
              </w:rPr>
              <w:t>—</w:t>
            </w:r>
          </w:p>
        </w:tc>
        <w:tc>
          <w:tcPr>
            <w:tcW w:type="dxa" w:w="1632"/>
          </w:tcPr>
          <w:p>
            <w:r/>
            <w:r>
              <w:rPr>
                <w:sz w:val="17"/>
              </w:rPr>
              <w:t>—</w:t>
            </w:r>
          </w:p>
        </w:tc>
      </w:tr>
      <w:tr>
        <w:tc>
          <w:tcPr>
            <w:tcW w:type="dxa" w:w="1632"/>
          </w:tcPr>
          <w:p>
            <w:r/>
            <w:r>
              <w:rPr>
                <w:sz w:val="17"/>
              </w:rPr>
              <w:t>Azioni correttive</w:t>
            </w:r>
          </w:p>
        </w:tc>
        <w:tc>
          <w:tcPr>
            <w:tcW w:type="dxa" w:w="1632"/>
          </w:tcPr>
          <w:p>
            <w:r/>
            <w:r>
              <w:rPr>
                <w:sz w:val="17"/>
              </w:rPr>
              <w:t>C</w:t>
            </w:r>
          </w:p>
        </w:tc>
        <w:tc>
          <w:tcPr>
            <w:tcW w:type="dxa" w:w="1632"/>
          </w:tcPr>
          <w:p>
            <w:r/>
            <w:r>
              <w:rPr>
                <w:sz w:val="17"/>
              </w:rPr>
              <w:t>—</w:t>
            </w:r>
          </w:p>
        </w:tc>
        <w:tc>
          <w:tcPr>
            <w:tcW w:type="dxa" w:w="1632"/>
          </w:tcPr>
          <w:p>
            <w:r/>
            <w:r>
              <w:rPr>
                <w:sz w:val="17"/>
              </w:rPr>
              <w:t>—</w:t>
            </w:r>
          </w:p>
        </w:tc>
        <w:tc>
          <w:tcPr>
            <w:tcW w:type="dxa" w:w="1632"/>
          </w:tcPr>
          <w:p>
            <w:r/>
            <w:r>
              <w:rPr>
                <w:sz w:val="17"/>
              </w:rPr>
              <w:t>R</w:t>
            </w:r>
          </w:p>
        </w:tc>
        <w:tc>
          <w:tcPr>
            <w:tcW w:type="dxa" w:w="1632"/>
          </w:tcPr>
          <w:p>
            <w:r/>
            <w:r>
              <w:rPr>
                <w:sz w:val="17"/>
              </w:rPr>
              <w:t>A</w:t>
            </w:r>
          </w:p>
        </w:tc>
      </w:tr>
      <w:tr>
        <w:tc>
          <w:tcPr>
            <w:tcW w:type="dxa" w:w="1632"/>
          </w:tcPr>
          <w:p>
            <w:r/>
            <w:r>
              <w:rPr>
                <w:sz w:val="17"/>
              </w:rPr>
              <w:t>Verifica di efficacia</w:t>
            </w:r>
          </w:p>
        </w:tc>
        <w:tc>
          <w:tcPr>
            <w:tcW w:type="dxa" w:w="1632"/>
          </w:tcPr>
          <w:p>
            <w:r/>
            <w:r>
              <w:rPr>
                <w:sz w:val="17"/>
              </w:rPr>
              <w:t>R</w:t>
            </w:r>
          </w:p>
        </w:tc>
        <w:tc>
          <w:tcPr>
            <w:tcW w:type="dxa" w:w="1632"/>
          </w:tcPr>
          <w:p>
            <w:r/>
            <w:r>
              <w:rPr>
                <w:sz w:val="17"/>
              </w:rPr>
              <w:t>C</w:t>
            </w:r>
          </w:p>
        </w:tc>
        <w:tc>
          <w:tcPr>
            <w:tcW w:type="dxa" w:w="1632"/>
          </w:tcPr>
          <w:p>
            <w:r/>
            <w:r>
              <w:rPr>
                <w:sz w:val="17"/>
              </w:rPr>
              <w:t>—</w:t>
            </w:r>
          </w:p>
        </w:tc>
        <w:tc>
          <w:tcPr>
            <w:tcW w:type="dxa" w:w="1632"/>
          </w:tcPr>
          <w:p>
            <w:r/>
            <w:r>
              <w:rPr>
                <w:sz w:val="17"/>
              </w:rPr>
              <w:t>—</w:t>
            </w:r>
          </w:p>
        </w:tc>
        <w:tc>
          <w:tcPr>
            <w:tcW w:type="dxa" w:w="1632"/>
          </w:tcPr>
          <w:p>
            <w:r/>
            <w:r>
              <w:rPr>
                <w:sz w:val="17"/>
              </w:rPr>
              <w:t>I</w:t>
            </w:r>
          </w:p>
        </w:tc>
      </w:tr>
      <w:tr>
        <w:tc>
          <w:tcPr>
            <w:tcW w:type="dxa" w:w="1632"/>
          </w:tcPr>
          <w:p>
            <w:r/>
            <w:r>
              <w:rPr>
                <w:sz w:val="17"/>
              </w:rPr>
              <w:t>Decisione ritiro/richiamo</w:t>
            </w:r>
          </w:p>
        </w:tc>
        <w:tc>
          <w:tcPr>
            <w:tcW w:type="dxa" w:w="1632"/>
          </w:tcPr>
          <w:p>
            <w:r/>
            <w:r>
              <w:rPr>
                <w:sz w:val="17"/>
              </w:rPr>
              <w:t>C</w:t>
            </w:r>
          </w:p>
        </w:tc>
        <w:tc>
          <w:tcPr>
            <w:tcW w:type="dxa" w:w="1632"/>
          </w:tcPr>
          <w:p>
            <w:r/>
            <w:r>
              <w:rPr>
                <w:sz w:val="17"/>
              </w:rPr>
              <w:t>—</w:t>
            </w:r>
          </w:p>
        </w:tc>
        <w:tc>
          <w:tcPr>
            <w:tcW w:type="dxa" w:w="1632"/>
          </w:tcPr>
          <w:p>
            <w:r/>
            <w:r>
              <w:rPr>
                <w:sz w:val="17"/>
              </w:rPr>
              <w:t>C</w:t>
            </w:r>
          </w:p>
        </w:tc>
        <w:tc>
          <w:tcPr>
            <w:tcW w:type="dxa" w:w="1632"/>
          </w:tcPr>
          <w:p>
            <w:r/>
            <w:r>
              <w:rPr>
                <w:sz w:val="17"/>
              </w:rPr>
              <w:t>—</w:t>
            </w:r>
          </w:p>
        </w:tc>
        <w:tc>
          <w:tcPr>
            <w:tcW w:type="dxa" w:w="1632"/>
          </w:tcPr>
          <w:p>
            <w:r/>
            <w:r>
              <w:rPr>
                <w:sz w:val="17"/>
              </w:rPr>
              <w:t>R</w:t>
            </w:r>
          </w:p>
        </w:tc>
      </w:tr>
    </w:tbl>
    <w:p/>
    <w:p>
      <w:r>
        <w:t>Legenda: R = responsabile, A = approva, C = collabora, I = informato.</w:t>
      </w:r>
    </w:p>
    <w:p/>
    <w:p>
      <w:r>
        <w:rPr>
          <w:i/>
          <w:color w:val="C00000"/>
          <w:sz w:val="17"/>
          <w:highlight w:val="yellow"/>
        </w:rPr>
        <w:t>[Marchetti E. - Fantin ha chiesto di essere "A" sulle azioni correttive e "R" solo sulla decisione di ritiro. Verbale riunione del 05/03/2026.]</w:t>
      </w:r>
    </w:p>
    <w:p/>
    <w:p>
      <w:pPr>
        <w:pStyle w:val="Heading2"/>
      </w:pPr>
      <w:r>
        <w:t>5. CLASSIFICAZIONE DEI RECLAMI</w:t>
      </w:r>
    </w:p>
    <w:p/>
    <w:p>
      <w:r>
        <w:t>Ogni reclamo viene classificato dal RSGQ entro 8 ore lavorative dalla ricezione, secondo la seguente scala:</w:t>
      </w:r>
    </w:p>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r>
            <w:r>
              <w:rPr>
                <w:b/>
                <w:sz w:val="17"/>
              </w:rPr>
              <w:t>Classe</w:t>
            </w:r>
          </w:p>
        </w:tc>
        <w:tc>
          <w:tcPr>
            <w:tcW w:type="dxa" w:w="1632"/>
          </w:tcPr>
          <w:p>
            <w:r>
              <w:rPr>
                <w:b/>
              </w:rPr>
            </w:r>
            <w:r>
              <w:rPr>
                <w:b/>
                <w:sz w:val="17"/>
              </w:rPr>
              <w:t>Denominazione</w:t>
            </w:r>
          </w:p>
        </w:tc>
        <w:tc>
          <w:tcPr>
            <w:tcW w:type="dxa" w:w="1632"/>
          </w:tcPr>
          <w:p>
            <w:r>
              <w:rPr>
                <w:b/>
              </w:rPr>
            </w:r>
            <w:r>
              <w:rPr>
                <w:b/>
                <w:sz w:val="17"/>
              </w:rPr>
              <w:t>Descrizione</w:t>
            </w:r>
          </w:p>
        </w:tc>
        <w:tc>
          <w:tcPr>
            <w:tcW w:type="dxa" w:w="1632"/>
          </w:tcPr>
          <w:p>
            <w:r>
              <w:rPr>
                <w:b/>
              </w:rPr>
            </w:r>
            <w:r>
              <w:rPr>
                <w:b/>
                <w:sz w:val="17"/>
              </w:rPr>
              <w:t>Esempi</w:t>
            </w:r>
          </w:p>
        </w:tc>
        <w:tc>
          <w:tcPr>
            <w:tcW w:type="dxa" w:w="1632"/>
          </w:tcPr>
          <w:p>
            <w:r>
              <w:rPr>
                <w:b/>
              </w:rPr>
            </w:r>
            <w:r>
              <w:rPr>
                <w:b/>
                <w:sz w:val="17"/>
              </w:rPr>
              <w:t>Tempo max prima risposta</w:t>
            </w:r>
          </w:p>
        </w:tc>
        <w:tc>
          <w:tcPr>
            <w:tcW w:type="dxa" w:w="1632"/>
          </w:tcPr>
          <w:p>
            <w:r>
              <w:rPr>
                <w:b/>
              </w:rPr>
            </w:r>
            <w:r>
              <w:rPr>
                <w:b/>
                <w:sz w:val="17"/>
              </w:rPr>
              <w:t>Tempo max chiusura</w:t>
            </w:r>
          </w:p>
        </w:tc>
      </w:tr>
      <w:tr>
        <w:tc>
          <w:tcPr>
            <w:tcW w:type="dxa" w:w="1632"/>
          </w:tcPr>
          <w:p>
            <w:r/>
            <w:r>
              <w:rPr>
                <w:sz w:val="17"/>
              </w:rPr>
              <w:t>1</w:t>
            </w:r>
          </w:p>
        </w:tc>
        <w:tc>
          <w:tcPr>
            <w:tcW w:type="dxa" w:w="1632"/>
          </w:tcPr>
          <w:p>
            <w:r/>
            <w:r>
              <w:rPr>
                <w:sz w:val="17"/>
              </w:rPr>
              <w:t>Critico</w:t>
            </w:r>
          </w:p>
        </w:tc>
        <w:tc>
          <w:tcPr>
            <w:tcW w:type="dxa" w:w="1632"/>
          </w:tcPr>
          <w:p>
            <w:r/>
            <w:r>
              <w:rPr>
                <w:sz w:val="17"/>
              </w:rPr>
              <w:t>Rischio per la salute del consumatore, potenziale ritiro/richiamo, coinvolgimento autorità</w:t>
            </w:r>
          </w:p>
        </w:tc>
        <w:tc>
          <w:tcPr>
            <w:tcW w:type="dxa" w:w="1632"/>
          </w:tcPr>
          <w:p>
            <w:r/>
            <w:r>
              <w:rPr>
                <w:sz w:val="17"/>
              </w:rPr>
              <w:t>corpo estraneo pericoloso, allergene non dichiarato, contaminazione microbiologica patogena</w:t>
            </w:r>
          </w:p>
        </w:tc>
        <w:tc>
          <w:tcPr>
            <w:tcW w:type="dxa" w:w="1632"/>
          </w:tcPr>
          <w:p>
            <w:r/>
            <w:r>
              <w:rPr>
                <w:sz w:val="17"/>
              </w:rPr>
              <w:t>4 ore</w:t>
            </w:r>
          </w:p>
        </w:tc>
        <w:tc>
          <w:tcPr>
            <w:tcW w:type="dxa" w:w="1632"/>
          </w:tcPr>
          <w:p>
            <w:r/>
            <w:r>
              <w:rPr>
                <w:sz w:val="17"/>
              </w:rPr>
              <w:t>Immediata attivazione PRO-QA-11</w:t>
            </w:r>
          </w:p>
        </w:tc>
      </w:tr>
      <w:tr>
        <w:tc>
          <w:tcPr>
            <w:tcW w:type="dxa" w:w="1632"/>
          </w:tcPr>
          <w:p>
            <w:r/>
            <w:r>
              <w:rPr>
                <w:sz w:val="17"/>
              </w:rPr>
              <w:t>2</w:t>
            </w:r>
          </w:p>
        </w:tc>
        <w:tc>
          <w:tcPr>
            <w:tcW w:type="dxa" w:w="1632"/>
          </w:tcPr>
          <w:p>
            <w:r/>
            <w:r>
              <w:rPr>
                <w:sz w:val="17"/>
              </w:rPr>
              <w:t>Maggiore</w:t>
            </w:r>
          </w:p>
        </w:tc>
        <w:tc>
          <w:tcPr>
            <w:tcW w:type="dxa" w:w="1632"/>
          </w:tcPr>
          <w:p>
            <w:r/>
            <w:r>
              <w:rPr>
                <w:sz w:val="17"/>
              </w:rPr>
              <w:t>Difetto rilevante di sicurezza percepita o di conformità legale, senza rischio sanitario accertato</w:t>
            </w:r>
          </w:p>
        </w:tc>
        <w:tc>
          <w:tcPr>
            <w:tcW w:type="dxa" w:w="1632"/>
          </w:tcPr>
          <w:p>
            <w:r/>
            <w:r>
              <w:rPr>
                <w:sz w:val="17"/>
              </w:rPr>
              <w:t>corpo estraneo non pericoloso, muffe entro shelf life, errore peso/etichetta</w:t>
            </w:r>
          </w:p>
        </w:tc>
        <w:tc>
          <w:tcPr>
            <w:tcW w:type="dxa" w:w="1632"/>
          </w:tcPr>
          <w:p>
            <w:r/>
            <w:r>
              <w:rPr>
                <w:sz w:val="17"/>
              </w:rPr>
              <w:t>24 ore</w:t>
            </w:r>
          </w:p>
        </w:tc>
        <w:tc>
          <w:tcPr>
            <w:tcW w:type="dxa" w:w="1632"/>
          </w:tcPr>
          <w:p>
            <w:r/>
            <w:r>
              <w:rPr>
                <w:sz w:val="17"/>
              </w:rPr>
              <w:t>15 giorni lavorativi</w:t>
            </w:r>
          </w:p>
        </w:tc>
      </w:tr>
      <w:tr>
        <w:tc>
          <w:tcPr>
            <w:tcW w:type="dxa" w:w="1632"/>
          </w:tcPr>
          <w:p>
            <w:r/>
            <w:r>
              <w:rPr>
                <w:sz w:val="17"/>
              </w:rPr>
              <w:t>3</w:t>
            </w:r>
          </w:p>
        </w:tc>
        <w:tc>
          <w:tcPr>
            <w:tcW w:type="dxa" w:w="1632"/>
          </w:tcPr>
          <w:p>
            <w:r/>
            <w:r>
              <w:rPr>
                <w:sz w:val="17"/>
              </w:rPr>
              <w:t>Minore</w:t>
            </w:r>
          </w:p>
        </w:tc>
        <w:tc>
          <w:tcPr>
            <w:tcW w:type="dxa" w:w="1632"/>
          </w:tcPr>
          <w:p>
            <w:r/>
            <w:r>
              <w:rPr>
                <w:sz w:val="17"/>
              </w:rPr>
              <w:t>Difetto qualitativo senza implicazioni di sicurezza</w:t>
            </w:r>
          </w:p>
        </w:tc>
        <w:tc>
          <w:tcPr>
            <w:tcW w:type="dxa" w:w="1632"/>
          </w:tcPr>
          <w:p>
            <w:r/>
            <w:r>
              <w:rPr>
                <w:sz w:val="17"/>
              </w:rPr>
              <w:t>difetti organolettici, confezione danneggiata, farcitura scarsa</w:t>
            </w:r>
          </w:p>
        </w:tc>
        <w:tc>
          <w:tcPr>
            <w:tcW w:type="dxa" w:w="1632"/>
          </w:tcPr>
          <w:p>
            <w:r/>
            <w:r>
              <w:rPr>
                <w:sz w:val="17"/>
              </w:rPr>
              <w:t>3 giorni lavorativi</w:t>
            </w:r>
          </w:p>
        </w:tc>
        <w:tc>
          <w:tcPr>
            <w:tcW w:type="dxa" w:w="1632"/>
          </w:tcPr>
          <w:p>
            <w:r/>
            <w:r>
              <w:rPr>
                <w:sz w:val="17"/>
              </w:rPr>
              <w:t>30 giorni lavorativi</w:t>
            </w:r>
          </w:p>
        </w:tc>
      </w:tr>
      <w:tr>
        <w:tc>
          <w:tcPr>
            <w:tcW w:type="dxa" w:w="1632"/>
          </w:tcPr>
          <w:p>
            <w:r/>
            <w:r>
              <w:rPr>
                <w:sz w:val="17"/>
              </w:rPr>
              <w:t>4</w:t>
            </w:r>
          </w:p>
        </w:tc>
        <w:tc>
          <w:tcPr>
            <w:tcW w:type="dxa" w:w="1632"/>
          </w:tcPr>
          <w:p>
            <w:r/>
            <w:r>
              <w:rPr>
                <w:sz w:val="17"/>
              </w:rPr>
              <w:t>Segnalazione</w:t>
            </w:r>
          </w:p>
        </w:tc>
        <w:tc>
          <w:tcPr>
            <w:tcW w:type="dxa" w:w="1632"/>
          </w:tcPr>
          <w:p>
            <w:r/>
            <w:r>
              <w:rPr>
                <w:sz w:val="17"/>
              </w:rPr>
              <w:t>Osservazione non classificabile come reclamo</w:t>
            </w:r>
          </w:p>
        </w:tc>
        <w:tc>
          <w:tcPr>
            <w:tcW w:type="dxa" w:w="1632"/>
          </w:tcPr>
          <w:p>
            <w:r/>
            <w:r>
              <w:rPr>
                <w:sz w:val="17"/>
              </w:rPr>
              <w:t>preferenze di gusto, richieste informazioni</w:t>
            </w:r>
          </w:p>
        </w:tc>
        <w:tc>
          <w:tcPr>
            <w:tcW w:type="dxa" w:w="1632"/>
          </w:tcPr>
          <w:p>
            <w:r/>
            <w:r>
              <w:rPr>
                <w:sz w:val="17"/>
              </w:rPr>
              <w:t>5 giorni lavorativi</w:t>
            </w:r>
          </w:p>
        </w:tc>
        <w:tc>
          <w:tcPr>
            <w:tcW w:type="dxa" w:w="1632"/>
          </w:tcPr>
          <w:p>
            <w:r/>
            <w:r>
              <w:rPr>
                <w:sz w:val="17"/>
              </w:rPr>
              <w:t>Registrazione semplice</w:t>
            </w:r>
          </w:p>
        </w:tc>
      </w:tr>
    </w:tbl>
    <w:p/>
    <w:p>
      <w:r>
        <w:rPr>
          <w:strike/>
          <w:color w:val="888888"/>
        </w:rPr>
        <w:t>I reclami di classe 1 e 2 vengono comunicati al titolare solo se il cliente è del canale GDO.</w:t>
      </w:r>
      <w:r>
        <w:t xml:space="preserve"> </w:t>
      </w:r>
      <w:r>
        <w:rPr>
          <w:i/>
          <w:color w:val="C00000"/>
          <w:sz w:val="17"/>
          <w:highlight w:val="yellow"/>
        </w:rPr>
        <w:t>[Vicentini C. - NO: i critici vanno SEMPRE alla direzione, anche se il reclamante è un consumatore. Riscrivere come sotto.]</w:t>
      </w:r>
    </w:p>
    <w:p/>
    <w:p>
      <w:r>
        <w:t>I reclami di classe 1 sono comunicati immediatamente, per le vie brevi e poi per iscritto, all'Amministratore Delegato, al Direttore di Stabilimento e alla Direzione Commerciale, indipendentemente dal canale di provenienza.</w:t>
      </w:r>
    </w:p>
    <w:p/>
    <w:p>
      <w:pPr>
        <w:pStyle w:val="Heading2"/>
      </w:pPr>
      <w:r>
        <w:t>6. FLUSSO OPERATIVO</w:t>
      </w:r>
    </w:p>
    <w:p/>
    <w:p>
      <w:pPr>
        <w:pStyle w:val="Heading3"/>
      </w:pPr>
      <w:r>
        <w:t>6.1 Ricezione e registrazione (entro 8 ore lavorative)</w:t>
      </w:r>
    </w:p>
    <w:p/>
    <w:p>
      <w:r>
        <w:t>Chiunque riceva un reclamo (centralino, commerciale, agente, sito web) lo inoltra senza filtri al RSGQ all'indirizzo qualita@aurorafoodgroup.it. Il RSGQ:</w:t>
      </w:r>
    </w:p>
    <w:p/>
    <w:p>
      <w:pPr>
        <w:pStyle w:val="ListParagraph"/>
      </w:pPr>
      <w:r>
        <w:t>1. protocolla il reclamo con numerazione progressiva annuale (formato REC-AAAA-NNN, es. REC-2026-014);</w:t>
      </w:r>
    </w:p>
    <w:p>
      <w:pPr>
        <w:pStyle w:val="ListParagraph"/>
      </w:pPr>
      <w:r>
        <w:t>2. apre il modulo MOD-QA-31 compilando la sezione A (dati del reclamante, prodotto, codice articolo, EAN, lotto, data e luogo di acquisto, descrizione del difetto);</w:t>
      </w:r>
    </w:p>
    <w:p>
      <w:pPr>
        <w:pStyle w:val="ListParagraph"/>
      </w:pPr>
      <w:r>
        <w:t>3. richiede al reclamante, ove mancanti, fotografia del prodotto, del lotto stampato e del difetto;</w:t>
      </w:r>
    </w:p>
    <w:p>
      <w:pPr>
        <w:pStyle w:val="ListParagraph"/>
      </w:pPr>
      <w:r>
        <w:t>4. classifica il reclamo secondo il par. 5.</w:t>
      </w:r>
    </w:p>
    <w:p/>
    <w:p>
      <w:r>
        <w:rPr>
          <w:i/>
          <w:color w:val="C00000"/>
          <w:sz w:val="17"/>
          <w:highlight w:val="yellow"/>
        </w:rPr>
        <w:t>[Pozzato S. - il form del sito non chiede il lotto in campo obbligatorio, metà dei reclami arrivano senza. Si può far modificare il form? Segnalato a Sartori il 12/05.]</w:t>
      </w:r>
    </w:p>
    <w:p/>
    <w:p>
      <w:pPr>
        <w:pStyle w:val="Heading3"/>
      </w:pPr>
      <w:r>
        <w:t>6.2 Verifiche immediate (entro 24 ore per classi 1 e 2)</w:t>
      </w:r>
    </w:p>
    <w:p/>
    <w:p>
      <w:r>
        <w:t>Il RSGQ, con il supporto dell'Assistente Qualità:</w:t>
      </w:r>
    </w:p>
    <w:p/>
    <w:p>
      <w:pPr>
        <w:pStyle w:val="ListParagraph"/>
      </w:pPr>
      <w:r>
        <w:t>1. verifica la rintracciabilità del lotto su MOD-MAG-02 (quantità prodotta, quantità spedita, giacenza residua, clienti destinatari);</w:t>
      </w:r>
    </w:p>
    <w:p>
      <w:pPr>
        <w:pStyle w:val="ListParagraph"/>
      </w:pPr>
      <w:r>
        <w:t>2. estrae e riesamina le registrazioni di produzione e di controllo del lotto: MOD-QA-12 (CCP2), MOD-QA-07 rev.5 (CCP3), MOD-PR-04 (fermi macchina), registrazioni CIP;</w:t>
      </w:r>
    </w:p>
    <w:p>
      <w:pPr>
        <w:pStyle w:val="ListParagraph"/>
      </w:pPr>
      <w:r>
        <w:t>3. blocca cautelativamente l'eventuale giacenza del lotto a magazzino, con cartellino giallo NON CONFORME;</w:t>
      </w:r>
    </w:p>
    <w:p>
      <w:pPr>
        <w:pStyle w:val="ListParagraph"/>
      </w:pPr>
      <w:r>
        <w:t>4. preleva e riesamina i campioni di riserva del lotto (campioteca, conservazione a temperatura di esercizio per shelf life + 1 mese);</w:t>
      </w:r>
    </w:p>
    <w:p>
      <w:pPr>
        <w:pStyle w:val="ListParagraph"/>
      </w:pPr>
      <w:r>
        <w:t>5. per la classe 1, informa la direzione e convoca il team HACCP per la valutazione di attivazione della PRO-QA-11.</w:t>
      </w:r>
    </w:p>
    <w:p/>
    <w:p>
      <w:pPr>
        <w:pStyle w:val="Heading3"/>
      </w:pPr>
      <w:r>
        <w:t>6.3 Tempistiche di sintesi</w:t>
      </w:r>
    </w:p>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r>
            <w:r>
              <w:rPr>
                <w:b/>
                <w:sz w:val="17"/>
              </w:rPr>
              <w:t>Fase</w:t>
            </w:r>
          </w:p>
        </w:tc>
        <w:tc>
          <w:tcPr>
            <w:tcW w:type="dxa" w:w="2448"/>
          </w:tcPr>
          <w:p>
            <w:r>
              <w:rPr>
                <w:b/>
              </w:rPr>
            </w:r>
            <w:r>
              <w:rPr>
                <w:b/>
                <w:sz w:val="17"/>
              </w:rPr>
              <w:t>Classe 1</w:t>
            </w:r>
          </w:p>
        </w:tc>
        <w:tc>
          <w:tcPr>
            <w:tcW w:type="dxa" w:w="2448"/>
          </w:tcPr>
          <w:p>
            <w:r>
              <w:rPr>
                <w:b/>
              </w:rPr>
            </w:r>
            <w:r>
              <w:rPr>
                <w:b/>
                <w:sz w:val="17"/>
              </w:rPr>
              <w:t>Classe 2</w:t>
            </w:r>
          </w:p>
        </w:tc>
        <w:tc>
          <w:tcPr>
            <w:tcW w:type="dxa" w:w="2448"/>
          </w:tcPr>
          <w:p>
            <w:r>
              <w:rPr>
                <w:b/>
              </w:rPr>
            </w:r>
            <w:r>
              <w:rPr>
                <w:b/>
                <w:sz w:val="17"/>
              </w:rPr>
              <w:t>Classe 3</w:t>
            </w:r>
          </w:p>
        </w:tc>
      </w:tr>
      <w:tr>
        <w:tc>
          <w:tcPr>
            <w:tcW w:type="dxa" w:w="2448"/>
          </w:tcPr>
          <w:p>
            <w:r/>
            <w:r>
              <w:rPr>
                <w:sz w:val="17"/>
              </w:rPr>
              <w:t>Protocollo e apertura MOD-QA-31</w:t>
            </w:r>
          </w:p>
        </w:tc>
        <w:tc>
          <w:tcPr>
            <w:tcW w:type="dxa" w:w="2448"/>
          </w:tcPr>
          <w:p>
            <w:r/>
            <w:r>
              <w:rPr>
                <w:sz w:val="17"/>
              </w:rPr>
              <w:t>4 h</w:t>
            </w:r>
          </w:p>
        </w:tc>
        <w:tc>
          <w:tcPr>
            <w:tcW w:type="dxa" w:w="2448"/>
          </w:tcPr>
          <w:p>
            <w:r/>
            <w:r>
              <w:rPr>
                <w:sz w:val="17"/>
              </w:rPr>
              <w:t>8 h</w:t>
            </w:r>
          </w:p>
        </w:tc>
        <w:tc>
          <w:tcPr>
            <w:tcW w:type="dxa" w:w="2448"/>
          </w:tcPr>
          <w:p>
            <w:r/>
            <w:r>
              <w:rPr>
                <w:sz w:val="17"/>
              </w:rPr>
              <w:t>24 h</w:t>
            </w:r>
          </w:p>
        </w:tc>
      </w:tr>
      <w:tr>
        <w:tc>
          <w:tcPr>
            <w:tcW w:type="dxa" w:w="2448"/>
          </w:tcPr>
          <w:p>
            <w:r/>
            <w:r>
              <w:rPr>
                <w:sz w:val="17"/>
              </w:rPr>
              <w:t>Prima risposta al reclamante</w:t>
            </w:r>
          </w:p>
        </w:tc>
        <w:tc>
          <w:tcPr>
            <w:tcW w:type="dxa" w:w="2448"/>
          </w:tcPr>
          <w:p>
            <w:r/>
            <w:r>
              <w:rPr>
                <w:sz w:val="17"/>
              </w:rPr>
              <w:t>4 h</w:t>
            </w:r>
          </w:p>
        </w:tc>
        <w:tc>
          <w:tcPr>
            <w:tcW w:type="dxa" w:w="2448"/>
          </w:tcPr>
          <w:p>
            <w:r/>
            <w:r>
              <w:rPr>
                <w:sz w:val="17"/>
              </w:rPr>
              <w:t>24 h</w:t>
            </w:r>
          </w:p>
        </w:tc>
        <w:tc>
          <w:tcPr>
            <w:tcW w:type="dxa" w:w="2448"/>
          </w:tcPr>
          <w:p>
            <w:r/>
            <w:r>
              <w:rPr>
                <w:sz w:val="17"/>
              </w:rPr>
              <w:t>3 gg lav.</w:t>
            </w:r>
          </w:p>
        </w:tc>
      </w:tr>
      <w:tr>
        <w:tc>
          <w:tcPr>
            <w:tcW w:type="dxa" w:w="2448"/>
          </w:tcPr>
          <w:p>
            <w:r/>
            <w:r>
              <w:rPr>
                <w:sz w:val="17"/>
              </w:rPr>
              <w:t>Verifica registrazioni lotto</w:t>
            </w:r>
          </w:p>
        </w:tc>
        <w:tc>
          <w:tcPr>
            <w:tcW w:type="dxa" w:w="2448"/>
          </w:tcPr>
          <w:p>
            <w:r/>
            <w:r>
              <w:rPr>
                <w:sz w:val="17"/>
              </w:rPr>
              <w:t>12 h</w:t>
            </w:r>
          </w:p>
        </w:tc>
        <w:tc>
          <w:tcPr>
            <w:tcW w:type="dxa" w:w="2448"/>
          </w:tcPr>
          <w:p>
            <w:r/>
            <w:r>
              <w:rPr>
                <w:sz w:val="17"/>
              </w:rPr>
              <w:t>48 h</w:t>
            </w:r>
          </w:p>
        </w:tc>
        <w:tc>
          <w:tcPr>
            <w:tcW w:type="dxa" w:w="2448"/>
          </w:tcPr>
          <w:p>
            <w:r/>
            <w:r>
              <w:rPr>
                <w:sz w:val="17"/>
              </w:rPr>
              <w:t>5 gg lav.</w:t>
            </w:r>
          </w:p>
        </w:tc>
      </w:tr>
      <w:tr>
        <w:tc>
          <w:tcPr>
            <w:tcW w:type="dxa" w:w="2448"/>
          </w:tcPr>
          <w:p>
            <w:r/>
            <w:r>
              <w:rPr>
                <w:sz w:val="17"/>
              </w:rPr>
              <w:t>Analisi causa radice completata</w:t>
            </w:r>
          </w:p>
        </w:tc>
        <w:tc>
          <w:tcPr>
            <w:tcW w:type="dxa" w:w="2448"/>
          </w:tcPr>
          <w:p>
            <w:r/>
            <w:r>
              <w:rPr>
                <w:sz w:val="17"/>
              </w:rPr>
              <w:t>5 gg</w:t>
            </w:r>
          </w:p>
        </w:tc>
        <w:tc>
          <w:tcPr>
            <w:tcW w:type="dxa" w:w="2448"/>
          </w:tcPr>
          <w:p>
            <w:r/>
            <w:r>
              <w:rPr>
                <w:sz w:val="17"/>
              </w:rPr>
              <w:t>10 gg</w:t>
            </w:r>
          </w:p>
        </w:tc>
        <w:tc>
          <w:tcPr>
            <w:tcW w:type="dxa" w:w="2448"/>
          </w:tcPr>
          <w:p>
            <w:r/>
            <w:r>
              <w:rPr>
                <w:sz w:val="17"/>
              </w:rPr>
              <w:t>20 gg</w:t>
            </w:r>
          </w:p>
        </w:tc>
      </w:tr>
      <w:tr>
        <w:tc>
          <w:tcPr>
            <w:tcW w:type="dxa" w:w="2448"/>
          </w:tcPr>
          <w:p>
            <w:r/>
            <w:r>
              <w:rPr>
                <w:sz w:val="17"/>
              </w:rPr>
              <w:t>Chiusura e risposta definitiva</w:t>
            </w:r>
          </w:p>
        </w:tc>
        <w:tc>
          <w:tcPr>
            <w:tcW w:type="dxa" w:w="2448"/>
          </w:tcPr>
          <w:p>
            <w:r/>
            <w:r>
              <w:rPr>
                <w:sz w:val="17"/>
              </w:rPr>
              <w:t>come da PRO-QA-11</w:t>
            </w:r>
          </w:p>
        </w:tc>
        <w:tc>
          <w:tcPr>
            <w:tcW w:type="dxa" w:w="2448"/>
          </w:tcPr>
          <w:p>
            <w:r/>
            <w:r>
              <w:rPr>
                <w:sz w:val="17"/>
              </w:rPr>
              <w:t>15 gg lav.</w:t>
            </w:r>
          </w:p>
        </w:tc>
        <w:tc>
          <w:tcPr>
            <w:tcW w:type="dxa" w:w="2448"/>
          </w:tcPr>
          <w:p>
            <w:r/>
            <w:r>
              <w:rPr>
                <w:sz w:val="17"/>
              </w:rPr>
              <w:t>30 gg lav.</w:t>
            </w:r>
          </w:p>
        </w:tc>
      </w:tr>
      <w:tr>
        <w:tc>
          <w:tcPr>
            <w:tcW w:type="dxa" w:w="2448"/>
          </w:tcPr>
          <w:p>
            <w:r/>
            <w:r>
              <w:rPr>
                <w:sz w:val="17"/>
              </w:rPr>
              <w:t>Verifica di efficacia AC</w:t>
            </w:r>
          </w:p>
        </w:tc>
        <w:tc>
          <w:tcPr>
            <w:tcW w:type="dxa" w:w="2448"/>
          </w:tcPr>
          <w:p>
            <w:r/>
            <w:r>
              <w:rPr>
                <w:sz w:val="17"/>
              </w:rPr>
              <w:t>entro 60 gg</w:t>
            </w:r>
          </w:p>
        </w:tc>
        <w:tc>
          <w:tcPr>
            <w:tcW w:type="dxa" w:w="2448"/>
          </w:tcPr>
          <w:p>
            <w:r/>
            <w:r>
              <w:rPr>
                <w:sz w:val="17"/>
              </w:rPr>
              <w:t>entro 90 gg</w:t>
            </w:r>
          </w:p>
        </w:tc>
        <w:tc>
          <w:tcPr>
            <w:tcW w:type="dxa" w:w="2448"/>
          </w:tcPr>
          <w:p>
            <w:r/>
            <w:r>
              <w:rPr>
                <w:sz w:val="17"/>
              </w:rPr>
              <w:t>se applicabile</w:t>
            </w:r>
          </w:p>
        </w:tc>
      </w:tr>
    </w:tbl>
    <w:p/>
    <w:p>
      <w:pPr>
        <w:pStyle w:val="Heading2"/>
      </w:pPr>
      <w:r>
        <w:t>7. INDAGINE E RICERCA DELLA CAUSA RADICE</w:t>
      </w:r>
    </w:p>
    <w:p/>
    <w:p>
      <w:pPr>
        <w:pStyle w:val="Heading3"/>
      </w:pPr>
      <w:r>
        <w:t>7.1 Metodo</w:t>
      </w:r>
    </w:p>
    <w:p/>
    <w:p>
      <w:r>
        <w:t>Per i reclami di classe 1 e 2 la ricerca della causa radice è obbligatoria e documentata nella sezione C del MOD-QA-31. Il metodo di riferimento è la combinazione di:</w:t>
      </w:r>
    </w:p>
    <w:p/>
    <w:p>
      <w:pPr>
        <w:pStyle w:val="ListBullet"/>
      </w:pPr>
      <w:r/>
      <w:r>
        <w:rPr>
          <w:b/>
        </w:rPr>
        <w:t>diagramma di Ishikawa (causa-effetto)</w:t>
      </w:r>
      <w:r>
        <w:rPr>
          <w:b w:val="0"/>
        </w:rPr>
        <w:t>: il difetto viene analizzato lungo le 6 M — Materiali (materie prime, imballi), Metodi (procedure, istruzioni), Macchine (impianti, utensili, manutenzione), Manodopera (formazione, comportamenti), Misurazioni (strumenti, registrazioni), Ambiente (layout, flussi, infestanti). Per ogni ramo il team elenca le cause possibili e le verifica una a una con evidenze;</w:t>
      </w:r>
    </w:p>
    <w:p>
      <w:pPr>
        <w:pStyle w:val="ListBullet"/>
      </w:pPr>
      <w:r/>
      <w:r>
        <w:rPr>
          <w:b/>
        </w:rPr>
        <w:t>metodo dei 5 perché</w:t>
      </w:r>
      <w:r>
        <w:rPr>
          <w:b w:val="0"/>
        </w:rPr>
        <w:t>: per il ramo risultato più probabile, si domanda iterativamente "perché?" fino a raggiungere la causa organizzativa di fondo, di norma entro 5 passaggi.</w:t>
      </w:r>
    </w:p>
    <w:p/>
    <w:p>
      <w:r>
        <w:t>Esempio applicativo (didattico): frammento plastico in prodotto confezionato → perché? guarnizione deteriorata rilasciata dalla macchina → perché? montata guarnizione non idonea al contatto alimentare → perché? ricambio originale non disponibile a magazzino → perché? scorta minima ricambi critici non definita → perché? la manutenzione non dispone di un elenco di ricambi critici con scorta minima → causa radice: assenza di gestione pianificata dei ricambi critici.</w:t>
      </w:r>
    </w:p>
    <w:p/>
    <w:p>
      <w:r>
        <w:rPr>
          <w:i/>
          <w:color w:val="C00000"/>
          <w:sz w:val="17"/>
          <w:highlight w:val="yellow"/>
        </w:rPr>
        <w:t>[Marchetti E. - l'esempio l'ho preso volutamente generico ma dopo il caso del 12/05 forse è meglio cambiarlo, sembra scritto apposta. Sentire Fantin.]</w:t>
      </w:r>
    </w:p>
    <w:p>
      <w:r>
        <w:rPr>
          <w:i/>
          <w:color w:val="C00000"/>
          <w:sz w:val="17"/>
          <w:highlight w:val="yellow"/>
        </w:rPr>
        <w:t>[Vicentini C. - lo lascerei: se lo cambia adesso, in audit chiederanno perché. Piuttosto va allineato il piano di manutenzione, che è la vera carenza.]</w:t>
      </w:r>
    </w:p>
    <w:p/>
    <w:p>
      <w:pPr>
        <w:pStyle w:val="Heading3"/>
      </w:pPr>
      <w:r>
        <w:t>7.2 Team di indagine</w:t>
      </w:r>
    </w:p>
    <w:p/>
    <w:p>
      <w:r>
        <w:t>L'indagine per i reclami di classe 1 è condotta dal team HACCP integrato dal Responsabile di Produzione e, ove pertinente, dal Capo officina. Il consulente HACCP esterno (Studio Alimentaria, Verona) partecipa su richiesta del RSGQ.</w:t>
      </w:r>
    </w:p>
    <w:p/>
    <w:p>
      <w:pPr>
        <w:pStyle w:val="Heading3"/>
      </w:pPr>
      <w:r>
        <w:t>7.3 Gestione del campione reso dal consumatore</w:t>
      </w:r>
    </w:p>
    <w:p/>
    <w:p>
      <w:pPr>
        <w:pStyle w:val="ListParagraph"/>
      </w:pPr>
      <w:r>
        <w:t>1. Il campione oggetto di reclamo viene richiesto al reclamante; il ritiro avviene a cura dell'agente di zona o tramite corriere prepagato.</w:t>
      </w:r>
    </w:p>
    <w:p>
      <w:pPr>
        <w:pStyle w:val="ListParagraph"/>
      </w:pPr>
      <w:r>
        <w:t>2. Al ricevimento, l'Assistente Qualità fotografa il campione integro, lo identifica con il numero di protocollo REC e lo registra nella sezione B del MOD-QA-31.</w:t>
      </w:r>
    </w:p>
    <w:p>
      <w:pPr>
        <w:pStyle w:val="ListParagraph"/>
      </w:pPr>
      <w:r>
        <w:t>3. Il campione è conservato in busta sigillata, in area segregata del laboratorio QC, a temperatura idonea, per almeno 12 mesi dalla chiusura del reclamo.</w:t>
      </w:r>
    </w:p>
    <w:p>
      <w:r>
        <w:t>4. Eventuali analisi (identificazione materiale del corpo estraneo, analisi microbiologiche) sono affidate al laboratorio esterno Analytica Veneta S.r.l. (ACCREDIA n. 0987), con catena di custodia documentata.</w:t>
      </w:r>
    </w:p>
    <w:p>
      <w:pPr>
        <w:pStyle w:val="ListParagraph"/>
      </w:pPr>
      <w:r>
        <w:t>5. Il campione non viene mai restituito, distrutto o manipolato prima della chiusura del reclamo e comunque non senza autorizzazione scritta del RSGQ.</w:t>
      </w:r>
    </w:p>
    <w:p/>
    <w:p>
      <w:r>
        <w:rPr>
          <w:strike/>
          <w:color w:val="888888"/>
        </w:rPr>
        <w:t>6. Eventuali analisi sono eseguite dal laboratorio interno. [Marchetti E. - il lab interno fa solo tamponi e pH, l'identificazione materiali va fuori. Corretto con Analytica Veneta.]</w:t>
      </w:r>
      <w:r/>
      <w:r>
        <w:rPr>
          <w:i/>
          <w:color w:val="C00000"/>
          <w:sz w:val="17"/>
          <w:highlight w:val="yellow"/>
        </w:rPr>
      </w:r>
    </w:p>
    <w:p/>
    <w:p>
      <w:pPr>
        <w:pStyle w:val="Heading3"/>
      </w:pPr>
      <w:r>
        <w:t>7.4 Verifica delle registrazioni in seconda firma</w:t>
      </w:r>
    </w:p>
    <w:p/>
    <w:p>
      <w:r>
        <w:t>A seguito della NC 1 dell'audit CSQA del 17-18/02/2026 (rif. BRCGS 9 cl. 2.10.2 / IFS 5.1.2), tutte le registrazioni manuali dei CCP riesaminate nel corso dell'indagine devono riportare la verifica in seconda firma del capoturno entro fine turno. L'assenza della seconda firma su una registrazione oggetto di indagine è essa stessa una non conformità interna, da registrare e trattare secondo PRO-QA-05.</w:t>
      </w:r>
    </w:p>
    <w:p/>
    <w:p>
      <w:r>
        <w:rPr>
          <w:i/>
          <w:color w:val="C00000"/>
          <w:sz w:val="17"/>
          <w:highlight w:val="yellow"/>
        </w:rPr>
        <w:t>[Marchetti E. - le evidenze di chiusura NC sono partite il 02/04/2026, in ritardo sui 28 gg. CSQA ha accettato con riserva, verificherà al prossimo audit. NON dimenticare.]</w:t>
      </w:r>
    </w:p>
    <w:p/>
    <w:p>
      <w:pPr>
        <w:pStyle w:val="Heading2"/>
      </w:pPr>
      <w:r>
        <w:t>8. COMUNICAZIONE AL CLIENTE</w:t>
      </w:r>
    </w:p>
    <w:p/>
    <w:p>
      <w:pPr>
        <w:pStyle w:val="Heading3"/>
      </w:pPr>
      <w:r>
        <w:t>8.1 Clienti GDO e private label</w:t>
      </w:r>
    </w:p>
    <w:p/>
    <w:p>
      <w:r>
        <w:t>La risposta scritta ai clienti GDO (Tosano Cerea S.p.A., Alì S.p.A., Rossetto Trade S.p.A., Famila Nordest) è predisposta dal RSGQ per i contenuti tecnici e firmata dalla Direzione Commerciale. Deve contenere: ricostruzione dei fatti, esito delle verifiche, causa individuata o ipotesi in corso di verifica, azioni correttive con date, eventuali proposte di gestione della merce.</w:t>
      </w:r>
    </w:p>
    <w:p/>
    <w:p>
      <w:r>
        <w:t>Per i clienti con portale fornitori o con richieste di riscontro a termine (es. Assicurazione Qualità Tosano: riscontro entro 48 h), i termini contrattuali del cliente prevalgono su quelli del par. 6.3 se più stringenti.</w:t>
      </w:r>
    </w:p>
    <w:p/>
    <w:p>
      <w:pPr>
        <w:pStyle w:val="Heading3"/>
      </w:pPr>
      <w:r>
        <w:t>8.2 Consumatori finali</w:t>
      </w:r>
    </w:p>
    <w:p/>
    <w:p>
      <w:r>
        <w:t>La risposta al consumatore è cortese, non ammette responsabilità prima della chiusura dell'indagine, ringrazia per la segnalazione e informa dell'avvio delle verifiche. Eventuali omaggi o rimborsi sono decisi dalla Direzione Commerciale. Ogni comunicazione al consumatore su reclami di classe 1 è preventivamente condivisa con la direzione.</w:t>
      </w:r>
    </w:p>
    <w:p/>
    <w:p>
      <w:r>
        <w:rPr>
          <w:i/>
          <w:color w:val="C00000"/>
          <w:sz w:val="17"/>
          <w:highlight w:val="yellow"/>
        </w:rPr>
        <w:t>[Bertoldi S. - aggiungere che NESSUNO risponde al consumatore a voce entrando nel merito, nemmeno il centralino. È successo. La telefonata va deviata alla qualità e basta.]</w:t>
      </w:r>
    </w:p>
    <w:p/>
    <w:p>
      <w:r>
        <w:t>Il personale non autorizzato (centralino, commerciale, agenti, produzione) non fornisce al reclamante alcuna informazione di merito, né a voce né per iscritto: raccoglie i dati e inoltra al RSGQ.</w:t>
      </w:r>
    </w:p>
    <w:p/>
    <w:p>
      <w:pPr>
        <w:pStyle w:val="Heading2"/>
      </w:pPr>
      <w:r>
        <w:t>9. AZIONI CORRETTIVE E VERIFICA DI EFFICACIA</w:t>
      </w:r>
    </w:p>
    <w:p/>
    <w:p>
      <w:pPr>
        <w:pStyle w:val="ListParagraph"/>
      </w:pPr>
      <w:r>
        <w:t>1. Per ogni causa radice individuata, il team definisce almeno un'azione correttiva con responsabile e scadenza, registrata su MOD-QA-31 sezione D e nel registro azioni correttive di PRO-QA-05.</w:t>
      </w:r>
    </w:p>
    <w:p>
      <w:pPr>
        <w:pStyle w:val="ListParagraph"/>
      </w:pPr>
      <w:r>
        <w:t>2. Le azioni che richiedono investimenti sono sottoposte al Direttore di Stabilimento e, oltre la sua delega di spesa, all'Amministratore Delegato.</w:t>
      </w:r>
    </w:p>
    <w:p>
      <w:r>
        <w:t>3. La verifica di efficacia è pianificata alla chiusura dell'azione ed eseguita dal RSGQ entro i termini del par. 6.3, con evidenza oggettiva (assenza di recidiva, esito audit interno, dati di monitoraggio).</w:t>
      </w:r>
    </w:p>
    <w:p>
      <w:pPr>
        <w:pStyle w:val="ListParagraph"/>
      </w:pPr>
      <w:r>
        <w:t>4. Un reclamo si considera chiuso solo con: risposta definitiva inviata, azioni correttive attuate, verifica di efficacia pianificata.</w:t>
      </w:r>
    </w:p>
    <w:p/>
    <w:p>
      <w:pPr>
        <w:pStyle w:val="Heading2"/>
      </w:pPr>
      <w:r>
        <w:t>10. INDICATORI</w:t>
      </w:r>
    </w:p>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r>
            <w:r>
              <w:rPr>
                <w:b/>
                <w:sz w:val="17"/>
              </w:rPr>
              <w:t>Indicatore</w:t>
            </w:r>
          </w:p>
        </w:tc>
        <w:tc>
          <w:tcPr>
            <w:tcW w:type="dxa" w:w="2448"/>
          </w:tcPr>
          <w:p>
            <w:r>
              <w:rPr>
                <w:b/>
              </w:rPr>
            </w:r>
            <w:r>
              <w:rPr>
                <w:b/>
                <w:sz w:val="17"/>
              </w:rPr>
              <w:t>Formula</w:t>
            </w:r>
          </w:p>
        </w:tc>
        <w:tc>
          <w:tcPr>
            <w:tcW w:type="dxa" w:w="2448"/>
          </w:tcPr>
          <w:p>
            <w:r>
              <w:rPr>
                <w:b/>
              </w:rPr>
            </w:r>
            <w:r>
              <w:rPr>
                <w:b/>
                <w:sz w:val="17"/>
              </w:rPr>
              <w:t>Obiettivo 2026</w:t>
            </w:r>
          </w:p>
        </w:tc>
        <w:tc>
          <w:tcPr>
            <w:tcW w:type="dxa" w:w="2448"/>
          </w:tcPr>
          <w:p>
            <w:r>
              <w:rPr>
                <w:b/>
              </w:rPr>
            </w:r>
            <w:r>
              <w:rPr>
                <w:b/>
                <w:sz w:val="17"/>
              </w:rPr>
              <w:t>Frequenza riesame</w:t>
            </w:r>
          </w:p>
        </w:tc>
      </w:tr>
      <w:tr>
        <w:tc>
          <w:tcPr>
            <w:tcW w:type="dxa" w:w="2448"/>
          </w:tcPr>
          <w:p>
            <w:r/>
            <w:r>
              <w:rPr>
                <w:sz w:val="17"/>
              </w:rPr>
              <w:t>Reclami totali per milione di confezioni vendute</w:t>
            </w:r>
          </w:p>
        </w:tc>
        <w:tc>
          <w:tcPr>
            <w:tcW w:type="dxa" w:w="2448"/>
          </w:tcPr>
          <w:p>
            <w:r/>
            <w:r>
              <w:rPr>
                <w:sz w:val="17"/>
              </w:rPr>
              <w:t>n. reclami x 1.000.000 / confezioni vendute</w:t>
            </w:r>
          </w:p>
        </w:tc>
        <w:tc>
          <w:tcPr>
            <w:tcW w:type="dxa" w:w="2448"/>
          </w:tcPr>
          <w:p>
            <w:r/>
            <w:r>
              <w:rPr>
                <w:sz w:val="17"/>
              </w:rPr>
              <w:t>&lt; 8,0</w:t>
            </w:r>
          </w:p>
        </w:tc>
        <w:tc>
          <w:tcPr>
            <w:tcW w:type="dxa" w:w="2448"/>
          </w:tcPr>
          <w:p>
            <w:r/>
            <w:r>
              <w:rPr>
                <w:sz w:val="17"/>
              </w:rPr>
              <w:t>mensile</w:t>
            </w:r>
          </w:p>
        </w:tc>
      </w:tr>
      <w:tr>
        <w:tc>
          <w:tcPr>
            <w:tcW w:type="dxa" w:w="2448"/>
          </w:tcPr>
          <w:p>
            <w:r/>
            <w:r>
              <w:rPr>
                <w:sz w:val="17"/>
              </w:rPr>
              <w:t>Reclami classe 1</w:t>
            </w:r>
          </w:p>
        </w:tc>
        <w:tc>
          <w:tcPr>
            <w:tcW w:type="dxa" w:w="2448"/>
          </w:tcPr>
          <w:p>
            <w:r/>
            <w:r>
              <w:rPr>
                <w:sz w:val="17"/>
              </w:rPr>
              <w:t>conteggio assoluto</w:t>
            </w:r>
          </w:p>
        </w:tc>
        <w:tc>
          <w:tcPr>
            <w:tcW w:type="dxa" w:w="2448"/>
          </w:tcPr>
          <w:p>
            <w:r/>
            <w:r>
              <w:rPr>
                <w:sz w:val="17"/>
              </w:rPr>
              <w:t>0</w:t>
            </w:r>
          </w:p>
        </w:tc>
        <w:tc>
          <w:tcPr>
            <w:tcW w:type="dxa" w:w="2448"/>
          </w:tcPr>
          <w:p>
            <w:r/>
            <w:r>
              <w:rPr>
                <w:sz w:val="17"/>
              </w:rPr>
              <w:t>mensile</w:t>
            </w:r>
          </w:p>
        </w:tc>
      </w:tr>
      <w:tr>
        <w:tc>
          <w:tcPr>
            <w:tcW w:type="dxa" w:w="2448"/>
          </w:tcPr>
          <w:p>
            <w:r/>
            <w:r>
              <w:rPr>
                <w:sz w:val="17"/>
              </w:rPr>
              <w:t>Tempo medio di chiusura classe 2</w:t>
            </w:r>
          </w:p>
        </w:tc>
        <w:tc>
          <w:tcPr>
            <w:tcW w:type="dxa" w:w="2448"/>
          </w:tcPr>
          <w:p>
            <w:r/>
            <w:r>
              <w:rPr>
                <w:sz w:val="17"/>
              </w:rPr>
              <w:t>media gg lavorativi</w:t>
            </w:r>
          </w:p>
        </w:tc>
        <w:tc>
          <w:tcPr>
            <w:tcW w:type="dxa" w:w="2448"/>
          </w:tcPr>
          <w:p>
            <w:r/>
            <w:r>
              <w:rPr>
                <w:sz w:val="17"/>
              </w:rPr>
              <w:t>≤ 12 gg</w:t>
            </w:r>
          </w:p>
        </w:tc>
        <w:tc>
          <w:tcPr>
            <w:tcW w:type="dxa" w:w="2448"/>
          </w:tcPr>
          <w:p>
            <w:r/>
            <w:r>
              <w:rPr>
                <w:sz w:val="17"/>
              </w:rPr>
              <w:t>trimestrale</w:t>
            </w:r>
          </w:p>
        </w:tc>
      </w:tr>
      <w:tr>
        <w:tc>
          <w:tcPr>
            <w:tcW w:type="dxa" w:w="2448"/>
          </w:tcPr>
          <w:p>
            <w:r/>
            <w:r>
              <w:rPr>
                <w:sz w:val="17"/>
              </w:rPr>
              <w:t>Reclami per corpo estraneo</w:t>
            </w:r>
          </w:p>
        </w:tc>
        <w:tc>
          <w:tcPr>
            <w:tcW w:type="dxa" w:w="2448"/>
          </w:tcPr>
          <w:p>
            <w:r/>
            <w:r>
              <w:rPr>
                <w:sz w:val="17"/>
              </w:rPr>
              <w:t>conteggio assoluto</w:t>
            </w:r>
          </w:p>
        </w:tc>
        <w:tc>
          <w:tcPr>
            <w:tcW w:type="dxa" w:w="2448"/>
          </w:tcPr>
          <w:p>
            <w:r/>
            <w:r>
              <w:rPr>
                <w:sz w:val="17"/>
              </w:rPr>
              <w:t>≤ 3/anno</w:t>
            </w:r>
          </w:p>
        </w:tc>
        <w:tc>
          <w:tcPr>
            <w:tcW w:type="dxa" w:w="2448"/>
          </w:tcPr>
          <w:p>
            <w:r/>
            <w:r>
              <w:rPr>
                <w:sz w:val="17"/>
              </w:rPr>
              <w:t>mensile</w:t>
            </w:r>
          </w:p>
        </w:tc>
      </w:tr>
      <w:tr>
        <w:tc>
          <w:tcPr>
            <w:tcW w:type="dxa" w:w="2448"/>
          </w:tcPr>
          <w:p>
            <w:r/>
            <w:r>
              <w:rPr>
                <w:sz w:val="17"/>
              </w:rPr>
              <w:t>Recidive su stessa causa radice</w:t>
            </w:r>
          </w:p>
        </w:tc>
        <w:tc>
          <w:tcPr>
            <w:tcW w:type="dxa" w:w="2448"/>
          </w:tcPr>
          <w:p>
            <w:r/>
            <w:r>
              <w:rPr>
                <w:sz w:val="17"/>
              </w:rPr>
              <w:t>conteggio assoluto</w:t>
            </w:r>
          </w:p>
        </w:tc>
        <w:tc>
          <w:tcPr>
            <w:tcW w:type="dxa" w:w="2448"/>
          </w:tcPr>
          <w:p>
            <w:r/>
            <w:r>
              <w:rPr>
                <w:sz w:val="17"/>
              </w:rPr>
              <w:t>0</w:t>
            </w:r>
          </w:p>
        </w:tc>
        <w:tc>
          <w:tcPr>
            <w:tcW w:type="dxa" w:w="2448"/>
          </w:tcPr>
          <w:p>
            <w:r/>
            <w:r>
              <w:rPr>
                <w:sz w:val="17"/>
              </w:rPr>
              <w:t>trimestrale</w:t>
            </w:r>
          </w:p>
        </w:tc>
      </w:tr>
    </w:tbl>
    <w:p/>
    <w:p>
      <w:r>
        <w:t>Gli indicatori sono presentati al riesame della direzione e, in forma aggregata, al team HACCP.</w:t>
      </w:r>
    </w:p>
    <w:p/>
    <w:p>
      <w:r>
        <w:rPr>
          <w:i/>
          <w:color w:val="C00000"/>
          <w:sz w:val="17"/>
          <w:highlight w:val="yellow"/>
        </w:rPr>
        <w:t>[Pozzato S. - il dato "confezioni vendute" me lo deve passare Trentin dall'amministrazione ogni mese, finora l'ho rincorsa io. Formalizzare?]</w:t>
      </w:r>
    </w:p>
    <w:p/>
    <w:p>
      <w:pPr>
        <w:pStyle w:val="Heading2"/>
      </w:pPr>
      <w:r>
        <w:t>11. REGISTRAZIONI E ARCHIVIAZIONE</w:t>
      </w:r>
    </w:p>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r>
            <w:r>
              <w:rPr>
                <w:b/>
                <w:sz w:val="17"/>
              </w:rPr>
              <w:t>Registrazione</w:t>
            </w:r>
          </w:p>
        </w:tc>
        <w:tc>
          <w:tcPr>
            <w:tcW w:type="dxa" w:w="1958"/>
          </w:tcPr>
          <w:p>
            <w:r>
              <w:rPr>
                <w:b/>
              </w:rPr>
            </w:r>
            <w:r>
              <w:rPr>
                <w:b/>
                <w:sz w:val="17"/>
              </w:rPr>
              <w:t>Modulo</w:t>
            </w:r>
          </w:p>
        </w:tc>
        <w:tc>
          <w:tcPr>
            <w:tcW w:type="dxa" w:w="1958"/>
          </w:tcPr>
          <w:p>
            <w:r>
              <w:rPr>
                <w:b/>
              </w:rPr>
            </w:r>
            <w:r>
              <w:rPr>
                <w:b/>
                <w:sz w:val="17"/>
              </w:rPr>
              <w:t>Responsabile</w:t>
            </w:r>
          </w:p>
        </w:tc>
        <w:tc>
          <w:tcPr>
            <w:tcW w:type="dxa" w:w="1958"/>
          </w:tcPr>
          <w:p>
            <w:r>
              <w:rPr>
                <w:b/>
              </w:rPr>
            </w:r>
            <w:r>
              <w:rPr>
                <w:b/>
                <w:sz w:val="17"/>
              </w:rPr>
              <w:t>Conservazione</w:t>
            </w:r>
          </w:p>
        </w:tc>
        <w:tc>
          <w:tcPr>
            <w:tcW w:type="dxa" w:w="1958"/>
          </w:tcPr>
          <w:p>
            <w:r>
              <w:rPr>
                <w:b/>
              </w:rPr>
            </w:r>
            <w:r>
              <w:rPr>
                <w:b/>
                <w:sz w:val="17"/>
              </w:rPr>
              <w:t>Luogo</w:t>
            </w:r>
          </w:p>
        </w:tc>
      </w:tr>
      <w:tr>
        <w:tc>
          <w:tcPr>
            <w:tcW w:type="dxa" w:w="1958"/>
          </w:tcPr>
          <w:p>
            <w:r/>
            <w:r>
              <w:rPr>
                <w:sz w:val="17"/>
              </w:rPr>
              <w:t>Reclamo e indagine</w:t>
            </w:r>
          </w:p>
        </w:tc>
        <w:tc>
          <w:tcPr>
            <w:tcW w:type="dxa" w:w="1958"/>
          </w:tcPr>
          <w:p>
            <w:r/>
            <w:r>
              <w:rPr>
                <w:sz w:val="17"/>
              </w:rPr>
              <w:t>MOD-QA-31</w:t>
            </w:r>
          </w:p>
        </w:tc>
        <w:tc>
          <w:tcPr>
            <w:tcW w:type="dxa" w:w="1958"/>
          </w:tcPr>
          <w:p>
            <w:r/>
            <w:r>
              <w:rPr>
                <w:sz w:val="17"/>
              </w:rPr>
              <w:t>RSGQ</w:t>
            </w:r>
          </w:p>
        </w:tc>
        <w:tc>
          <w:tcPr>
            <w:tcW w:type="dxa" w:w="1958"/>
          </w:tcPr>
          <w:p>
            <w:r/>
            <w:r>
              <w:rPr>
                <w:sz w:val="17"/>
              </w:rPr>
              <w:t>shelf life + 3 anni, min. 5 anni</w:t>
            </w:r>
          </w:p>
        </w:tc>
        <w:tc>
          <w:tcPr>
            <w:tcW w:type="dxa" w:w="1958"/>
          </w:tcPr>
          <w:p>
            <w:r/>
            <w:r>
              <w:rPr>
                <w:sz w:val="17"/>
              </w:rPr>
              <w:t>ufficio qualità, raccoglitore annuale</w:t>
            </w:r>
          </w:p>
        </w:tc>
      </w:tr>
      <w:tr>
        <w:tc>
          <w:tcPr>
            <w:tcW w:type="dxa" w:w="1958"/>
          </w:tcPr>
          <w:p>
            <w:r/>
            <w:r>
              <w:rPr>
                <w:sz w:val="17"/>
              </w:rPr>
              <w:t>Campione reso</w:t>
            </w:r>
          </w:p>
        </w:tc>
        <w:tc>
          <w:tcPr>
            <w:tcW w:type="dxa" w:w="1958"/>
          </w:tcPr>
          <w:p>
            <w:r/>
            <w:r>
              <w:rPr>
                <w:sz w:val="17"/>
              </w:rPr>
              <w:t>etichetta REC + sez. B MOD-QA-31</w:t>
            </w:r>
          </w:p>
        </w:tc>
        <w:tc>
          <w:tcPr>
            <w:tcW w:type="dxa" w:w="1958"/>
          </w:tcPr>
          <w:p>
            <w:r/>
            <w:r>
              <w:rPr>
                <w:sz w:val="17"/>
              </w:rPr>
              <w:t>Ass. Qualità</w:t>
            </w:r>
          </w:p>
        </w:tc>
        <w:tc>
          <w:tcPr>
            <w:tcW w:type="dxa" w:w="1958"/>
          </w:tcPr>
          <w:p>
            <w:r/>
            <w:r>
              <w:rPr>
                <w:sz w:val="17"/>
              </w:rPr>
              <w:t>12 mesi da chiusura</w:t>
            </w:r>
          </w:p>
        </w:tc>
        <w:tc>
          <w:tcPr>
            <w:tcW w:type="dxa" w:w="1958"/>
          </w:tcPr>
          <w:p>
            <w:r/>
            <w:r>
              <w:rPr>
                <w:sz w:val="17"/>
              </w:rPr>
              <w:t>laboratorio QC, area segregata</w:t>
            </w:r>
          </w:p>
        </w:tc>
      </w:tr>
      <w:tr>
        <w:tc>
          <w:tcPr>
            <w:tcW w:type="dxa" w:w="1958"/>
          </w:tcPr>
          <w:p>
            <w:r/>
            <w:r>
              <w:rPr>
                <w:sz w:val="17"/>
              </w:rPr>
              <w:t>Rapporti di prova esterni</w:t>
            </w:r>
          </w:p>
        </w:tc>
        <w:tc>
          <w:tcPr>
            <w:tcW w:type="dxa" w:w="1958"/>
          </w:tcPr>
          <w:p>
            <w:r/>
            <w:r>
              <w:rPr>
                <w:sz w:val="17"/>
              </w:rPr>
              <w:t>rapporto Analytica Veneta</w:t>
            </w:r>
          </w:p>
        </w:tc>
        <w:tc>
          <w:tcPr>
            <w:tcW w:type="dxa" w:w="1958"/>
          </w:tcPr>
          <w:p>
            <w:r/>
            <w:r>
              <w:rPr>
                <w:sz w:val="17"/>
              </w:rPr>
              <w:t>RSGQ</w:t>
            </w:r>
          </w:p>
        </w:tc>
        <w:tc>
          <w:tcPr>
            <w:tcW w:type="dxa" w:w="1958"/>
          </w:tcPr>
          <w:p>
            <w:r/>
            <w:r>
              <w:rPr>
                <w:sz w:val="17"/>
              </w:rPr>
              <w:t>5 anni</w:t>
            </w:r>
          </w:p>
        </w:tc>
        <w:tc>
          <w:tcPr>
            <w:tcW w:type="dxa" w:w="1958"/>
          </w:tcPr>
          <w:p>
            <w:r/>
            <w:r>
              <w:rPr>
                <w:sz w:val="17"/>
              </w:rPr>
              <w:t>fascicolo reclamo</w:t>
            </w:r>
          </w:p>
        </w:tc>
      </w:tr>
      <w:tr>
        <w:tc>
          <w:tcPr>
            <w:tcW w:type="dxa" w:w="1958"/>
          </w:tcPr>
          <w:p>
            <w:r/>
            <w:r>
              <w:rPr>
                <w:sz w:val="17"/>
              </w:rPr>
              <w:t>Corrispondenza cliente</w:t>
            </w:r>
          </w:p>
        </w:tc>
        <w:tc>
          <w:tcPr>
            <w:tcW w:type="dxa" w:w="1958"/>
          </w:tcPr>
          <w:p>
            <w:r/>
            <w:r>
              <w:rPr>
                <w:sz w:val="17"/>
              </w:rPr>
              <w:t>PEC / e-mail</w:t>
            </w:r>
          </w:p>
        </w:tc>
        <w:tc>
          <w:tcPr>
            <w:tcW w:type="dxa" w:w="1958"/>
          </w:tcPr>
          <w:p>
            <w:r/>
            <w:r>
              <w:rPr>
                <w:sz w:val="17"/>
              </w:rPr>
              <w:t>Dir. Commerciale</w:t>
            </w:r>
          </w:p>
        </w:tc>
        <w:tc>
          <w:tcPr>
            <w:tcW w:type="dxa" w:w="1958"/>
          </w:tcPr>
          <w:p>
            <w:r/>
            <w:r>
              <w:rPr>
                <w:sz w:val="17"/>
              </w:rPr>
              <w:t>5 anni</w:t>
            </w:r>
          </w:p>
        </w:tc>
        <w:tc>
          <w:tcPr>
            <w:tcW w:type="dxa" w:w="1958"/>
          </w:tcPr>
          <w:p>
            <w:r/>
            <w:r>
              <w:rPr>
                <w:sz w:val="17"/>
              </w:rPr>
              <w:t>server, cartella COMM/reclami</w:t>
            </w:r>
          </w:p>
        </w:tc>
      </w:tr>
      <w:tr>
        <w:tc>
          <w:tcPr>
            <w:tcW w:type="dxa" w:w="1958"/>
          </w:tcPr>
          <w:p>
            <w:r/>
            <w:r>
              <w:rPr>
                <w:sz w:val="17"/>
              </w:rPr>
              <w:t>Azioni correttive</w:t>
            </w:r>
          </w:p>
        </w:tc>
        <w:tc>
          <w:tcPr>
            <w:tcW w:type="dxa" w:w="1958"/>
          </w:tcPr>
          <w:p>
            <w:r/>
            <w:r>
              <w:rPr>
                <w:sz w:val="17"/>
              </w:rPr>
              <w:t>registro PRO-QA-05</w:t>
            </w:r>
          </w:p>
        </w:tc>
        <w:tc>
          <w:tcPr>
            <w:tcW w:type="dxa" w:w="1958"/>
          </w:tcPr>
          <w:p>
            <w:r/>
            <w:r>
              <w:rPr>
                <w:sz w:val="17"/>
              </w:rPr>
              <w:t>RSGQ</w:t>
            </w:r>
          </w:p>
        </w:tc>
        <w:tc>
          <w:tcPr>
            <w:tcW w:type="dxa" w:w="1958"/>
          </w:tcPr>
          <w:p>
            <w:r/>
            <w:r>
              <w:rPr>
                <w:sz w:val="17"/>
              </w:rPr>
              <w:t>5 anni</w:t>
            </w:r>
          </w:p>
        </w:tc>
        <w:tc>
          <w:tcPr>
            <w:tcW w:type="dxa" w:w="1958"/>
          </w:tcPr>
          <w:p>
            <w:r/>
            <w:r>
              <w:rPr>
                <w:sz w:val="17"/>
              </w:rPr>
              <w:t>ufficio qualità</w:t>
            </w:r>
          </w:p>
        </w:tc>
      </w:tr>
    </w:tbl>
    <w:p/>
    <w:p>
      <w:pPr>
        <w:pStyle w:val="Heading2"/>
      </w:pPr>
      <w:r>
        <w:t>12. STATO DELLE REVISIONI</w:t>
      </w:r>
    </w:p>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r>
            <w:r>
              <w:rPr>
                <w:b/>
                <w:sz w:val="17"/>
              </w:rPr>
              <w:t>Rev.</w:t>
            </w:r>
          </w:p>
        </w:tc>
        <w:tc>
          <w:tcPr>
            <w:tcW w:type="dxa" w:w="1958"/>
          </w:tcPr>
          <w:p>
            <w:r>
              <w:rPr>
                <w:b/>
              </w:rPr>
            </w:r>
            <w:r>
              <w:rPr>
                <w:b/>
                <w:sz w:val="17"/>
              </w:rPr>
              <w:t>Data</w:t>
            </w:r>
          </w:p>
        </w:tc>
        <w:tc>
          <w:tcPr>
            <w:tcW w:type="dxa" w:w="1958"/>
          </w:tcPr>
          <w:p>
            <w:r>
              <w:rPr>
                <w:b/>
              </w:rPr>
            </w:r>
            <w:r>
              <w:rPr>
                <w:b/>
                <w:sz w:val="17"/>
              </w:rPr>
              <w:t>Descrizione modifica</w:t>
            </w:r>
          </w:p>
        </w:tc>
        <w:tc>
          <w:tcPr>
            <w:tcW w:type="dxa" w:w="1958"/>
          </w:tcPr>
          <w:p>
            <w:r>
              <w:rPr>
                <w:b/>
              </w:rPr>
            </w:r>
            <w:r>
              <w:rPr>
                <w:b/>
                <w:sz w:val="17"/>
              </w:rPr>
              <w:t>Redatto</w:t>
            </w:r>
          </w:p>
        </w:tc>
        <w:tc>
          <w:tcPr>
            <w:tcW w:type="dxa" w:w="1958"/>
          </w:tcPr>
          <w:p>
            <w:r>
              <w:rPr>
                <w:b/>
              </w:rPr>
            </w:r>
            <w:r>
              <w:rPr>
                <w:b/>
                <w:sz w:val="17"/>
              </w:rPr>
              <w:t>Approvato</w:t>
            </w:r>
          </w:p>
        </w:tc>
      </w:tr>
      <w:tr>
        <w:tc>
          <w:tcPr>
            <w:tcW w:type="dxa" w:w="1958"/>
          </w:tcPr>
          <w:p>
            <w:r/>
            <w:r>
              <w:rPr>
                <w:sz w:val="17"/>
              </w:rPr>
              <w:t>0</w:t>
            </w:r>
          </w:p>
        </w:tc>
        <w:tc>
          <w:tcPr>
            <w:tcW w:type="dxa" w:w="1958"/>
          </w:tcPr>
          <w:p>
            <w:r/>
            <w:r>
              <w:rPr>
                <w:sz w:val="17"/>
              </w:rPr>
              <w:t>10/06/2019</w:t>
            </w:r>
          </w:p>
        </w:tc>
        <w:tc>
          <w:tcPr>
            <w:tcW w:type="dxa" w:w="1958"/>
          </w:tcPr>
          <w:p>
            <w:r/>
            <w:r>
              <w:rPr>
                <w:sz w:val="17"/>
              </w:rPr>
              <w:t>Prima emissione</w:t>
            </w:r>
          </w:p>
        </w:tc>
        <w:tc>
          <w:tcPr>
            <w:tcW w:type="dxa" w:w="1958"/>
          </w:tcPr>
          <w:p>
            <w:r/>
            <w:r>
              <w:rPr>
                <w:sz w:val="17"/>
              </w:rPr>
              <w:t>E. Marchetti</w:t>
            </w:r>
          </w:p>
        </w:tc>
        <w:tc>
          <w:tcPr>
            <w:tcW w:type="dxa" w:w="1958"/>
          </w:tcPr>
          <w:p>
            <w:r/>
            <w:r>
              <w:rPr>
                <w:sz w:val="17"/>
              </w:rPr>
              <w:t>G. Bertoldi</w:t>
            </w:r>
          </w:p>
        </w:tc>
      </w:tr>
      <w:tr>
        <w:tc>
          <w:tcPr>
            <w:tcW w:type="dxa" w:w="1958"/>
          </w:tcPr>
          <w:p>
            <w:r/>
            <w:r>
              <w:rPr>
                <w:sz w:val="17"/>
              </w:rPr>
              <w:t>1</w:t>
            </w:r>
          </w:p>
        </w:tc>
        <w:tc>
          <w:tcPr>
            <w:tcW w:type="dxa" w:w="1958"/>
          </w:tcPr>
          <w:p>
            <w:r/>
            <w:r>
              <w:rPr>
                <w:sz w:val="17"/>
              </w:rPr>
              <w:t>22/09/2023</w:t>
            </w:r>
          </w:p>
        </w:tc>
        <w:tc>
          <w:tcPr>
            <w:tcW w:type="dxa" w:w="1958"/>
          </w:tcPr>
          <w:p>
            <w:r/>
            <w:r>
              <w:rPr>
                <w:sz w:val="17"/>
              </w:rPr>
              <w:t>Adeguamento a BRCGS Issue 9 e IFS v8; nuova classificazione a 4 classi</w:t>
            </w:r>
          </w:p>
        </w:tc>
        <w:tc>
          <w:tcPr>
            <w:tcW w:type="dxa" w:w="1958"/>
          </w:tcPr>
          <w:p>
            <w:r/>
            <w:r>
              <w:rPr>
                <w:sz w:val="17"/>
              </w:rPr>
              <w:t>E. Marchetti</w:t>
            </w:r>
          </w:p>
        </w:tc>
        <w:tc>
          <w:tcPr>
            <w:tcW w:type="dxa" w:w="1958"/>
          </w:tcPr>
          <w:p>
            <w:r/>
            <w:r>
              <w:rPr>
                <w:sz w:val="17"/>
              </w:rPr>
              <w:t>M. Fantin</w:t>
            </w:r>
          </w:p>
        </w:tc>
      </w:tr>
      <w:tr>
        <w:tc>
          <w:tcPr>
            <w:tcW w:type="dxa" w:w="1958"/>
          </w:tcPr>
          <w:p>
            <w:r/>
            <w:r>
              <w:rPr>
                <w:sz w:val="17"/>
              </w:rPr>
              <w:t>2</w:t>
            </w:r>
          </w:p>
        </w:tc>
        <w:tc>
          <w:tcPr>
            <w:tcW w:type="dxa" w:w="1958"/>
          </w:tcPr>
          <w:p>
            <w:r/>
            <w:r>
              <w:rPr>
                <w:sz w:val="17"/>
              </w:rPr>
              <w:t>14/03/2026</w:t>
            </w:r>
          </w:p>
        </w:tc>
        <w:tc>
          <w:tcPr>
            <w:tcW w:type="dxa" w:w="1958"/>
          </w:tcPr>
          <w:p>
            <w:r/>
            <w:r>
              <w:rPr>
                <w:sz w:val="17"/>
              </w:rPr>
              <w:t>Recepimento NC 1 audit CSQA 02/2026 (par. 7.4); precisazioni su campione reso e comunicazione al consumatore</w:t>
            </w:r>
          </w:p>
        </w:tc>
        <w:tc>
          <w:tcPr>
            <w:tcW w:type="dxa" w:w="1958"/>
          </w:tcPr>
          <w:p>
            <w:r/>
            <w:r>
              <w:rPr>
                <w:sz w:val="17"/>
              </w:rPr>
              <w:t>E. Marchetti</w:t>
            </w:r>
          </w:p>
        </w:tc>
        <w:tc>
          <w:tcPr>
            <w:tcW w:type="dxa" w:w="1958"/>
          </w:tcPr>
          <w:p>
            <w:r/>
            <w:r>
              <w:rPr>
                <w:sz w:val="17"/>
              </w:rPr>
              <w:t>M. Fantin</w:t>
            </w:r>
          </w:p>
        </w:tc>
      </w:tr>
    </w:tbl>
    <w:p/>
    <w:p>
      <w:r>
        <w:t>Documento di proprietà di Aurora Food Group S.r.l. — copia controllata n. ___ — la copia stampata non è garantita come aggiornata.</w:t>
      </w:r>
    </w:p>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Company>Aurora Food Group S.r.l.</Company>
  <AppVersion>16.0300</AppVersion>
  <TotalTime>844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PRO-QA-08 gestione reclami cliente rev2</dc:title>
  <dc:creator>Elena Marchetti</dc:creator>
  <cp:lastModifiedBy>Chiara Vicentini</cp:lastModifiedBy>
  <cp:revision>46</cp:revision>
  <dc:description/>
  <dcterms:created xsi:type="dcterms:W3CDTF">2025-11-17T08:28:52Z</dcterms:created>
  <dcterms:modified xsi:type="dcterms:W3CDTF">2026-05-19T10:28:52Z</dcterms:modified>
  <cp:company>Aurora Food Group S.r.l.</cp:company>
</cp:coreProperties>
</file>