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1"/>
        </w:rPr>
        <w:t>STUDIO BELLOTTO &amp; ASSOCIATI</w:t>
      </w:r>
    </w:p>
    <w:p>
      <w:r>
        <w:t>Dottori Commercialisti e Revisori Legali</w:t>
      </w:r>
    </w:p>
    <w:p>
      <w:r>
        <w:t>Via Roma 41 - 36045 Lonigo (VI) - tel. 0444 83 02 77</w:t>
      </w:r>
    </w:p>
    <w:p>
      <w:r>
        <w:t>segreteria@studiobellotto.it - PEC studiobellotto@pec.it</w:t>
      </w:r>
    </w:p>
    <w:p>
      <w:r>
        <w:t>dott. Andrea Bellotto - dott.ssa M. Chiarello - rag. P. Dal Lago</w:t>
      </w:r>
    </w:p>
    <w:p/>
    <w:p>
      <w:r>
        <w:t>Lonigo, 18 maggio 2026</w:t>
      </w:r>
    </w:p>
    <w:p>
      <w:r>
        <w:t>Prot. n. 2026/412/AB</w:t>
      </w:r>
    </w:p>
    <w:p/>
    <w:p>
      <w:r>
        <w:t>Spett.le</w:t>
      </w:r>
    </w:p>
    <w:p>
      <w:r>
        <w:rPr>
          <w:b/>
          <w:sz w:val="21"/>
        </w:rPr>
        <w:t>AURORA FOOD GROUP S.R.L.</w:t>
      </w:r>
    </w:p>
    <w:p>
      <w:r>
        <w:t>Via dell'Industria 27</w:t>
      </w:r>
    </w:p>
    <w:p>
      <w:r>
        <w:t>37044 Cologna Veneta (VR)</w:t>
      </w:r>
    </w:p>
    <w:p>
      <w:r>
        <w:t>c.a. sig. Giancarlo Bertoldi - Amministratore Delegato</w:t>
      </w:r>
    </w:p>
    <w:p>
      <w:r>
        <w:t>e p.c. rag. Luisa Trentin - Amministrazione</w:t>
      </w:r>
    </w:p>
    <w:p/>
    <w:p>
      <w:r>
        <w:t>Oggetto: investimento in tunnel di surgelazione a spirale Criotech mod. CR-SP180</w:t>
      </w:r>
    </w:p>
    <w:p>
      <w:r>
        <w:t>(fornitore Criotech Impianti S.r.l., Reggio Emilia - Vs. cod. F0070) - credito</w:t>
      </w:r>
    </w:p>
    <w:p>
      <w:r>
        <w:t>d'imposta per investimenti in beni strumentali nuovi materiali "4.0" - prime</w:t>
      </w:r>
    </w:p>
    <w:p>
      <w:r>
        <w:t>indicazioni operative, documentazione da predisporre e cautele.</w:t>
      </w:r>
    </w:p>
    <w:p/>
    <w:p>
      <w:r>
        <w:t>Egregio sig. Bertoldi,</w:t>
      </w:r>
    </w:p>
    <w:p/>
    <w:p>
      <w:r>
        <w:t>facendo seguito al colloquio telefonico intercorso con la rag. Trentin in data</w:t>
      </w:r>
    </w:p>
    <w:p>
      <w:r>
        <w:t>12 c.m. e alla documentazione ricevuta (conferma d'ordine, layout preliminare,</w:t>
      </w:r>
    </w:p>
    <w:p>
      <w:r>
        <w:t>condizioni di pagamento con acconto del 30% pari ad euro 87.000,00), con la</w:t>
      </w:r>
    </w:p>
    <w:p>
      <w:r>
        <w:t>presente riepiloghiamo il quadro agevolativo astrattamente applicabile</w:t>
      </w:r>
    </w:p>
    <w:p>
      <w:r>
        <w:t>all'investimento in oggetto, riservandoci ogni approfondimento all'esito</w:t>
      </w:r>
    </w:p>
    <w:p>
      <w:r>
        <w:t>dell'esame della documentazione tecnica definitiva.</w:t>
      </w:r>
    </w:p>
    <w:p/>
    <w:p>
      <w:pPr>
        <w:pStyle w:val="ListParagraph"/>
      </w:pPr>
      <w:r>
        <w:t>1. INQUADRAMENTO NORMATIVO</w:t>
      </w:r>
    </w:p>
    <w:p/>
    <w:p>
      <w:r>
        <w:t>1.1 L'agevolazione di riferimento e' il credito d'imposta per investimenti in</w:t>
      </w:r>
    </w:p>
    <w:p>
      <w:r>
        <w:t>beni strumentali nuovi di cui all'art. 1, commi 1051-1063, della legge 30</w:t>
      </w:r>
    </w:p>
    <w:p>
      <w:r>
        <w:t>dicembre 2020, n. 178 (legge di bilancio 2021), come successivamente modificato</w:t>
      </w:r>
    </w:p>
    <w:p>
      <w:r>
        <w:t>e prorogato, con riferimento ai beni materiali funzionali alla trasformazione</w:t>
      </w:r>
    </w:p>
    <w:p>
      <w:r>
        <w:t>tecnologica e digitale delle imprese secondo il modello "Industria 4.0" indicati</w:t>
      </w:r>
    </w:p>
    <w:p>
      <w:r>
        <w:t>nell'allegato A annesso alla legge 11 dicembre 2016, n. 232.</w:t>
      </w:r>
    </w:p>
    <w:p/>
    <w:p>
      <w:r>
        <w:t>1.2 Si richiamano altresi': la circolare Agenzia delle Entrate n. 9/E del 23</w:t>
      </w:r>
    </w:p>
    <w:p>
      <w:r>
        <w:t>luglio 2021; le risposte ad interpello in materia di interconnessione; la</w:t>
      </w:r>
    </w:p>
    <w:p>
      <w:r>
        <w:t>disciplina delle comunicazioni al Ministero delle Imprese e del Made in Italy</w:t>
      </w:r>
    </w:p>
    <w:p>
      <w:r>
        <w:t>(gia' MISE) ai fini del monitoraggio della fruizione; nonche', per quanto</w:t>
      </w:r>
    </w:p>
    <w:p>
      <w:r>
        <w:t>occorra, la disciplina "Transizione 5.0" (D.L. 2 marzo 2024, n. 19, conv. L.</w:t>
      </w:r>
    </w:p>
    <w:p>
      <w:r>
        <w:t>56/2024), della quale si dira' al par. 6.</w:t>
      </w:r>
    </w:p>
    <w:p/>
    <w:p>
      <w:r>
        <w:t>1.3 La misura del credito, le aliquote e i massimali applicabili dipendono in</w:t>
      </w:r>
    </w:p>
    <w:p>
      <w:r>
        <w:t>modo decisivo dal periodo di effettuazione dell'investimento ai sensi dell'art.</w:t>
      </w:r>
    </w:p>
    <w:p>
      <w:r>
        <w:t>109 TUIR (consegna o spedizione, ovvero, se diverso e successivo, momento di</w:t>
      </w:r>
    </w:p>
    <w:p>
      <w:r>
        <w:t>passaggio della proprieta') e dall'eventuale "prenotazione" (ordine accettato</w:t>
      </w:r>
    </w:p>
    <w:p>
      <w:r>
        <w:t>dal venditore e acconto almeno pari al 20% entro i termini di legge). SI</w:t>
      </w:r>
    </w:p>
    <w:p>
      <w:r>
        <w:rPr>
          <w:b/>
          <w:sz w:val="21"/>
        </w:rPr>
        <w:t>SEGNALA SIN D'ORA CHE LA CORRETTA COLLOCAZIONE TEMPORALE DELL'INVESTIMENTO E IL</w:t>
      </w:r>
    </w:p>
    <w:p>
      <w:r>
        <w:rPr>
          <w:b/>
          <w:sz w:val="21"/>
        </w:rPr>
        <w:t>MOMENTO DELL'INTERCONNESSIONE SONO I DUE ELEMENTI DA CUI DIPENDE L'INTERA</w:t>
      </w:r>
    </w:p>
    <w:p>
      <w:r>
        <w:rPr>
          <w:b/>
          <w:sz w:val="21"/>
        </w:rPr>
        <w:t>PRATICA: OGNI COMUNICAZIONE AL FORNITORE SU DATE DI CONSEGNA, COLLAUDO E</w:t>
      </w:r>
    </w:p>
    <w:p>
      <w:r>
        <w:rPr>
          <w:b/>
          <w:sz w:val="21"/>
        </w:rPr>
        <w:t>INTERCONNESSIONE DEVE ESSERE PREVENTIVAMENTE CONDIVISA CON LO SCRIVENTE STUDIO.</w:t>
      </w:r>
    </w:p>
    <w:p/>
    <w:p>
      <w:pPr>
        <w:pStyle w:val="ListParagraph"/>
      </w:pPr>
      <w:r>
        <w:t>1. RICONDUCIBILITA' DEL BENE ALL'ALLEGATO A</w:t>
      </w:r>
    </w:p>
    <w:p/>
    <w:p>
      <w:r>
        <w:t>2.1 Il tunnel di surgelazione a spirale CR-SP180, sulla base della scheda</w:t>
      </w:r>
    </w:p>
    <w:p>
      <w:r>
        <w:t>tecnica preliminare, appare astrattamente riconducibile alla categoria delle</w:t>
      </w:r>
    </w:p>
    <w:p>
      <w:r>
        <w:t>"macchine e impianti per la realizzazione di prodotti mediante la</w:t>
      </w:r>
    </w:p>
    <w:p>
      <w:r>
        <w:t>trasformazione dei materiali e delle materie prime" dell'allegato A, L.</w:t>
      </w:r>
    </w:p>
    <w:p>
      <w:r>
        <w:t>232/2016, in presenza delle caratteristiche obbligatorie (controllo per mezzo</w:t>
      </w:r>
    </w:p>
    <w:p>
      <w:r>
        <w:t>di CNC/PLC, interconnessione ai sistemi informatici di fabbrica con caricamento</w:t>
      </w:r>
    </w:p>
    <w:p>
      <w:r>
        <w:t>da remoto di istruzioni e/o part program, integrazione automatizzata con il</w:t>
      </w:r>
    </w:p>
    <w:p>
      <w:r>
        <w:t>sistema logistico della fabbrica o con la rete di fornitura e/o con altre</w:t>
      </w:r>
    </w:p>
    <w:p>
      <w:r>
        <w:t>macchine del ciclo produttivo, interfaccia uomo-macchina semplice e intuitiva,</w:t>
      </w:r>
    </w:p>
    <w:p>
      <w:r>
        <w:t>rispondenza ai piu' recenti parametri di sicurezza) e di almeno due delle</w:t>
      </w:r>
    </w:p>
    <w:p>
      <w:r>
        <w:t>caratteristiche ulteriori (sistemi di telemanutenzione e/o telediagnosi e/o</w:t>
      </w:r>
    </w:p>
    <w:p>
      <w:r>
        <w:t>controllo in remoto; monitoraggio continuo delle condizioni di lavoro e dei</w:t>
      </w:r>
    </w:p>
    <w:p>
      <w:r>
        <w:t>parametri di processo mediante opportuni set di sensori; caratteristiche di</w:t>
      </w:r>
    </w:p>
    <w:p>
      <w:r>
        <w:t>integrazione tra macchina fisica e/o impianto con la modellizzazione e/o la</w:t>
      </w:r>
    </w:p>
    <w:p>
      <w:r>
        <w:t>simulazione del proprio comportamento nello svolgimento del processo).</w:t>
      </w:r>
    </w:p>
    <w:p/>
    <w:p>
      <w:r>
        <w:t>2.2 Dalla conferma d'ordine risulta che il CR-SP180 e' dotato di PLC con</w:t>
      </w:r>
    </w:p>
    <w:p>
      <w:r>
        <w:t>supervisione, sensoristica di temperatura a piu' punti, registrazione in</w:t>
      </w:r>
    </w:p>
    <w:p>
      <w:r>
        <w:t>continuo dei parametri di processo e predisposizione alla telediagnosi da parte</w:t>
      </w:r>
    </w:p>
    <w:p>
      <w:r>
        <w:t>del costruttore: elementi che depongono favorevolmente. Sara' tuttavia</w:t>
      </w:r>
    </w:p>
    <w:p>
      <w:r>
        <w:t>indispensabile che il requisito dell'INTERCONNESSIONE (scambio bidirezionale di</w:t>
      </w:r>
    </w:p>
    <w:p>
      <w:r>
        <w:t>dati con il sistema gestionale aziendale mediante protocollo documentato) sia</w:t>
      </w:r>
    </w:p>
    <w:p>
      <w:r>
        <w:t>EFFETTIVO e DOCUMENTATO, non meramente potenziale.</w:t>
      </w:r>
    </w:p>
    <w:p/>
    <w:p>
      <w:r>
        <w:t>2.3 Al riguardo non possiamo non rilevare che codesta Societa' ha in corso la</w:t>
      </w:r>
    </w:p>
    <w:p>
      <w:r>
        <w:t>valutazione comparativa di due sistemi gestionali (CSB-System / SAP Business</w:t>
      </w:r>
    </w:p>
    <w:p>
      <w:r>
        <w:t>One): l'interconnessione potra' essere attestata solo verso un sistema</w:t>
      </w:r>
    </w:p>
    <w:p>
      <w:r>
        <w:t xml:space="preserve">effettivamente in esercizio. </w:t>
      </w:r>
      <w:r>
        <w:rPr>
          <w:strike/>
        </w:rPr>
        <w:t>Qualora il nuovo ERP non fosse operativo alla</w:t>
      </w:r>
    </w:p>
    <w:p>
      <w:r>
        <w:t>data di entrata in funzione del tunnel, l'interconnessione potrebbe avvenire in</w:t>
      </w:r>
    </w:p>
    <w:p>
      <w:r>
        <w:t>un primo momento verso l'attuale gestionale, purche' lo scambio bidirezionale</w:t>
      </w:r>
    </w:p>
    <w:p>
      <w:r>
        <w:t>sia reale e tracciato.</w:t>
      </w:r>
      <w:r>
        <w:rPr>
          <w:strike/>
        </w:rPr>
      </w:r>
    </w:p>
    <w:p>
      <w:r>
        <w:t>[Commento: Bellotto A. - verificare la data di interconnessione: se slitta</w:t>
      </w:r>
    </w:p>
    <w:p>
      <w:r>
        <w:t>all'anno successivo rispetto all'entrata in funzione, la quota "4.0" decorre</w:t>
      </w:r>
    </w:p>
    <w:p>
      <w:r>
        <w:t>solo dall'anno di interconnessione e nel frattempo spetta il solo beneficio</w:t>
      </w:r>
    </w:p>
    <w:p>
      <w:r>
        <w:t>ordinario ove applicabile. Chiarire con Fantin il cronoprogramma REALE prima di</w:t>
      </w:r>
    </w:p>
    <w:p>
      <w:r>
        <w:t>scrivere qualunque data. Il paragrafo cancellato va riscritto dopo la riunione.]</w:t>
      </w:r>
    </w:p>
    <w:p/>
    <w:p>
      <w:pPr>
        <w:pStyle w:val="ListParagraph"/>
      </w:pPr>
      <w:r>
        <w:t>1. PERIZIA TECNICA ASSEVERATA</w:t>
      </w:r>
    </w:p>
    <w:p/>
    <w:p>
      <w:r>
        <w:t>3.1 Poiche' il costo unitario di acquisizione del bene, comprensivo degli oneri</w:t>
      </w:r>
    </w:p>
    <w:p>
      <w:r>
        <w:t>accessori di diretta imputazione (trasporto, montaggio, opere impiantistiche</w:t>
      </w:r>
    </w:p>
    <w:p>
      <w:r>
        <w:t>strettamente necessarie: da preventivo, complessivamente superiore ad euro</w:t>
      </w:r>
    </w:p>
    <w:p>
      <w:r>
        <w:t>300.000,00), eccede la soglia di euro 300.000, ai sensi del comma 1062 dell'art.</w:t>
      </w:r>
    </w:p>
    <w:p>
      <w:r>
        <w:t>1, L. 178/2020 e' OBBLIGATORIA una perizia asseverata rilasciata da un ingegnere</w:t>
      </w:r>
    </w:p>
    <w:p>
      <w:r>
        <w:t>o da un perito industriale iscritti nei rispettivi albi professionali (o un</w:t>
      </w:r>
    </w:p>
    <w:p>
      <w:r>
        <w:t>attestato di conformita' rilasciato da ente di certificazione accreditato), da</w:t>
      </w:r>
    </w:p>
    <w:p>
      <w:r>
        <w:t>cui risulti che il bene possiede caratteristiche tecniche tali da includerlo</w:t>
      </w:r>
    </w:p>
    <w:p>
      <w:r>
        <w:t>negli elenchi di cui all'allegato A e che lo stesso e' interconnesso al sistema</w:t>
      </w:r>
    </w:p>
    <w:p>
      <w:r>
        <w:t>aziendale di gestione della produzione o alla rete di fornitura. Non e' dunque</w:t>
      </w:r>
    </w:p>
    <w:p>
      <w:r>
        <w:t>sufficiente l'autocertificazione del legale rappresentante.</w:t>
      </w:r>
    </w:p>
    <w:p/>
    <w:p>
      <w:r>
        <w:t>3.2 Suggeriamo di conferire l'incarico peritale con congruo anticipo rispetto</w:t>
      </w:r>
    </w:p>
    <w:p>
      <w:r>
        <w:t>al collaudo, cosi' che il professionista possa assistere alle prove di</w:t>
      </w:r>
    </w:p>
    <w:p>
      <w:r>
        <w:t>interconnessione. Lo Studio puo' indicare nominativi di periti gia' operanti su</w:t>
      </w:r>
    </w:p>
    <w:p>
      <w:r>
        <w:t>pratiche analoghe nel settore alimentare.</w:t>
      </w:r>
    </w:p>
    <w:p/>
    <w:p>
      <w:pPr>
        <w:pStyle w:val="ListParagraph"/>
      </w:pPr>
      <w:r>
        <w:t>1. DOCUMENTAZIONE DA PREDISPORRE E CONSERVARE</w:t>
      </w:r>
    </w:p>
    <w:p/>
    <w:p>
      <w:r>
        <w:t>4.1 A pena di revoca del beneficio, dovra' essere conservata, per tutto il</w:t>
      </w:r>
    </w:p>
    <w:p>
      <w:r>
        <w:t>periodo di fruizione e sino allo spirare dei termini di accertamento:</w:t>
      </w:r>
    </w:p>
    <w:p>
      <w:r>
        <w:t>a) conferma d'ordine e accettazione del venditore, con data certa;</w:t>
      </w:r>
    </w:p>
    <w:p>
      <w:r>
        <w:t>b) fatture di acconto e di saldo, DDT, verbale di consegna, verbale di collaudo</w:t>
      </w:r>
    </w:p>
    <w:p>
      <w:r>
        <w:t xml:space="preserve">   e verbale/report di avvenuta interconnessione con evidenza dei flussi;</w:t>
      </w:r>
    </w:p>
    <w:p>
      <w:r>
        <w:t>c) perizia asseverata di cui al par. 3, con giuramento;</w:t>
      </w:r>
    </w:p>
    <w:p>
      <w:r>
        <w:t>d) analisi tecnica riservata del perito (da conservare, non da trasmettere);</w:t>
      </w:r>
    </w:p>
    <w:p>
      <w:r>
        <w:t>e) documentazione dei pagamenti (bonifici tracciati);</w:t>
      </w:r>
    </w:p>
    <w:p>
      <w:r>
        <w:t>f) registri contabili con separata evidenza del cespite e della sua entrata in</w:t>
      </w:r>
    </w:p>
    <w:p>
      <w:r>
        <w:t xml:space="preserve">   funzione; libro cespiti aggiornato;</w:t>
      </w:r>
    </w:p>
    <w:p>
      <w:r>
        <w:t>g) comunicazione al MIMIT ai fini del monitoraggio, nei termini e con la</w:t>
      </w:r>
    </w:p>
    <w:p>
      <w:r>
        <w:t xml:space="preserve">   modulistica tempo per tempo vigenti (adempimento che curera' lo Studio).</w:t>
      </w:r>
    </w:p>
    <w:p/>
    <w:p>
      <w:r>
        <w:t>4.2 DICITURA IN FATTURA: tutte le fatture e i documenti relativi</w:t>
      </w:r>
    </w:p>
    <w:p>
      <w:r>
        <w:t>all'acquisizione del bene (comprese le fatture di acconto gia' emesse o</w:t>
      </w:r>
    </w:p>
    <w:p>
      <w:r>
        <w:t>emittende da Criotech Impianti S.r.l.) devono recare l'espresso riferimento</w:t>
      </w:r>
    </w:p>
    <w:p>
      <w:r>
        <w:t>alle disposizioni agevolative, con dicitura del tipo: "Bene agevolabile ai</w:t>
      </w:r>
    </w:p>
    <w:p>
      <w:r>
        <w:t>sensi dell'art. 1, commi 1051-1063, Legge 178/2020". In difetto, la</w:t>
      </w:r>
    </w:p>
    <w:p>
      <w:r>
        <w:t>regolarizzazione e' possibile ma onerosa (integrazione con dicitura apposta in</w:t>
      </w:r>
    </w:p>
    <w:p>
      <w:r>
        <w:t>modo indelebile sulla copia analogica ovvero integrazione elettronica secondo</w:t>
      </w:r>
    </w:p>
    <w:p>
      <w:r>
        <w:t>le indicazioni di prassi): SI PREGA DI VERIFICARE IMMEDIATAMENTE la fattura di</w:t>
      </w:r>
    </w:p>
    <w:p>
      <w:r>
        <w:t>acconto del 30% (euro 87.000,00) e, ove sprovvista, di attivare senza indugio</w:t>
      </w:r>
    </w:p>
    <w:p>
      <w:r>
        <w:t>la procedura di regolarizzazione prima di qualsiasi utilizzo del credito.</w:t>
      </w:r>
    </w:p>
    <w:p/>
    <w:p>
      <w:pPr>
        <w:pStyle w:val="ListParagraph"/>
      </w:pPr>
      <w:r>
        <w:t>1. MISURA, UTILIZZO E TEMPISTICHE DI FRUIZIONE</w:t>
      </w:r>
    </w:p>
    <w:p/>
    <w:p>
      <w:r>
        <w:t>5.1 Ferma la necessaria verifica della finestra temporale applicabile (v. par.</w:t>
      </w:r>
    </w:p>
    <w:p>
      <w:r>
        <w:t>1.3), il credito d'imposta per i beni allegato A si utilizza ESCLUSIVAMENTE in</w:t>
      </w:r>
    </w:p>
    <w:p>
      <w:r>
        <w:t>compensazione orizzontale mediante modello F24, in tre quote annuali di pari</w:t>
      </w:r>
    </w:p>
    <w:p>
      <w:r>
        <w:t>importo, a decorrere dall'anno di avvenuta INTERCONNESSIONE del bene (codici</w:t>
      </w:r>
    </w:p>
    <w:p>
      <w:r>
        <w:t>tributo tempo per tempo vigenti; per il passato, cod. 6936 con anno di</w:t>
      </w:r>
    </w:p>
    <w:p>
      <w:r>
        <w:t>riferimento). La quota annuale non utilizzata e' riportabile in avanti senza</w:t>
      </w:r>
    </w:p>
    <w:p>
      <w:r>
        <w:t>limiti temporali.</w:t>
      </w:r>
    </w:p>
    <w:p/>
    <w:p>
      <w:r>
        <w:t>5.2 Il credito non concorre alla formazione del reddito ai fini IRES ne' della</w:t>
      </w:r>
    </w:p>
    <w:p>
      <w:r>
        <w:t>base imponibile IRAP, e' cumulabile con altre agevolazioni sugli stessi costi</w:t>
      </w:r>
    </w:p>
    <w:p>
      <w:r>
        <w:t>nei limiti del costo sostenuto, e non e' soggetto ai limiti generali di</w:t>
      </w:r>
    </w:p>
    <w:p>
      <w:r>
        <w:t>compensazione, secondo quanto previsto dal comma 1059.</w:t>
      </w:r>
    </w:p>
    <w:p/>
    <w:p>
      <w:r>
        <w:t>5.3 Attenzione al c.d. RECAPTURE (comma 1060): in caso di cessione a titolo</w:t>
      </w:r>
    </w:p>
    <w:p>
      <w:r>
        <w:t>oneroso o di delocalizzazione all'estero del bene entro il 31 dicembre del</w:t>
      </w:r>
    </w:p>
    <w:p>
      <w:r>
        <w:t>secondo anno successivo a quello di entrata in funzione ovvero di</w:t>
      </w:r>
    </w:p>
    <w:p>
      <w:r>
        <w:t>interconnessione, il credito e' corrispondentemente ridotto e va riversato. Se</w:t>
      </w:r>
    </w:p>
    <w:p>
      <w:r>
        <w:t>ne tenga conto in ogni futura ipotesi di riorganizzazione, anche con</w:t>
      </w:r>
    </w:p>
    <w:p>
      <w:r>
        <w:t>riferimento al progetto di nuovo stabilimento di cui si e' fatto cenno</w:t>
      </w:r>
    </w:p>
    <w:p>
      <w:r>
        <w:t>("Aurora Vega" - Minerbe), che potrebbe comportare trasferimento di cespiti.</w:t>
      </w:r>
    </w:p>
    <w:p/>
    <w:p>
      <w:r>
        <w:t>5.4 Sotto il profilo finanziario, segnaliamo alla rag. Trentin che la prima</w:t>
      </w:r>
    </w:p>
    <w:p>
      <w:r>
        <w:t>quota del credito NON sara' utilizzabile prima dell'anno successivo a quello di</w:t>
      </w:r>
    </w:p>
    <w:p>
      <w:r>
        <w:t>interconnessione ove questa avvenga a ridosso di fine esercizio: nella</w:t>
      </w:r>
    </w:p>
    <w:p>
      <w:r>
        <w:t>pianificazione di cassa gia' in tensione per l'acconto (v. Vs. utilizzo della</w:t>
      </w:r>
    </w:p>
    <w:p>
      <w:r>
        <w:t>linea anticipo fatture) NON va dato per disponibile alcun beneficio prima delle</w:t>
      </w:r>
    </w:p>
    <w:p>
      <w:r>
        <w:t>verifiche di cui sopra.</w:t>
      </w:r>
    </w:p>
    <w:p/>
    <w:p>
      <w:pPr>
        <w:pStyle w:val="ListParagraph"/>
      </w:pPr>
      <w:r>
        <w:t>1. TRANSIZIONE 5.0 - CENNI</w:t>
      </w:r>
    </w:p>
    <w:p/>
    <w:p>
      <w:r>
        <w:t>6.1 Ove l'investimento, unitamente ad eventuali interventi correlati, consegua</w:t>
      </w:r>
    </w:p>
    <w:p>
      <w:r>
        <w:t>una riduzione certificata dei consumi energetici del processo interessato nelle</w:t>
      </w:r>
    </w:p>
    <w:p>
      <w:r>
        <w:t>misure minime di legge (il nuovo tunnel a spirale sostituisce il TS-01 a</w:t>
      </w:r>
    </w:p>
    <w:p>
      <w:r>
        <w:t>piastre, dichiaratamente energivoro: la fattispecie merita approfondimento),</w:t>
      </w:r>
    </w:p>
    <w:p>
      <w:r>
        <w:t>potrebbe risultare accessibile il piu' favorevole regime "Transizione 5.0", che</w:t>
      </w:r>
    </w:p>
    <w:p>
      <w:r>
        <w:t>richiede tuttavia certificazioni energetiche ex ante ed ex post rilasciate da</w:t>
      </w:r>
    </w:p>
    <w:p>
      <w:r>
        <w:t>valutatore indipendente e una procedura telematica di prenotazione delle</w:t>
      </w:r>
    </w:p>
    <w:p>
      <w:r>
        <w:t>risorse. La percorribilita' andra' valutata SENZA RITARDO, poiche' la scelta</w:t>
      </w:r>
    </w:p>
    <w:p>
      <w:r>
        <w:t>tra i due regimi e' alternativa sui medesimi costi e la procedura 5.0 va</w:t>
      </w:r>
    </w:p>
    <w:p>
      <w:r>
        <w:t>attivata prima del completamento dell'investimento.</w:t>
      </w:r>
    </w:p>
    <w:p/>
    <w:p>
      <w:pPr>
        <w:pStyle w:val="ListParagraph"/>
      </w:pPr>
      <w:r>
        <w:t>1. RACCOMANDAZIONI CONCLUSIVE</w:t>
      </w:r>
    </w:p>
    <w:p/>
    <w:p>
      <w:pPr>
        <w:pStyle w:val="ListBullet"/>
      </w:pPr>
      <w:r>
        <w:t>non fissare ne' comunicare a terzi date di consegna, collaudo o</w:t>
      </w:r>
    </w:p>
    <w:p>
      <w:r>
        <w:t xml:space="preserve">  interconnessione senza previo raccordo con lo Studio;</w:t>
      </w:r>
    </w:p>
    <w:p>
      <w:pPr>
        <w:pStyle w:val="ListBullet"/>
      </w:pPr>
      <w:r>
        <w:t>verificare subito la dicitura agevolativa sulla fattura di acconto;</w:t>
      </w:r>
    </w:p>
    <w:p>
      <w:pPr>
        <w:pStyle w:val="ListBullet"/>
      </w:pPr>
      <w:r>
        <w:t>conferire per tempo l'incarico per la perizia asseverata;</w:t>
      </w:r>
    </w:p>
    <w:p>
      <w:pPr>
        <w:pStyle w:val="ListBullet"/>
      </w:pPr>
      <w:r>
        <w:t>trasmettere allo Studio: conferma d'ordine controfirmata, scheda tecnica</w:t>
      </w:r>
    </w:p>
    <w:p>
      <w:r>
        <w:t xml:space="preserve">  definitiva, cronoprogramma di installazione, indicazione del sistema</w:t>
      </w:r>
    </w:p>
    <w:p>
      <w:r>
        <w:t xml:space="preserve">  gestionale verso cui avverra' l'interconnessione;</w:t>
      </w:r>
    </w:p>
    <w:p>
      <w:pPr>
        <w:pStyle w:val="ListBullet"/>
      </w:pPr>
      <w:r>
        <w:t>programmare con lo scrivente un incontro operativo, possibilmente entro la</w:t>
      </w:r>
    </w:p>
    <w:p>
      <w:r>
        <w:t xml:space="preserve">  prima decade di giugno, con presenza dell'ing. Fantin.</w:t>
      </w:r>
    </w:p>
    <w:p/>
    <w:p>
      <w:r>
        <w:t>Restiamo a disposizione per ogni chiarimento e, con l'occasione, porgiamo i</w:t>
      </w:r>
    </w:p>
    <w:p>
      <w:r>
        <w:t>migliori saluti.</w:t>
      </w:r>
    </w:p>
    <w:p/>
    <w:p>
      <w:r>
        <w:t>Studio Bellotto &amp; Associati</w:t>
      </w:r>
    </w:p>
    <w:p>
      <w:r>
        <w:t>dott. Andrea Bellotto</w:t>
      </w:r>
    </w:p>
    <w:p>
      <w:r>
        <w:t>(firmato in originale)</w:t>
      </w:r>
    </w:p>
    <w:p/>
    <w:p>
      <w:r>
        <w:t>Allegati: c/nessuno (seguira' check-list documentale)</w:t>
      </w:r>
    </w:p>
    <w:p/>
    <w:p>
      <w:r>
        <w:t>--------------------------------------------------------------------------------</w:t>
      </w:r>
    </w:p>
    <w:p>
      <w:r>
        <w:t>La presente nota ha finalita' meramente informativa ed e' resa sulla base della</w:t>
      </w:r>
    </w:p>
    <w:p>
      <w:r>
        <w:t>normativa e della prassi vigenti alla data odierna, suscettibili di modifica</w:t>
      </w:r>
    </w:p>
    <w:p>
      <w:r>
        <w:t>anche retroattiva; essa non costituisce parere professionale asseverato e non</w:t>
      </w:r>
    </w:p>
    <w:p>
      <w:r>
        <w:t>sostituisce le verifiche da condursi sulla documentazione definitiva</w:t>
      </w:r>
    </w:p>
    <w:p>
      <w:r>
        <w:t>dell'investimento. Lo Studio declina ogni responsabilita' per utilizzi del</w:t>
      </w:r>
    </w:p>
    <w:p>
      <w:r>
        <w:t>presente documento difformi dalla finalita' per cui e' stato redatto.</w:t>
      </w:r>
    </w:p>
    <w:p/>
    <w:p>
      <w:r>
        <w:t>Informativa privacy (Reg. UE 2016/679 - GDPR): i dati personali contenuti nella</w:t>
      </w:r>
    </w:p>
    <w:p>
      <w:r>
        <w:t>presente comunicazione sono trattati da Studio Bellotto &amp; Associati, in qualita'</w:t>
      </w:r>
    </w:p>
    <w:p>
      <w:r>
        <w:t>di titolare del trattamento, per l'esecuzione dell'incarico professionale</w:t>
      </w:r>
    </w:p>
    <w:p>
      <w:r>
        <w:t>conferito e per l'adempimento dei connessi obblighi di legge, con strumenti</w:t>
      </w:r>
    </w:p>
    <w:p>
      <w:r>
        <w:t>manuali ed informatici, ad opera di soggetti autorizzati. I dati non saranno</w:t>
      </w:r>
    </w:p>
    <w:p>
      <w:r>
        <w:t>diffusi e potranno essere comunicati a terzi esclusivamente nei limiti</w:t>
      </w:r>
    </w:p>
    <w:p>
      <w:r>
        <w:t>necessari all'esecuzione dell'incarico (enti pubblici, Agenzia delle Entrate,</w:t>
      </w:r>
    </w:p>
    <w:p>
      <w:r>
        <w:t>professionisti incaricati). L'interessato puo' esercitare i diritti di cui agli</w:t>
      </w:r>
    </w:p>
    <w:p>
      <w:r>
        <w:t>artt. 15-22 GDPR scrivendo a segreteria@studiobellotto.it. Informativa completa</w:t>
      </w:r>
    </w:p>
    <w:p>
      <w:r>
        <w:t>disponibile presso lo Studio. La presente comunicazione e i suoi allegati sono</w:t>
      </w:r>
    </w:p>
    <w:p>
      <w:r>
        <w:t>riservati e destinati esclusivamente al destinatario indicato: chiunque la</w:t>
      </w:r>
    </w:p>
    <w:p>
      <w:r>
        <w:t>riceva per errore e' pregato di darne notizia al mittente e di distruggerla,</w:t>
      </w:r>
    </w:p>
    <w:p>
      <w:r>
        <w:t>essendo vietati la copia e l'inoltro non autorizzati.</w:t>
      </w:r>
    </w:p>
    <w:p>
      <w:r>
        <w:t>--------------------------------------------------------------------------------</w:t>
      </w:r>
    </w:p>
    <w:p>
      <w:r>
        <w:t>2026/412/AB - pratica AURORA FOOD GROUP - cespiti/agevolazioni - resp. AB/mc</w:t>
      </w:r>
    </w:p>
    <w:sectPr w:rsidR="00FC693F" w:rsidRPr="0006063C" w:rsidSect="00034616">
      <w:pgSz w:w="12240" w:h="15840"/>
      <w:pgMar w:top="1440" w:right="1224" w:bottom="144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LibreOffice/7.3.7.2</Application>
  <Company>Aurora Food Group S.r.l.</Company>
  <AppVersion>16.0300</AppVersion>
  <TotalTime>690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 commercialista credito imposta beni strumentali</dc:title>
  <dc:creator>Andrea Bellotto</dc:creator>
  <cp:lastModifiedBy>L. Trentin</cp:lastModifiedBy>
  <cp:revision>17</cp:revision>
  <dc:description/>
  <dcterms:created xsi:type="dcterms:W3CDTF">2025-08-09T08:52:46Z</dcterms:created>
  <dcterms:modified xsi:type="dcterms:W3CDTF">2026-06-08T09:52:46Z</dcterms:modified>
  <cp:company>Aurora Food Group S.r.l.</cp:company>
</cp:coreProperties>
</file>