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AURORA FOOD GROUP S.r.l.</w:t>
      </w:r>
    </w:p>
    <w:p/>
    <w:p>
      <w:pPr>
        <w:pStyle w:val="Heading2"/>
      </w:pPr>
      <w:r>
        <w:t>POLITICA PER LA QUALITÀ E LA SICUREZZA ALIMENTARE — ANNO 2026</w:t>
      </w:r>
    </w:p>
    <w:p/>
    <w:p>
      <w:r>
        <w:t>Documento DOC-QA-01 rev. 8 — emissione 12/01/2026 — distribuzione: bacheche di reparto, sala riunioni, intranet, copia ai nuovi assunti con il pacchetto di ingresso</w:t>
      </w:r>
    </w:p>
    <w:p/>
    <w:p>
      <w:r>
        <w:rPr>
          <w:i/>
          <w:color w:val="C00000"/>
          <w:sz w:val="17"/>
          <w:highlight w:val="yellow"/>
        </w:rPr>
        <w:t>[Marchetti E. - rev.8: aggiornati gli obiettivi numerici 2026 e rafforzato il paragrafo sulla cultura della sicurezza alimentare (richiesta esplicita BRCGS Issue 9, cl. 1.1.2). Da far firmare al titolare PRIMA della riunione di riesame di gennaio, non dopo come l'anno scorso.]</w:t>
      </w:r>
    </w:p>
    <w:p/>
    <w:p>
      <w:r>
        <w:t>La Direzione di Aurora Food Group S.r.l. considera la sicurezza alimentare e la qualità dei propri prodotti la condizione prima della propria presenza sul mercato. Produciamo prodotti da forno farciti e snack salati in atmosfera protettiva e croissanteria surgelata, anche a marchio dei nostri clienti: ogni confezione che esce dallo stabilimento di Cologna Veneta porta con sé la nostra reputazione e quella di chi si fida di noi.</w:t>
      </w:r>
    </w:p>
    <w:p/>
    <w:p>
      <w:pPr>
        <w:pStyle w:val="Heading2"/>
      </w:pPr>
      <w:r>
        <w:t>I NOSTRI IMPEGNI</w:t>
      </w:r>
    </w:p>
    <w:p/>
    <w:p>
      <w:r>
        <w:t>La Direzione si impegna a:</w:t>
      </w:r>
    </w:p>
    <w:p/>
    <w:p>
      <w:pPr>
        <w:pStyle w:val="ListParagraph"/>
      </w:pPr>
      <w:r>
        <w:t>1. immettere sul mercato esclusivamente prodotti sicuri, legali, autentici e conformi alle specifiche concordate con i clienti;</w:t>
      </w:r>
    </w:p>
    <w:p>
      <w:pPr>
        <w:pStyle w:val="ListParagraph"/>
      </w:pPr>
      <w:r>
        <w:t>2. mantenere e migliorare un sistema di gestione conforme agli standard BRCGS Food Safety (attuale grade AA) e IFS Food (attuale Higher Level), certificato da ente terzo accreditato;</w:t>
      </w:r>
    </w:p>
    <w:p>
      <w:pPr>
        <w:pStyle w:val="ListParagraph"/>
      </w:pPr>
      <w:r>
        <w:t>3. rispettare la legislazione alimentare applicabile, con particolare riferimento ai Reg. (CE) 178/2002 e 852/2004 e alla normativa in materia di etichettatura e allergeni;</w:t>
      </w:r>
    </w:p>
    <w:p>
      <w:pPr>
        <w:pStyle w:val="ListParagraph"/>
      </w:pPr>
      <w:r>
        <w:t>4. assicurare le risorse — umane, tecniche ed economiche — necessarie al funzionamento e al miglioramento del sistema, come dimostrato dal piano investimenti 2026 che destina alla Linea 3 il rinnovo completo del processo di surgelazione;</w:t>
      </w:r>
    </w:p>
    <w:p>
      <w:pPr>
        <w:pStyle w:val="ListParagraph"/>
      </w:pPr>
      <w:r>
        <w:t>5. gestire i rischi per la sicurezza alimentare secondo la metodologia HACCP, presidiando i punti critici di controllo identificati e i programmi di prerequisito, inclusa la gestione degli allergeni;</w:t>
      </w:r>
    </w:p>
    <w:p>
      <w:pPr>
        <w:pStyle w:val="ListParagraph"/>
      </w:pPr>
      <w:r>
        <w:t>6. ascoltare i clienti e i consumatori, trattando ogni reclamo come un'occasione di miglioramento secondo la procedura PRO-QA-08;</w:t>
      </w:r>
    </w:p>
    <w:p>
      <w:pPr>
        <w:pStyle w:val="ListParagraph"/>
      </w:pPr>
      <w:r>
        <w:t>7. selezionare e monitorare i fornitori di materie prime, imballi e servizi secondo criteri documentati di sicurezza e affidabilità;</w:t>
      </w:r>
    </w:p>
    <w:p>
      <w:pPr>
        <w:pStyle w:val="ListParagraph"/>
      </w:pPr>
      <w:r>
        <w:t>8. promuovere a tutti i livelli una cultura positiva della sicurezza alimentare.</w:t>
      </w:r>
    </w:p>
    <w:p/>
    <w:p>
      <w:pPr>
        <w:pStyle w:val="ListParagraph"/>
      </w:pPr>
      <w:r>
        <w:rPr>
          <w:strike/>
          <w:color w:val="888888"/>
        </w:rPr>
        <w:t>9. perseguire la crescita del fatturato quale obiettivo primario dell'organizzazione.</w:t>
      </w:r>
    </w:p>
    <w:p/>
    <w:p>
      <w:r>
        <w:rPr>
          <w:i/>
          <w:color w:val="C00000"/>
          <w:sz w:val="17"/>
          <w:highlight w:val="yellow"/>
        </w:rPr>
        <w:t>[Vicentini C. - punto 9 da togliere: in una politica per la qualità l'obiettivo primario dichiarato non può essere il fatturato, in audit è un rilievo servito su un piatto. La crescita sta nel budget, non qui.]</w:t>
      </w:r>
    </w:p>
    <w:p/>
    <w:p>
      <w:pPr>
        <w:pStyle w:val="Heading2"/>
      </w:pPr>
      <w:r>
        <w:t>LA CULTURA DELLA SICUREZZA ALIMENTARE</w:t>
      </w:r>
    </w:p>
    <w:p/>
    <w:p>
      <w:r>
        <w:t>Crediamo che la sicurezza alimentare non sia responsabilità del solo ufficio Qualità, ma il risultato dei gesti quotidiani di ognuna delle 50 persone che lavorano in Aurora. Per questo la Direzione si impegna a:</w:t>
      </w:r>
    </w:p>
    <w:p/>
    <w:p>
      <w:pPr>
        <w:pStyle w:val="ListBullet"/>
      </w:pPr>
      <w:r>
        <w:t>garantire che ogni persona, a ogni livello, possa segnalare un problema, un dubbio o un errore — proprio o altrui — senza timore di conseguenze: preferiamo un lotto fermato per eccesso di prudenza a una firma messa per abitudine;</w:t>
      </w:r>
    </w:p>
    <w:p>
      <w:pPr>
        <w:pStyle w:val="ListBullet"/>
      </w:pPr>
      <w:r>
        <w:t>misurare annualmente la cultura della sicurezza alimentare attraverso il questionario anonimo al personale e discuterne gli esiti nel riesame di direzione, con un piano di azioni dedicato;</w:t>
      </w:r>
    </w:p>
    <w:p>
      <w:pPr>
        <w:pStyle w:val="ListBullet"/>
      </w:pPr>
      <w:r>
        <w:t>assicurare che la formazione non sia un adempimento ma un momento di comprensione: le sessioni si tengono in linguaggio semplice e con esempi del nostro stabilimento, e la loro efficacia viene verificata;</w:t>
      </w:r>
    </w:p>
    <w:p>
      <w:pPr>
        <w:pStyle w:val="ListBullet"/>
      </w:pPr>
      <w:r>
        <w:t>dare l'esempio: la Direzione partecipa ai sopralluoghi igienici programmati e rispetta per prima le regole di accesso ai reparti.</w:t>
      </w:r>
    </w:p>
    <w:p/>
    <w:p>
      <w:r>
        <w:rPr>
          <w:i/>
          <w:color w:val="C00000"/>
          <w:sz w:val="17"/>
          <w:highlight w:val="yellow"/>
        </w:rPr>
        <w:t>[Marchetti E. - la frase sulla firma "messa per abitudine" l'ho voluta io, dopo febbraio. Se qualcuno in produzione la legge e si riconosce, meglio: è scritta apposta.]</w:t>
      </w:r>
    </w:p>
    <w:p/>
    <w:p>
      <w:pPr>
        <w:pStyle w:val="Heading2"/>
      </w:pPr>
      <w:r>
        <w:t>FOOD DEFENSE E FOOD FRAUD</w:t>
      </w:r>
    </w:p>
    <w:p/>
    <w:p>
      <w:r>
        <w:t>L'azienda mantiene attivi un piano di food defense, per prevenire atti intenzionali di contaminazione o sabotaggio (valutazione delle aree sensibili, controllo degli accessi, gestione dei visitatori e degli appaltatori), e un piano di valutazione della vulnerabilità alle frodi alimentari sulle materie prime, con particolare attenzione alle categorie a maggior rischio per il nostro processo (farine, burro, olio di girasole alto oleico, prodotti biologici). Entrambi i piani sono riesaminati almeno annualmente dal team dedicato e aggiornati al variare delle condizioni di fornitura.</w:t>
      </w:r>
    </w:p>
    <w:p/>
    <w:p>
      <w:pPr>
        <w:pStyle w:val="Heading2"/>
      </w:pPr>
      <w:r>
        <w:t>GLI OBIETTIVI MISURABILI PER IL 2026</w:t>
      </w:r>
    </w:p>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rPr>
            </w:r>
            <w:r>
              <w:rPr>
                <w:b/>
                <w:sz w:val="17"/>
              </w:rPr>
              <w:t>Obiettivo</w:t>
            </w:r>
          </w:p>
        </w:tc>
        <w:tc>
          <w:tcPr>
            <w:tcW w:type="dxa" w:w="1958"/>
          </w:tcPr>
          <w:p>
            <w:r>
              <w:rPr>
                <w:b/>
              </w:rPr>
            </w:r>
            <w:r>
              <w:rPr>
                <w:b/>
                <w:sz w:val="17"/>
              </w:rPr>
              <w:t>Indicatore</w:t>
            </w:r>
          </w:p>
        </w:tc>
        <w:tc>
          <w:tcPr>
            <w:tcW w:type="dxa" w:w="1958"/>
          </w:tcPr>
          <w:p>
            <w:r>
              <w:rPr>
                <w:b/>
              </w:rPr>
            </w:r>
            <w:r>
              <w:rPr>
                <w:b/>
                <w:sz w:val="17"/>
              </w:rPr>
              <w:t>Valore 2025</w:t>
            </w:r>
          </w:p>
        </w:tc>
        <w:tc>
          <w:tcPr>
            <w:tcW w:type="dxa" w:w="1958"/>
          </w:tcPr>
          <w:p>
            <w:r>
              <w:rPr>
                <w:b/>
              </w:rPr>
            </w:r>
            <w:r>
              <w:rPr>
                <w:b/>
                <w:sz w:val="17"/>
              </w:rPr>
              <w:t>Target 2026</w:t>
            </w:r>
          </w:p>
        </w:tc>
        <w:tc>
          <w:tcPr>
            <w:tcW w:type="dxa" w:w="1958"/>
          </w:tcPr>
          <w:p>
            <w:r>
              <w:rPr>
                <w:b/>
              </w:rPr>
            </w:r>
            <w:r>
              <w:rPr>
                <w:b/>
                <w:sz w:val="17"/>
              </w:rPr>
              <w:t>Responsabile</w:t>
            </w:r>
          </w:p>
        </w:tc>
      </w:tr>
      <w:tr>
        <w:tc>
          <w:tcPr>
            <w:tcW w:type="dxa" w:w="1958"/>
          </w:tcPr>
          <w:p>
            <w:r/>
            <w:r>
              <w:rPr>
                <w:sz w:val="17"/>
              </w:rPr>
              <w:t>Mantenimento certificazioni</w:t>
            </w:r>
          </w:p>
        </w:tc>
        <w:tc>
          <w:tcPr>
            <w:tcW w:type="dxa" w:w="1958"/>
          </w:tcPr>
          <w:p>
            <w:r/>
            <w:r>
              <w:rPr>
                <w:sz w:val="17"/>
              </w:rPr>
              <w:t>esito audit BRCGS e IFS</w:t>
            </w:r>
          </w:p>
        </w:tc>
        <w:tc>
          <w:tcPr>
            <w:tcW w:type="dxa" w:w="1958"/>
          </w:tcPr>
          <w:p>
            <w:r/>
            <w:r>
              <w:rPr>
                <w:sz w:val="17"/>
              </w:rPr>
              <w:t>AA / Higher Level 97,32%</w:t>
            </w:r>
          </w:p>
        </w:tc>
        <w:tc>
          <w:tcPr>
            <w:tcW w:type="dxa" w:w="1958"/>
          </w:tcPr>
          <w:p>
            <w:r/>
            <w:r>
              <w:rPr>
                <w:sz w:val="17"/>
              </w:rPr>
              <w:t>conferma grade e livello</w:t>
            </w:r>
          </w:p>
        </w:tc>
        <w:tc>
          <w:tcPr>
            <w:tcW w:type="dxa" w:w="1958"/>
          </w:tcPr>
          <w:p>
            <w:r/>
            <w:r>
              <w:rPr>
                <w:sz w:val="17"/>
              </w:rPr>
              <w:t>RSGQ</w:t>
            </w:r>
          </w:p>
        </w:tc>
      </w:tr>
      <w:tr>
        <w:tc>
          <w:tcPr>
            <w:tcW w:type="dxa" w:w="1958"/>
          </w:tcPr>
          <w:p>
            <w:r/>
            <w:r>
              <w:rPr>
                <w:sz w:val="17"/>
              </w:rPr>
              <w:t>Reclami cliente e consumatore</w:t>
            </w:r>
          </w:p>
        </w:tc>
        <w:tc>
          <w:tcPr>
            <w:tcW w:type="dxa" w:w="1958"/>
          </w:tcPr>
          <w:p>
            <w:r/>
            <w:r>
              <w:rPr>
                <w:sz w:val="17"/>
              </w:rPr>
              <w:t>reclami per milione di confezioni</w:t>
            </w:r>
          </w:p>
        </w:tc>
        <w:tc>
          <w:tcPr>
            <w:tcW w:type="dxa" w:w="1958"/>
          </w:tcPr>
          <w:p>
            <w:r/>
            <w:r>
              <w:rPr>
                <w:sz w:val="17"/>
              </w:rPr>
              <w:t>9,4</w:t>
            </w:r>
          </w:p>
        </w:tc>
        <w:tc>
          <w:tcPr>
            <w:tcW w:type="dxa" w:w="1958"/>
          </w:tcPr>
          <w:p>
            <w:r/>
            <w:r>
              <w:rPr>
                <w:sz w:val="17"/>
              </w:rPr>
              <w:t>&lt; 8,0</w:t>
            </w:r>
          </w:p>
        </w:tc>
        <w:tc>
          <w:tcPr>
            <w:tcW w:type="dxa" w:w="1958"/>
          </w:tcPr>
          <w:p>
            <w:r/>
            <w:r>
              <w:rPr>
                <w:sz w:val="17"/>
              </w:rPr>
              <w:t>RSGQ</w:t>
            </w:r>
          </w:p>
        </w:tc>
      </w:tr>
      <w:tr>
        <w:tc>
          <w:tcPr>
            <w:tcW w:type="dxa" w:w="1958"/>
          </w:tcPr>
          <w:p>
            <w:r/>
            <w:r>
              <w:rPr>
                <w:sz w:val="17"/>
              </w:rPr>
              <w:t>Reclami critici (classe 1)</w:t>
            </w:r>
          </w:p>
        </w:tc>
        <w:tc>
          <w:tcPr>
            <w:tcW w:type="dxa" w:w="1958"/>
          </w:tcPr>
          <w:p>
            <w:r/>
            <w:r>
              <w:rPr>
                <w:sz w:val="17"/>
              </w:rPr>
              <w:t>numero assoluto</w:t>
            </w:r>
          </w:p>
        </w:tc>
        <w:tc>
          <w:tcPr>
            <w:tcW w:type="dxa" w:w="1958"/>
          </w:tcPr>
          <w:p>
            <w:r/>
            <w:r>
              <w:rPr>
                <w:sz w:val="17"/>
              </w:rPr>
              <w:t>1</w:t>
            </w:r>
          </w:p>
        </w:tc>
        <w:tc>
          <w:tcPr>
            <w:tcW w:type="dxa" w:w="1958"/>
          </w:tcPr>
          <w:p>
            <w:r/>
            <w:r>
              <w:rPr>
                <w:sz w:val="17"/>
              </w:rPr>
              <w:t>0</w:t>
            </w:r>
          </w:p>
        </w:tc>
        <w:tc>
          <w:tcPr>
            <w:tcW w:type="dxa" w:w="1958"/>
          </w:tcPr>
          <w:p>
            <w:r/>
            <w:r>
              <w:rPr>
                <w:sz w:val="17"/>
              </w:rPr>
              <w:t>RSGQ</w:t>
            </w:r>
          </w:p>
        </w:tc>
      </w:tr>
      <w:tr>
        <w:tc>
          <w:tcPr>
            <w:tcW w:type="dxa" w:w="1958"/>
          </w:tcPr>
          <w:p>
            <w:r/>
            <w:r>
              <w:rPr>
                <w:sz w:val="17"/>
              </w:rPr>
              <w:t>Non conformità audit interni</w:t>
            </w:r>
          </w:p>
        </w:tc>
        <w:tc>
          <w:tcPr>
            <w:tcW w:type="dxa" w:w="1958"/>
          </w:tcPr>
          <w:p>
            <w:r/>
            <w:r>
              <w:rPr>
                <w:sz w:val="17"/>
              </w:rPr>
              <w:t>NC maggiori</w:t>
            </w:r>
          </w:p>
        </w:tc>
        <w:tc>
          <w:tcPr>
            <w:tcW w:type="dxa" w:w="1958"/>
          </w:tcPr>
          <w:p>
            <w:r/>
            <w:r>
              <w:rPr>
                <w:sz w:val="17"/>
              </w:rPr>
              <w:t>2</w:t>
            </w:r>
          </w:p>
        </w:tc>
        <w:tc>
          <w:tcPr>
            <w:tcW w:type="dxa" w:w="1958"/>
          </w:tcPr>
          <w:p>
            <w:r/>
            <w:r>
              <w:rPr>
                <w:sz w:val="17"/>
              </w:rPr>
              <w:t>0</w:t>
            </w:r>
          </w:p>
        </w:tc>
        <w:tc>
          <w:tcPr>
            <w:tcW w:type="dxa" w:w="1958"/>
          </w:tcPr>
          <w:p>
            <w:r/>
            <w:r>
              <w:rPr>
                <w:sz w:val="17"/>
              </w:rPr>
              <w:t>RSGQ</w:t>
            </w:r>
          </w:p>
        </w:tc>
      </w:tr>
      <w:tr>
        <w:tc>
          <w:tcPr>
            <w:tcW w:type="dxa" w:w="1958"/>
          </w:tcPr>
          <w:p>
            <w:r/>
            <w:r>
              <w:rPr>
                <w:sz w:val="17"/>
              </w:rPr>
              <w:t>Chiusura azioni correttive</w:t>
            </w:r>
          </w:p>
        </w:tc>
        <w:tc>
          <w:tcPr>
            <w:tcW w:type="dxa" w:w="1958"/>
          </w:tcPr>
          <w:p>
            <w:r/>
            <w:r>
              <w:rPr>
                <w:sz w:val="17"/>
              </w:rPr>
              <w:t>% chiuse entro scadenza</w:t>
            </w:r>
          </w:p>
        </w:tc>
        <w:tc>
          <w:tcPr>
            <w:tcW w:type="dxa" w:w="1958"/>
          </w:tcPr>
          <w:p>
            <w:r/>
            <w:r>
              <w:rPr>
                <w:sz w:val="17"/>
              </w:rPr>
              <w:t>78%</w:t>
            </w:r>
          </w:p>
        </w:tc>
        <w:tc>
          <w:tcPr>
            <w:tcW w:type="dxa" w:w="1958"/>
          </w:tcPr>
          <w:p>
            <w:r/>
            <w:r>
              <w:rPr>
                <w:sz w:val="17"/>
              </w:rPr>
              <w:t>≥ 95%</w:t>
            </w:r>
          </w:p>
        </w:tc>
        <w:tc>
          <w:tcPr>
            <w:tcW w:type="dxa" w:w="1958"/>
          </w:tcPr>
          <w:p>
            <w:r/>
            <w:r>
              <w:rPr>
                <w:sz w:val="17"/>
              </w:rPr>
              <w:t>tutte le funzioni</w:t>
            </w:r>
          </w:p>
        </w:tc>
      </w:tr>
      <w:tr>
        <w:tc>
          <w:tcPr>
            <w:tcW w:type="dxa" w:w="1958"/>
          </w:tcPr>
          <w:p>
            <w:r/>
            <w:r>
              <w:rPr>
                <w:sz w:val="17"/>
              </w:rPr>
              <w:t>Registrazioni CCP verificate in seconda firma</w:t>
            </w:r>
          </w:p>
        </w:tc>
        <w:tc>
          <w:tcPr>
            <w:tcW w:type="dxa" w:w="1958"/>
          </w:tcPr>
          <w:p>
            <w:r/>
            <w:r>
              <w:rPr>
                <w:sz w:val="17"/>
              </w:rPr>
              <w:t>% conformità a campione</w:t>
            </w:r>
          </w:p>
        </w:tc>
        <w:tc>
          <w:tcPr>
            <w:tcW w:type="dxa" w:w="1958"/>
          </w:tcPr>
          <w:p>
            <w:r/>
            <w:r>
              <w:rPr>
                <w:sz w:val="17"/>
              </w:rPr>
              <w:t>non misurato</w:t>
            </w:r>
          </w:p>
        </w:tc>
        <w:tc>
          <w:tcPr>
            <w:tcW w:type="dxa" w:w="1958"/>
          </w:tcPr>
          <w:p>
            <w:r/>
            <w:r>
              <w:rPr>
                <w:sz w:val="17"/>
              </w:rPr>
              <w:t>100%</w:t>
            </w:r>
          </w:p>
        </w:tc>
        <w:tc>
          <w:tcPr>
            <w:tcW w:type="dxa" w:w="1958"/>
          </w:tcPr>
          <w:p>
            <w:r/>
            <w:r>
              <w:rPr>
                <w:sz w:val="17"/>
              </w:rPr>
              <w:t>Resp. Produzione</w:t>
            </w:r>
          </w:p>
        </w:tc>
      </w:tr>
      <w:tr>
        <w:tc>
          <w:tcPr>
            <w:tcW w:type="dxa" w:w="1958"/>
          </w:tcPr>
          <w:p>
            <w:r/>
            <w:r>
              <w:rPr>
                <w:sz w:val="17"/>
              </w:rPr>
              <w:t>Formazione sicurezza alimentare</w:t>
            </w:r>
          </w:p>
        </w:tc>
        <w:tc>
          <w:tcPr>
            <w:tcW w:type="dxa" w:w="1958"/>
          </w:tcPr>
          <w:p>
            <w:r/>
            <w:r>
              <w:rPr>
                <w:sz w:val="17"/>
              </w:rPr>
              <w:t>ore/addetto/anno</w:t>
            </w:r>
          </w:p>
        </w:tc>
        <w:tc>
          <w:tcPr>
            <w:tcW w:type="dxa" w:w="1958"/>
          </w:tcPr>
          <w:p>
            <w:r/>
            <w:r>
              <w:rPr>
                <w:sz w:val="17"/>
              </w:rPr>
              <w:t>4,2</w:t>
            </w:r>
          </w:p>
        </w:tc>
        <w:tc>
          <w:tcPr>
            <w:tcW w:type="dxa" w:w="1958"/>
          </w:tcPr>
          <w:p>
            <w:r/>
            <w:r>
              <w:rPr>
                <w:sz w:val="17"/>
              </w:rPr>
              <w:t>≥ 6</w:t>
            </w:r>
          </w:p>
        </w:tc>
        <w:tc>
          <w:tcPr>
            <w:tcW w:type="dxa" w:w="1958"/>
          </w:tcPr>
          <w:p>
            <w:r/>
            <w:r>
              <w:rPr>
                <w:sz w:val="17"/>
              </w:rPr>
              <w:t>HR + RSGQ</w:t>
            </w:r>
          </w:p>
        </w:tc>
      </w:tr>
      <w:tr>
        <w:tc>
          <w:tcPr>
            <w:tcW w:type="dxa" w:w="1958"/>
          </w:tcPr>
          <w:p>
            <w:r/>
            <w:r>
              <w:rPr>
                <w:sz w:val="17"/>
              </w:rPr>
              <w:t>Cultura sicurezza alimentare</w:t>
            </w:r>
          </w:p>
        </w:tc>
        <w:tc>
          <w:tcPr>
            <w:tcW w:type="dxa" w:w="1958"/>
          </w:tcPr>
          <w:p>
            <w:r/>
            <w:r>
              <w:rPr>
                <w:sz w:val="17"/>
              </w:rPr>
              <w:t>partecipazione questionario anonimo</w:t>
            </w:r>
          </w:p>
        </w:tc>
        <w:tc>
          <w:tcPr>
            <w:tcW w:type="dxa" w:w="1958"/>
          </w:tcPr>
          <w:p>
            <w:r/>
            <w:r>
              <w:rPr>
                <w:sz w:val="17"/>
              </w:rPr>
              <w:t>61%</w:t>
            </w:r>
          </w:p>
        </w:tc>
        <w:tc>
          <w:tcPr>
            <w:tcW w:type="dxa" w:w="1958"/>
          </w:tcPr>
          <w:p>
            <w:r/>
            <w:r>
              <w:rPr>
                <w:sz w:val="17"/>
              </w:rPr>
              <w:t>≥ 80%</w:t>
            </w:r>
          </w:p>
        </w:tc>
        <w:tc>
          <w:tcPr>
            <w:tcW w:type="dxa" w:w="1958"/>
          </w:tcPr>
          <w:p>
            <w:r/>
            <w:r>
              <w:rPr>
                <w:sz w:val="17"/>
              </w:rPr>
              <w:t>Direzione</w:t>
            </w:r>
          </w:p>
        </w:tc>
      </w:tr>
      <w:tr>
        <w:tc>
          <w:tcPr>
            <w:tcW w:type="dxa" w:w="1958"/>
          </w:tcPr>
          <w:p>
            <w:r/>
            <w:r>
              <w:rPr>
                <w:sz w:val="17"/>
              </w:rPr>
              <w:t>Efficienza risorsa idrica CIP</w:t>
            </w:r>
          </w:p>
        </w:tc>
        <w:tc>
          <w:tcPr>
            <w:tcW w:type="dxa" w:w="1958"/>
          </w:tcPr>
          <w:p>
            <w:r/>
            <w:r>
              <w:rPr>
                <w:sz w:val="17"/>
              </w:rPr>
              <w:t>m3 acqua/ton prodotto</w:t>
            </w:r>
          </w:p>
        </w:tc>
        <w:tc>
          <w:tcPr>
            <w:tcW w:type="dxa" w:w="1958"/>
          </w:tcPr>
          <w:p>
            <w:r/>
            <w:r>
              <w:rPr>
                <w:sz w:val="17"/>
              </w:rPr>
              <w:t>3,9</w:t>
            </w:r>
          </w:p>
        </w:tc>
        <w:tc>
          <w:tcPr>
            <w:tcW w:type="dxa" w:w="1958"/>
          </w:tcPr>
          <w:p>
            <w:r/>
            <w:r>
              <w:rPr>
                <w:sz w:val="17"/>
              </w:rPr>
              <w:t>≤ 3,6</w:t>
            </w:r>
          </w:p>
        </w:tc>
        <w:tc>
          <w:tcPr>
            <w:tcW w:type="dxa" w:w="1958"/>
          </w:tcPr>
          <w:p>
            <w:r/>
            <w:r>
              <w:rPr>
                <w:sz w:val="17"/>
              </w:rPr>
              <w:t>Manutenzione</w:t>
            </w:r>
          </w:p>
        </w:tc>
      </w:tr>
    </w:tbl>
    <w:p/>
    <w:p>
      <w:r>
        <w:rPr>
          <w:i/>
          <w:color w:val="C00000"/>
          <w:sz w:val="17"/>
          <w:highlight w:val="yellow"/>
        </w:rPr>
        <w:t>[Pozzato S. - il 78% delle azioni correttive chiuse in scadenza è il dato vero del registro 2025, l'ho ricontrollato. Fa impressione scritto qui, ma almeno il target 95% ha un senso.]</w:t>
      </w:r>
    </w:p>
    <w:p/>
    <w:p>
      <w:pPr>
        <w:pStyle w:val="Heading2"/>
      </w:pPr>
      <w:r>
        <w:t>COMUNICAZIONE</w:t>
      </w:r>
    </w:p>
    <w:p/>
    <w:p>
      <w:r>
        <w:t>La presente Politica è affissa nelle bacheche di reparto, illustrata a ogni nuovo assunto nel percorso di inserimento, richiamata nelle sessioni di formazione annuali e resa disponibile alle parti interessate esterne che ne facciano richiesta. Gli obiettivi e il loro andamento sono comunicati al personale con incontri di reparto almeno semestrali.</w:t>
      </w:r>
    </w:p>
    <w:p/>
    <w:p>
      <w:pPr>
        <w:pStyle w:val="Heading2"/>
      </w:pPr>
      <w:r>
        <w:t>RIESAME</w:t>
      </w:r>
    </w:p>
    <w:p/>
    <w:p>
      <w:r>
        <w:t>La Politica e gli obiettivi sono riesaminati almeno una volta l'anno nel riesame di direzione, e comunque al verificarsi di cambiamenti significativi di processo, prodotto, mercato o normativa. Il riesame verifica l'adeguatezza della Politica, il grado di raggiungimento degli obiettivi e la disponibilità delle risorse.</w:t>
      </w:r>
    </w:p>
    <w:p/>
    <w:p>
      <w:r>
        <w:t>La Direzione chiede a ogni collaboratore di fare propria questa Politica: nessun obiettivo di produzione, di costo o di consegna giustifica una deroga alla sicurezza degli alimenti.</w:t>
      </w:r>
    </w:p>
    <w:p/>
    <w:p>
      <w:r>
        <w:t>Cologna Veneta, 12 gennaio 2026</w:t>
      </w:r>
    </w:p>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r>
            <w:r>
              <w:rPr>
                <w:b/>
                <w:sz w:val="17"/>
              </w:rPr>
              <w:t>Ruolo</w:t>
            </w:r>
          </w:p>
        </w:tc>
        <w:tc>
          <w:tcPr>
            <w:tcW w:type="dxa" w:w="3264"/>
          </w:tcPr>
          <w:p>
            <w:r>
              <w:rPr>
                <w:b/>
              </w:rPr>
            </w:r>
            <w:r>
              <w:rPr>
                <w:b/>
                <w:sz w:val="17"/>
              </w:rPr>
              <w:t>Nome</w:t>
            </w:r>
          </w:p>
        </w:tc>
        <w:tc>
          <w:tcPr>
            <w:tcW w:type="dxa" w:w="3264"/>
          </w:tcPr>
          <w:p>
            <w:r>
              <w:rPr>
                <w:b/>
              </w:rPr>
            </w:r>
            <w:r>
              <w:rPr>
                <w:b/>
                <w:sz w:val="17"/>
              </w:rPr>
              <w:t>Firma</w:t>
            </w:r>
          </w:p>
        </w:tc>
      </w:tr>
      <w:tr>
        <w:tc>
          <w:tcPr>
            <w:tcW w:type="dxa" w:w="3264"/>
          </w:tcPr>
          <w:p>
            <w:r/>
            <w:r>
              <w:rPr>
                <w:sz w:val="17"/>
              </w:rPr>
              <w:t>Il Legale Rappresentante — Amministratore Delegato</w:t>
            </w:r>
          </w:p>
        </w:tc>
        <w:tc>
          <w:tcPr>
            <w:tcW w:type="dxa" w:w="3264"/>
          </w:tcPr>
          <w:p>
            <w:r/>
            <w:r>
              <w:rPr>
                <w:sz w:val="17"/>
              </w:rPr>
              <w:t>Giancarlo Bertoldi</w:t>
            </w:r>
          </w:p>
        </w:tc>
        <w:tc>
          <w:tcPr>
            <w:tcW w:type="dxa" w:w="3264"/>
          </w:tcPr>
          <w:p>
            <w:r/>
            <w:r>
              <w:rPr>
                <w:sz w:val="17"/>
              </w:rPr>
              <w:t>_______________________</w:t>
            </w:r>
          </w:p>
        </w:tc>
      </w:tr>
    </w:tbl>
    <w:p/>
    <w:p>
      <w:r>
        <w:rPr>
          <w:i/>
          <w:color w:val="C00000"/>
          <w:sz w:val="17"/>
          <w:highlight w:val="yellow"/>
        </w:rPr>
        <w:t>[Sartori F. - firmata dal titolare il 15/01, l'originale è nel raccoglitore DOC-QA in qualità. Ho appeso le copie nelle bacheche il 16/01. Quella della Linea 3 qualcuno l'ha staccata per appenderci i turni: riappesa il 20/01, tenere d'occhio.]</w:t>
      </w:r>
    </w:p>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LibreOffice/7.3.7.2</Application>
  <Company>Aurora Food Group S.r.l.</Company>
  <AppVersion>16.0300</AppVersion>
  <TotalTime>58</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qualita e sicurezza alimentare 2026</dc:title>
  <dc:creator>Elena Marchetti</dc:creator>
  <cp:lastModifiedBy>Chiara Vicentini</cp:lastModifiedBy>
  <cp:revision>36</cp:revision>
  <dc:description/>
  <dcterms:created xsi:type="dcterms:W3CDTF">2025-08-29T09:51:38Z</dcterms:created>
  <dcterms:modified xsi:type="dcterms:W3CDTF">2026-01-15T14:51:38Z</dcterms:modified>
  <cp:company>Aurora Food Group S.r.l.</cp:company>
</cp:coreProperties>
</file>