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Notes from quick 10 minute call with Amy Eschberger to follow up on our email exchanges, here are my notes: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i w:val="1"/>
          <w:iCs w:val="1"/>
        </w:rPr>
      </w:pPr>
      <w:r w:rsidDel="00000000" w:rsidR="00000000" w:rsidRPr="00000000">
        <w:rPr>
          <w:rtl w:val="0"/>
        </w:rPr>
        <w:t xml:space="preserve">  - She’s not exactly certain if changing the source location of the mine would trigger a Technical Revision or Amendment.  If it was surfaced by CEMEX, that would warrant a discussion between Patrick (the newly assigned Boulder County specialist) and Patrick’s supervisor.  It’s important, as Amendments undergo full public notice, while Technical Revisions don’t.  </w:t>
      </w:r>
      <w:r w:rsidDel="00000000" w:rsidR="00000000" w:rsidRPr="00000000">
        <w:rPr>
          <w:i w:val="1"/>
          <w:iCs w:val="1"/>
          <w:rtl w:val="0"/>
        </w:rPr>
        <w:t xml:space="preserve">Note: she’s asked questions of CEMEX while doing onsite inspections to understand what their actual long term plans are absent a renewal, and her assessment was that they don’t seem to have a lot of clarity in their own plans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She indicated, unprompted, that the Plant and Dowe Flats are highly intertwined, to the point that her division actually recommended they be merged into a single operating permit at one point (which never happened).  The conveyer itself is under the Dowe Flats permit, which connects the two operations, as just one example.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 From her perspective, Amy indicated that if the cement plant were to stand-alone and not really have a source/feeder mine like Dowe Flats attached, the Colorado Department of Reclamation and Mining would probably *not* want it to be under their jurisdiction moving forward.  As she put it, there are various other departments (CDPHE, etc) that would deal with the permitting of a cement plant - and it would no longer make sense to be considered part of a “mine” and be permitted for operation under her division.  She acknowledged this is a very murky area for everyone involved and it’s a strange situation with a ton of confusion.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-She also indicated that the County and possibly other agencies would likely have to weigh in on truck traffic and public safety if they were trucking in material from another remote location.  I indicated that we had heard southern wyoming as a possible source, and her immediate reaction was skepticism: “wow, that would be a real stretch….that’s probably not economical for them to do that.”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As for the reclamation bond for the plant, her instinct is that the $8MM+ number is very low, and it’s on a long to-do list in her division to get an updated dollar figure, as it’s been quite some time (20 years) since it’s been refreshed.  This figure has likely gone up fairly dramatically.   If CEMEX wanted to try to remove that plant reclamation aspect from the permit (because the cost has skyrocketed), they would have to receive permission from Boulder County to do to also change the post-land-use to General Industrial (e.g. all the conditions of the letters from 20 years ago still stand).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