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Doc</w:t>
      </w:r>
    </w:p>
    <w:p/>
    <w:p>
      <w:r>
        <w:t xml:space="preserve">  Internal Linking Strategy</w:t>
      </w:r>
    </w:p>
    <w:p>
      <w:r>
        <w:t xml:space="preserve">  Good internal links improve crawlability and distribute PageRank.</w:t>
      </w:r>
    </w:p>
    <w:p/>
    <w:p>
      <w:r>
        <w:t xml:space="preserve">  Anchor Text Basics</w:t>
      </w:r>
    </w:p>
    <w:p>
      <w:r>
        <w:t xml:space="preserve">  Use descriptive anchor text and avoid generic “click here”.</w:t>
      </w:r>
    </w:p>
    <w:p/>
    <w:p>
      <w:r>
        <w:t xml:space="preserve">  Topic Clusters</w:t>
      </w:r>
    </w:p>
    <w:p>
      <w:r>
        <w:t xml:space="preserve">  Build clusters around a hub page to strengthen topical authority.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