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9E4" w:rsidRPr="00470520" w:rsidRDefault="00753554">
      <w:pPr>
        <w:spacing w:after="39" w:line="259" w:lineRule="auto"/>
        <w:ind w:left="0" w:right="2" w:firstLine="0"/>
        <w:jc w:val="center"/>
        <w:rPr>
          <w:rFonts w:ascii="Open Sans" w:hAnsi="Open Sans" w:cs="Open Sans"/>
          <w:sz w:val="22"/>
          <w:szCs w:val="20"/>
          <w:lang w:val="ru-RU"/>
        </w:rPr>
      </w:pPr>
      <w:bookmarkStart w:id="0" w:name="_GoBack"/>
      <w:bookmarkEnd w:id="0"/>
      <w:r w:rsidRPr="00470520">
        <w:rPr>
          <w:rFonts w:ascii="Open Sans" w:hAnsi="Open Sans" w:cs="Open Sans"/>
          <w:b/>
          <w:color w:val="030303"/>
          <w:sz w:val="28"/>
          <w:szCs w:val="20"/>
          <w:lang w:val="ru-RU"/>
        </w:rPr>
        <w:t xml:space="preserve">МАТЕМАТИЧЕСКИЙ АНАЛИЗ (1 семестр) </w:t>
      </w:r>
    </w:p>
    <w:p w:rsidR="004739E4" w:rsidRPr="00470520" w:rsidRDefault="00753554">
      <w:pPr>
        <w:pStyle w:val="Heading1"/>
        <w:ind w:left="11" w:right="1"/>
        <w:rPr>
          <w:rFonts w:ascii="Open Sans" w:hAnsi="Open Sans" w:cs="Open Sans"/>
          <w:sz w:val="24"/>
          <w:szCs w:val="20"/>
          <w:lang w:val="ru-RU"/>
        </w:rPr>
      </w:pPr>
      <w:r w:rsidRPr="00470520">
        <w:rPr>
          <w:rFonts w:ascii="Open Sans" w:hAnsi="Open Sans" w:cs="Open Sans"/>
          <w:sz w:val="24"/>
          <w:szCs w:val="20"/>
          <w:lang w:val="ru-RU"/>
        </w:rPr>
        <w:t xml:space="preserve">ВОПРОСЫ К КОЛЛОКВИУМУ </w:t>
      </w:r>
    </w:p>
    <w:p w:rsidR="004739E4" w:rsidRPr="00470520" w:rsidRDefault="00753554">
      <w:pPr>
        <w:spacing w:after="193" w:line="259" w:lineRule="auto"/>
        <w:ind w:left="0" w:firstLine="0"/>
        <w:jc w:val="right"/>
        <w:rPr>
          <w:rFonts w:ascii="Open Sans" w:hAnsi="Open Sans" w:cs="Open Sans"/>
          <w:sz w:val="22"/>
          <w:szCs w:val="20"/>
        </w:rPr>
      </w:pPr>
      <w:proofErr w:type="spellStart"/>
      <w:r w:rsidRPr="00470520">
        <w:rPr>
          <w:rFonts w:ascii="Open Sans" w:hAnsi="Open Sans" w:cs="Open Sans"/>
          <w:b/>
          <w:sz w:val="20"/>
          <w:szCs w:val="20"/>
        </w:rPr>
        <w:t>поток</w:t>
      </w:r>
      <w:proofErr w:type="spellEnd"/>
      <w:r w:rsidRPr="00470520">
        <w:rPr>
          <w:rFonts w:ascii="Open Sans" w:hAnsi="Open Sans" w:cs="Open Sans"/>
          <w:b/>
          <w:sz w:val="20"/>
          <w:szCs w:val="20"/>
        </w:rPr>
        <w:t xml:space="preserve"> А–4, 6–9, 12 — 19 </w:t>
      </w:r>
    </w:p>
    <w:p w:rsidR="00470520" w:rsidRPr="00470520" w:rsidRDefault="00753554" w:rsidP="00470520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>Множества. Основные понятия. Операции над множествами</w:t>
      </w:r>
      <w:r w:rsidR="00470520">
        <w:rPr>
          <w:rFonts w:ascii="Open Sans" w:hAnsi="Open Sans" w:cs="Open Sans"/>
          <w:sz w:val="22"/>
          <w:szCs w:val="20"/>
        </w:rPr>
        <w:t>.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Основные числовые множества. Окрестность точки.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</w:rPr>
      </w:pPr>
      <w:proofErr w:type="spellStart"/>
      <w:r w:rsidRPr="00470520">
        <w:rPr>
          <w:rFonts w:ascii="Open Sans" w:hAnsi="Open Sans" w:cs="Open Sans"/>
          <w:sz w:val="22"/>
          <w:szCs w:val="20"/>
        </w:rPr>
        <w:t>Ограниченные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и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неограниченные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множества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Точные грани числовых множеств. Существование точных граней у ограниченных множеств (с доказательством).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Числовые последовательности. Ограниченные, неограниченные, бесконечно малые и бесконечно большие последовательности.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Примеры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Свойства бесконечно малых и бесконечно больших последовательностей: ограниченность бесконечно малой последовательности; связь бесконечно малой и бесконечно большой последовательностей.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Свойства бесконечно малых последовательностей: сумма бесконечно малых последовательностей.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Свойства бесконечно малых последовательностей: произведение ограниченной и бесконечно малой последовательностей; произведение бесконечно малых последовательностей.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Предел числовой последовательности. Единственность предела. 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</w:rPr>
      </w:pPr>
      <w:proofErr w:type="spellStart"/>
      <w:r w:rsidRPr="00470520">
        <w:rPr>
          <w:rFonts w:ascii="Open Sans" w:hAnsi="Open Sans" w:cs="Open Sans"/>
          <w:sz w:val="22"/>
          <w:szCs w:val="20"/>
        </w:rPr>
        <w:t>Ограниченность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сходящейся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последовательности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Свойства пределов, связанные с арифметическими операциями над последовательностями (привести доказательство только для алгебраической суммы двух сходящихся последовательностей).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Свойства пределов, связанные с арифметическими операциями над последовательностями (привести доказательство только для произведения двух сходящихся последовательностей).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Свойства сходящихся последовательностей: предельный переход в неравенствах.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Свойства сходящихся последовательностей: теорема о промежуточных значениях.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Монотонные последовательности. Признак Вейерштрасса сходимости монотонной последовательности.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</w:rPr>
      </w:pPr>
      <w:proofErr w:type="spellStart"/>
      <w:r w:rsidRPr="00470520">
        <w:rPr>
          <w:rFonts w:ascii="Open Sans" w:hAnsi="Open Sans" w:cs="Open Sans"/>
          <w:sz w:val="22"/>
          <w:szCs w:val="20"/>
        </w:rPr>
        <w:t>Число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r w:rsidRPr="00470520">
        <w:rPr>
          <w:rFonts w:ascii="Open Sans" w:hAnsi="Open Sans" w:cs="Open Sans"/>
          <w:i/>
          <w:sz w:val="22"/>
          <w:szCs w:val="20"/>
        </w:rPr>
        <w:t>e</w:t>
      </w:r>
      <w:r w:rsidRPr="00470520">
        <w:rPr>
          <w:rFonts w:ascii="Open Sans" w:hAnsi="Open Sans" w:cs="Open Sans"/>
          <w:sz w:val="22"/>
          <w:szCs w:val="20"/>
        </w:rPr>
        <w:t xml:space="preserve">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Лемма Кантора о вложенных отрезках (с доказательством).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Подпоследовательности. Частичные пределы или предельные точки. Теорема о частичном пределе сходящейся последовательности. 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</w:rPr>
      </w:pPr>
      <w:proofErr w:type="spellStart"/>
      <w:r w:rsidRPr="00470520">
        <w:rPr>
          <w:rFonts w:ascii="Open Sans" w:hAnsi="Open Sans" w:cs="Open Sans"/>
          <w:sz w:val="22"/>
          <w:szCs w:val="20"/>
        </w:rPr>
        <w:t>Теорема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Больцано-Вейерштрасса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Фундаментальные последовательности. Критерий Коши сходимости последовательности (доказательство только необходимости).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Числовые функции и их графики. </w:t>
      </w:r>
      <w:proofErr w:type="spellStart"/>
      <w:r w:rsidRPr="00470520">
        <w:rPr>
          <w:rFonts w:ascii="Open Sans" w:hAnsi="Open Sans" w:cs="Open Sans"/>
          <w:sz w:val="22"/>
          <w:szCs w:val="20"/>
        </w:rPr>
        <w:t>Способы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задания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функции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Определение предела функции в точке по Коши и по Гейне. Эквивалентность двух определений (без доказательства).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Примеры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Свойства пределов функций, связанные с арифметическими операциями.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Свойства пределов функций, связанные с предельным переходом в неравенствах. 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lastRenderedPageBreak/>
        <w:t xml:space="preserve">Теорема о промежуточных значениях функций.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Локальная ограниченность функций, имеющих (конечный) предел. 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Критерий Коши существования (конечного) предела функции (доказательство только необходимости).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Бесконечно малые и бесконечно большие функции. </w:t>
      </w:r>
      <w:proofErr w:type="spellStart"/>
      <w:r w:rsidRPr="00470520">
        <w:rPr>
          <w:rFonts w:ascii="Open Sans" w:hAnsi="Open Sans" w:cs="Open Sans"/>
          <w:sz w:val="22"/>
          <w:szCs w:val="20"/>
        </w:rPr>
        <w:t>Связь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между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ними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Непрерывность функции в точке. Примеры непрерывных функций.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Доказательство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непрерывности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функции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sin .</w:t>
      </w:r>
      <w:r w:rsidRPr="00470520">
        <w:rPr>
          <w:rFonts w:ascii="Open Sans" w:hAnsi="Open Sans" w:cs="Open Sans"/>
          <w:i/>
          <w:sz w:val="22"/>
          <w:szCs w:val="20"/>
        </w:rPr>
        <w:t>x</w:t>
      </w:r>
      <w:r w:rsidRPr="00470520">
        <w:rPr>
          <w:rFonts w:ascii="Open Sans" w:hAnsi="Open Sans" w:cs="Open Sans"/>
          <w:sz w:val="22"/>
          <w:szCs w:val="20"/>
        </w:rPr>
        <w:t xml:space="preserve"> 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Точки разрыва функции и их классификация.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Локальные свойства непрерывных функций: локальная ограниченность и устойчивость знака непрерывной функции.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Сохранение непрерывности при арифметических операциях над функциями.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</w:rPr>
      </w:pPr>
      <w:proofErr w:type="spellStart"/>
      <w:r w:rsidRPr="00470520">
        <w:rPr>
          <w:rFonts w:ascii="Open Sans" w:hAnsi="Open Sans" w:cs="Open Sans"/>
          <w:sz w:val="22"/>
          <w:szCs w:val="20"/>
        </w:rPr>
        <w:t>Непрерывность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сложной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функции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Замечательные пределы (доказательство только для первого замечательного предела).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Понятие обратной функции. Существование и непрерывность функции, обратной для непрерывной и строго монотонной функции. </w:t>
      </w:r>
    </w:p>
    <w:p w:rsidR="004739E4" w:rsidRPr="00470520" w:rsidRDefault="00753554">
      <w:pPr>
        <w:numPr>
          <w:ilvl w:val="0"/>
          <w:numId w:val="1"/>
        </w:numPr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Элементарные функции и их непрерывность.  </w:t>
      </w:r>
    </w:p>
    <w:p w:rsidR="004739E4" w:rsidRPr="00470520" w:rsidRDefault="00753554">
      <w:pPr>
        <w:numPr>
          <w:ilvl w:val="0"/>
          <w:numId w:val="1"/>
        </w:numPr>
        <w:spacing w:after="248"/>
        <w:ind w:hanging="360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eastAsia="Calibri" w:hAnsi="Open Sans" w:cs="Open San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4323431</wp:posOffset>
                </wp:positionH>
                <wp:positionV relativeFrom="paragraph">
                  <wp:posOffset>16049</wp:posOffset>
                </wp:positionV>
                <wp:extent cx="75928" cy="7512"/>
                <wp:effectExtent l="0" t="0" r="0" b="0"/>
                <wp:wrapNone/>
                <wp:docPr id="1534" name="Group 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28" cy="7512"/>
                          <a:chOff x="0" y="0"/>
                          <a:chExt cx="75928" cy="7512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759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28">
                                <a:moveTo>
                                  <a:pt x="0" y="0"/>
                                </a:moveTo>
                                <a:lnTo>
                                  <a:pt x="75928" y="0"/>
                                </a:lnTo>
                              </a:path>
                            </a:pathLst>
                          </a:custGeom>
                          <a:ln w="751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FA61F" id="Group 1534" o:spid="_x0000_s1026" style="position:absolute;margin-left:340.45pt;margin-top:1.25pt;width:6pt;height:.6pt;z-index:251658240" coordsize="75928,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">
                <v:shape id="Shape 225" o:spid="_x0000_s1027" style="position:absolute;width:75928;height:0;visibility:visible;mso-wrap-style:square;v-text-anchor:top" coordsize="759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" path="m,l75928,e" filled="f" strokeweight=".20867mm">
                  <v:stroke miterlimit="83231f" joinstyle="miter" endcap="square"/>
                  <v:path arrowok="t" textboxrect="0,0,75928,0"/>
                </v:shape>
              </v:group>
            </w:pict>
          </mc:Fallback>
        </mc:AlternateContent>
      </w:r>
      <w:r w:rsidRPr="00470520">
        <w:rPr>
          <w:rFonts w:ascii="Open Sans" w:hAnsi="Open Sans" w:cs="Open Sans"/>
          <w:sz w:val="22"/>
          <w:szCs w:val="20"/>
          <w:lang w:val="ru-RU"/>
        </w:rPr>
        <w:t xml:space="preserve">Сравнение функций. Эквивалентные функции. Символика </w:t>
      </w:r>
      <w:r w:rsidRPr="00470520">
        <w:rPr>
          <w:rFonts w:ascii="Open Sans" w:hAnsi="Open Sans" w:cs="Open Sans"/>
          <w:i/>
          <w:sz w:val="22"/>
          <w:szCs w:val="20"/>
        </w:rPr>
        <w:t>o</w:t>
      </w:r>
      <w:r w:rsidRPr="00470520">
        <w:rPr>
          <w:rFonts w:ascii="Open Sans" w:hAnsi="Open Sans" w:cs="Open Sans"/>
          <w:sz w:val="22"/>
          <w:szCs w:val="20"/>
          <w:lang w:val="ru-RU"/>
        </w:rPr>
        <w:t xml:space="preserve">.  </w:t>
      </w:r>
    </w:p>
    <w:p w:rsidR="004739E4" w:rsidRPr="00470520" w:rsidRDefault="00753554">
      <w:pPr>
        <w:spacing w:after="108" w:line="259" w:lineRule="auto"/>
        <w:ind w:left="0" w:right="6" w:firstLine="0"/>
        <w:jc w:val="right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b/>
          <w:sz w:val="22"/>
          <w:szCs w:val="20"/>
          <w:lang w:val="ru-RU"/>
        </w:rPr>
        <w:t xml:space="preserve">Лектор потока                           </w:t>
      </w:r>
      <w:proofErr w:type="spellStart"/>
      <w:r w:rsidRPr="00470520">
        <w:rPr>
          <w:rFonts w:ascii="Open Sans" w:hAnsi="Open Sans" w:cs="Open Sans"/>
          <w:b/>
          <w:sz w:val="22"/>
          <w:szCs w:val="20"/>
          <w:lang w:val="ru-RU"/>
        </w:rPr>
        <w:t>Симушев</w:t>
      </w:r>
      <w:proofErr w:type="spellEnd"/>
      <w:r w:rsidRPr="00470520">
        <w:rPr>
          <w:rFonts w:ascii="Open Sans" w:hAnsi="Open Sans" w:cs="Open Sans"/>
          <w:b/>
          <w:sz w:val="22"/>
          <w:szCs w:val="20"/>
          <w:lang w:val="ru-RU"/>
        </w:rPr>
        <w:t xml:space="preserve"> А.А. </w:t>
      </w:r>
    </w:p>
    <w:p w:rsidR="004739E4" w:rsidRPr="00470520" w:rsidRDefault="00753554">
      <w:pPr>
        <w:spacing w:after="98" w:line="259" w:lineRule="auto"/>
        <w:ind w:left="53" w:firstLine="0"/>
        <w:jc w:val="center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b/>
          <w:color w:val="030303"/>
          <w:szCs w:val="20"/>
          <w:lang w:val="ru-RU"/>
        </w:rPr>
        <w:t xml:space="preserve"> </w:t>
      </w:r>
    </w:p>
    <w:p w:rsidR="004739E4" w:rsidRPr="00470520" w:rsidRDefault="00753554">
      <w:pPr>
        <w:pStyle w:val="Heading1"/>
        <w:ind w:left="11"/>
        <w:rPr>
          <w:rFonts w:ascii="Open Sans" w:hAnsi="Open Sans" w:cs="Open Sans"/>
          <w:sz w:val="24"/>
          <w:szCs w:val="20"/>
        </w:rPr>
      </w:pPr>
      <w:r w:rsidRPr="00470520">
        <w:rPr>
          <w:rFonts w:ascii="Open Sans" w:hAnsi="Open Sans" w:cs="Open Sans"/>
          <w:sz w:val="24"/>
          <w:szCs w:val="20"/>
        </w:rPr>
        <w:t xml:space="preserve">ЗАДАЧИ К КОЛЛОКВИУМУ </w:t>
      </w:r>
    </w:p>
    <w:p w:rsidR="004739E4" w:rsidRPr="00470520" w:rsidRDefault="00753554">
      <w:pPr>
        <w:spacing w:after="49" w:line="259" w:lineRule="auto"/>
        <w:ind w:left="0" w:firstLine="0"/>
        <w:jc w:val="left"/>
        <w:rPr>
          <w:rFonts w:ascii="Open Sans" w:hAnsi="Open Sans" w:cs="Open Sans"/>
          <w:sz w:val="22"/>
          <w:szCs w:val="20"/>
        </w:rPr>
      </w:pPr>
      <w:r w:rsidRPr="00470520">
        <w:rPr>
          <w:rFonts w:ascii="Open Sans" w:hAnsi="Open Sans" w:cs="Open Sans"/>
          <w:sz w:val="22"/>
          <w:szCs w:val="20"/>
        </w:rPr>
        <w:t xml:space="preserve"> </w:t>
      </w:r>
    </w:p>
    <w:p w:rsidR="004739E4" w:rsidRPr="00470520" w:rsidRDefault="00753554">
      <w:pPr>
        <w:numPr>
          <w:ilvl w:val="0"/>
          <w:numId w:val="2"/>
        </w:numPr>
        <w:ind w:hanging="346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Сформулировать определение последовательности некоторого типа и его отрицание (ограниченной последовательности, бесконечно малой последовательности и т.д.).  </w:t>
      </w:r>
    </w:p>
    <w:p w:rsidR="004739E4" w:rsidRPr="00470520" w:rsidRDefault="00753554">
      <w:pPr>
        <w:numPr>
          <w:ilvl w:val="0"/>
          <w:numId w:val="2"/>
        </w:numPr>
        <w:ind w:hanging="346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Сформулировать определение предела функции по Коши и его отрицание.  </w:t>
      </w:r>
    </w:p>
    <w:p w:rsidR="004739E4" w:rsidRPr="00470520" w:rsidRDefault="00753554">
      <w:pPr>
        <w:numPr>
          <w:ilvl w:val="0"/>
          <w:numId w:val="2"/>
        </w:numPr>
        <w:spacing w:after="101"/>
        <w:ind w:hanging="346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Сформулировать определение предела функции по Гейне и его отрицание.  </w:t>
      </w:r>
    </w:p>
    <w:p w:rsidR="004739E4" w:rsidRPr="00470520" w:rsidRDefault="00753554">
      <w:pPr>
        <w:numPr>
          <w:ilvl w:val="0"/>
          <w:numId w:val="2"/>
        </w:numPr>
        <w:spacing w:after="50"/>
        <w:ind w:hanging="346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Сформулировать на языке </w:t>
      </w:r>
      <w:r w:rsidRPr="00470520">
        <w:rPr>
          <w:rFonts w:ascii="Open Sans" w:eastAsia="Segoe UI Symbol" w:hAnsi="Open Sans" w:cs="Open Sans"/>
          <w:sz w:val="22"/>
          <w:szCs w:val="20"/>
        </w:rPr>
        <w:t>ε</w:t>
      </w:r>
      <w:r w:rsidRPr="00470520">
        <w:rPr>
          <w:rFonts w:ascii="Open Sans" w:hAnsi="Open Sans" w:cs="Open Sans"/>
          <w:sz w:val="22"/>
          <w:szCs w:val="20"/>
          <w:lang w:val="ru-RU"/>
        </w:rPr>
        <w:t>-</w:t>
      </w:r>
      <w:r w:rsidRPr="00470520">
        <w:rPr>
          <w:rFonts w:ascii="Open Sans" w:eastAsia="Segoe UI Symbol" w:hAnsi="Open Sans" w:cs="Open Sans"/>
          <w:sz w:val="22"/>
          <w:szCs w:val="20"/>
        </w:rPr>
        <w:t>δ</w:t>
      </w:r>
      <w:r w:rsidRPr="00470520">
        <w:rPr>
          <w:rFonts w:ascii="Open Sans" w:hAnsi="Open Sans" w:cs="Open Sans"/>
          <w:sz w:val="22"/>
          <w:szCs w:val="20"/>
          <w:lang w:val="ru-RU"/>
        </w:rPr>
        <w:t xml:space="preserve"> и в терминах окрестностей определение предела функции (конечного и бесконечного; в точке, односторонних пределов в точке, а также пределов при </w:t>
      </w:r>
      <w:r w:rsidRPr="00470520">
        <w:rPr>
          <w:rFonts w:ascii="Open Sans" w:hAnsi="Open Sans" w:cs="Open Sans"/>
          <w:iCs/>
          <w:sz w:val="22"/>
          <w:szCs w:val="20"/>
        </w:rPr>
        <w:t>x</w:t>
      </w:r>
      <w:r w:rsidR="00470520" w:rsidRPr="00470520">
        <w:rPr>
          <w:rFonts w:ascii="Cambria Math" w:eastAsia="Segoe UI Symbol" w:hAnsi="Cambria Math" w:cs="Cambria Math"/>
          <w:iCs/>
          <w:sz w:val="22"/>
          <w:szCs w:val="20"/>
          <w:lang w:val="ru-RU"/>
        </w:rPr>
        <w:t>⇾</w:t>
      </w:r>
      <w:r w:rsidR="00470520" w:rsidRPr="00470520">
        <w:rPr>
          <w:rFonts w:ascii="Open Sans" w:eastAsia="Segoe UI Symbol" w:hAnsi="Open Sans" w:cs="Open Sans"/>
          <w:iCs/>
          <w:sz w:val="22"/>
          <w:szCs w:val="20"/>
          <w:lang w:val="ru-RU"/>
        </w:rPr>
        <w:t>−∞</w:t>
      </w:r>
      <w:r w:rsidR="00470520" w:rsidRPr="00470520">
        <w:rPr>
          <w:rFonts w:ascii="Open Sans" w:hAnsi="Open Sans" w:cs="Open Sans"/>
          <w:iCs/>
          <w:sz w:val="22"/>
          <w:szCs w:val="20"/>
          <w:lang w:val="ru-RU"/>
        </w:rPr>
        <w:t>, x</w:t>
      </w:r>
      <w:r w:rsidR="00470520" w:rsidRPr="00470520">
        <w:rPr>
          <w:rFonts w:ascii="Cambria Math" w:hAnsi="Cambria Math" w:cs="Cambria Math"/>
          <w:iCs/>
          <w:sz w:val="22"/>
          <w:szCs w:val="20"/>
          <w:lang w:val="ru-RU"/>
        </w:rPr>
        <w:t>⇾</w:t>
      </w:r>
      <w:r w:rsidR="00470520" w:rsidRPr="00470520">
        <w:rPr>
          <w:rFonts w:ascii="Open Sans" w:hAnsi="Open Sans" w:cs="Open Sans"/>
          <w:iCs/>
          <w:sz w:val="22"/>
          <w:szCs w:val="20"/>
          <w:lang w:val="ru-RU"/>
        </w:rPr>
        <w:t>+∞, x</w:t>
      </w:r>
      <w:r w:rsidR="00470520" w:rsidRPr="00470520">
        <w:rPr>
          <w:rFonts w:ascii="Cambria Math" w:hAnsi="Cambria Math" w:cs="Cambria Math"/>
          <w:iCs/>
          <w:sz w:val="22"/>
          <w:szCs w:val="20"/>
          <w:lang w:val="ru-RU"/>
        </w:rPr>
        <w:t>⇾</w:t>
      </w:r>
      <w:r w:rsidR="00470520" w:rsidRPr="00470520">
        <w:rPr>
          <w:rFonts w:ascii="Open Sans" w:hAnsi="Open Sans" w:cs="Open Sans"/>
          <w:iCs/>
          <w:sz w:val="22"/>
          <w:szCs w:val="20"/>
          <w:lang w:val="ru-RU"/>
        </w:rPr>
        <w:t>∞</w:t>
      </w:r>
      <w:r w:rsidR="00470520" w:rsidRPr="00470520">
        <w:rPr>
          <w:rFonts w:ascii="Open Sans" w:hAnsi="Open Sans" w:cs="Open Sans"/>
          <w:i/>
          <w:sz w:val="22"/>
          <w:szCs w:val="20"/>
          <w:lang w:val="ru-RU"/>
        </w:rPr>
        <w:t>)</w:t>
      </w:r>
      <w:r w:rsidRPr="00470520">
        <w:rPr>
          <w:rFonts w:ascii="Open Sans" w:hAnsi="Open Sans" w:cs="Open Sans"/>
          <w:sz w:val="22"/>
          <w:szCs w:val="20"/>
          <w:lang w:val="ru-RU"/>
        </w:rPr>
        <w:t xml:space="preserve">.  </w:t>
      </w:r>
    </w:p>
    <w:p w:rsidR="004739E4" w:rsidRPr="00470520" w:rsidRDefault="00753554">
      <w:pPr>
        <w:numPr>
          <w:ilvl w:val="0"/>
          <w:numId w:val="2"/>
        </w:numPr>
        <w:ind w:hanging="346"/>
        <w:rPr>
          <w:rFonts w:ascii="Open Sans" w:hAnsi="Open Sans" w:cs="Open Sans"/>
          <w:sz w:val="22"/>
          <w:szCs w:val="20"/>
          <w:lang w:val="ru-RU"/>
        </w:rPr>
      </w:pPr>
      <w:r w:rsidRPr="00470520">
        <w:rPr>
          <w:rFonts w:ascii="Open Sans" w:hAnsi="Open Sans" w:cs="Open Sans"/>
          <w:sz w:val="22"/>
          <w:szCs w:val="20"/>
          <w:lang w:val="ru-RU"/>
        </w:rPr>
        <w:t xml:space="preserve">Задачи на вычисление типовых пределов.  </w:t>
      </w:r>
    </w:p>
    <w:p w:rsidR="004739E4" w:rsidRPr="00470520" w:rsidRDefault="00753554">
      <w:pPr>
        <w:numPr>
          <w:ilvl w:val="0"/>
          <w:numId w:val="2"/>
        </w:numPr>
        <w:spacing w:after="5"/>
        <w:ind w:hanging="346"/>
        <w:rPr>
          <w:rFonts w:ascii="Open Sans" w:hAnsi="Open Sans" w:cs="Open Sans"/>
          <w:sz w:val="22"/>
          <w:szCs w:val="20"/>
        </w:rPr>
      </w:pPr>
      <w:proofErr w:type="spellStart"/>
      <w:r w:rsidRPr="00470520">
        <w:rPr>
          <w:rFonts w:ascii="Open Sans" w:hAnsi="Open Sans" w:cs="Open Sans"/>
          <w:sz w:val="22"/>
          <w:szCs w:val="20"/>
        </w:rPr>
        <w:t>Сравнение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 </w:t>
      </w:r>
      <w:proofErr w:type="spellStart"/>
      <w:r w:rsidRPr="00470520">
        <w:rPr>
          <w:rFonts w:ascii="Open Sans" w:hAnsi="Open Sans" w:cs="Open Sans"/>
          <w:sz w:val="22"/>
          <w:szCs w:val="20"/>
        </w:rPr>
        <w:t>функций</w:t>
      </w:r>
      <w:proofErr w:type="spellEnd"/>
      <w:r w:rsidRPr="00470520">
        <w:rPr>
          <w:rFonts w:ascii="Open Sans" w:hAnsi="Open Sans" w:cs="Open Sans"/>
          <w:sz w:val="22"/>
          <w:szCs w:val="20"/>
        </w:rPr>
        <w:t xml:space="preserve">.  </w:t>
      </w:r>
    </w:p>
    <w:p w:rsidR="004739E4" w:rsidRPr="00470520" w:rsidRDefault="00753554">
      <w:pPr>
        <w:spacing w:after="0" w:line="259" w:lineRule="auto"/>
        <w:ind w:left="0" w:firstLine="0"/>
        <w:jc w:val="left"/>
        <w:rPr>
          <w:rFonts w:ascii="Open Sans" w:hAnsi="Open Sans" w:cs="Open Sans"/>
          <w:sz w:val="22"/>
          <w:szCs w:val="20"/>
        </w:rPr>
      </w:pPr>
      <w:r w:rsidRPr="00470520">
        <w:rPr>
          <w:rFonts w:ascii="Open Sans" w:hAnsi="Open Sans" w:cs="Open Sans"/>
          <w:sz w:val="22"/>
          <w:szCs w:val="20"/>
        </w:rPr>
        <w:t xml:space="preserve"> </w:t>
      </w:r>
    </w:p>
    <w:sectPr w:rsidR="004739E4" w:rsidRPr="00470520">
      <w:pgSz w:w="11904" w:h="16838"/>
      <w:pgMar w:top="546" w:right="957" w:bottom="717" w:left="9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08C3"/>
    <w:multiLevelType w:val="hybridMultilevel"/>
    <w:tmpl w:val="87D8D926"/>
    <w:lvl w:ilvl="0" w:tplc="16C250A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F638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BE7B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3055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3CB2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C48E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23A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6FC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DC23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ED6994"/>
    <w:multiLevelType w:val="hybridMultilevel"/>
    <w:tmpl w:val="275EA016"/>
    <w:lvl w:ilvl="0" w:tplc="0D2817F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FA21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CAA7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36B6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54F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446F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96D5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127C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8ECB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9E4"/>
    <w:rsid w:val="000B62E7"/>
    <w:rsid w:val="00297D45"/>
    <w:rsid w:val="00470520"/>
    <w:rsid w:val="004739E4"/>
    <w:rsid w:val="0075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6D75D9-CB39-430C-BE8E-24D2CFF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" w:line="2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30303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30303"/>
      <w:sz w:val="26"/>
    </w:rPr>
  </w:style>
  <w:style w:type="character" w:styleId="PlaceholderText">
    <w:name w:val="Placeholder Text"/>
    <w:basedOn w:val="DefaultParagraphFont"/>
    <w:uiPriority w:val="99"/>
    <w:semiHidden/>
    <w:rsid w:val="00470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Савва Балашов</cp:lastModifiedBy>
  <cp:revision>1</cp:revision>
  <dcterms:created xsi:type="dcterms:W3CDTF">2019-10-26T08:09:00Z</dcterms:created>
  <dcterms:modified xsi:type="dcterms:W3CDTF">2019-10-28T16:31:00Z</dcterms:modified>
</cp:coreProperties>
</file>