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CR253</w:t>
            </w:r>
            <w:r w:rsidR="6AEDC096" w:rsidRPr="6AEDC096">
              <w:rPr>
                <w:rFonts w:ascii="Century Gothic" w:hAnsi="Century Gothic"/>
                <w:sz w:val="21"/>
                <w:szCs w:val="21"/>
              </w:rPr>
              <w:t xml:space="preserve"> - </w:t>
            </w:r>
            <w:r>
              <w:rPr>
                <w:rFonts w:ascii="Century Gothic" w:hAnsi="Century Gothic"/>
                <w:sz w:val="21"/>
                <w:szCs w:val="21"/>
              </w:rPr>
              <w:t>Approval Letter Not Stating Correct Workflow</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The application type is renewal application, however the approval letter generated as new application. This is happening due to current active new special pass application causing the generated approval letter to generated using the special pass information. Due to this, permanent fix is required in Approval Module to exclude any special pass information in order for the system to be able to get the correct data.
</w:t>
              <w:br/>
              <w:t/>
              <w:br/>
              <w:t>
However, permanent fix cannot be done until BU give the direction for fixing the current approval module. Therefore, workaround solution to data patch the content of the approval letter will be required in order to fix the current reported application.</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 </w:t>
                    <w:br/>
                    <w:t>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