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CR274</w:t>
            </w:r>
            <w:r w:rsidR="6AEDC096" w:rsidRPr="6AEDC096">
              <w:rPr>
                <w:rFonts w:ascii="Century Gothic" w:hAnsi="Century Gothic"/>
                <w:sz w:val="21"/>
                <w:szCs w:val="21"/>
              </w:rPr>
              <w:t xml:space="preserve"> - </w:t>
            </w:r>
            <w:r>
              <w:rPr>
                <w:rFonts w:ascii="Century Gothic" w:hAnsi="Century Gothic"/>
                <w:sz w:val="21"/>
                <w:szCs w:val="21"/>
              </w:rPr>
              <w:t>JIM Report - To exclude "incomplete" and "idle" status to breakdown details fetched list</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Previously in CR202, in JIM Report we have excluded "incomplete" and "idle" status application from the view list of the report. However, user find out there is another part where the list breakdown details missing to catered during CR202. Therefore, this CR is to cater the same logic in breakdown details which to exclude "incomplete" and "idle" application status from the fetched list
</w:t>
              <w:br/>
              <w:t/>
              <w:br/>
              <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8</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TD/INC/2417</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9</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Aizat</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TD/INC/2417)</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