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CR838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Production Release for H1 MDIR (Audit Module)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MDIR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On early 2023, Business unit request to implement a new MD Promoted and Cybersecurity section requirement into Sustainability section. These changes impacted to 2 parts of the questionnaire.
</w:t>
              <w:br/>
              <w:t/>
              <w:br/>
              <w:t>
1. Section B (HR questions)</w:t>
              <w:br/>
              <w:t>
2. Section C (Sustainability questions)
</w:t>
              <w:br/>
              <w:t/>
              <w:br/>
              <w:t>
IT has successfully deployed the MDIR H1 (Submission Module) on last September 2023. Therefore, this request is to proceed on the Audit Module.
</w:t>
              <w:br/>
              <w:t/>
              <w:br/>
              <w:t>
Details of the Question, may refer to the Survey Form from BU or refer to the UAT document signed off by the BU.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SMS-APP01-PL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10.13.34.140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DB : </w:t>
            </w:r>
            <w:r w:rsidR="00A26F56">
              <w:rPr>
                <w:rFonts w:ascii="Century Gothic" w:hAnsi="Century Gothic" w:cs="Arial"/>
              </w:rPr>
              <w:t>SMS-DBS01-PL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10.13.36.99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1"/>
              <w:gridCol w:w="1263"/>
              <w:gridCol w:w="4991"/>
              <w:gridCol w:w="2987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2024-01-05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10.13.34.140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SMS Application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2024-01-05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SMS-DBS01-PL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10.13.36.99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SMS Database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2024-01-05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10.13.34.140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code changes in production. Code details can be found in Appendix A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2024-01-05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SMS-APP01-PL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10.13.34.140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Production Verification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2024-01-05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/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Activity End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/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2024-01-05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SMS-APP01-PL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10.13.34.140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Revert back to the old script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B68C" w14:textId="77777777" w:rsidR="00AC1EEB" w:rsidRDefault="00AC1EEB">
      <w:r>
        <w:separator/>
      </w:r>
    </w:p>
  </w:endnote>
  <w:endnote w:type="continuationSeparator" w:id="0">
    <w:p w14:paraId="5149CDCF" w14:textId="77777777" w:rsidR="00AC1EEB" w:rsidRDefault="00AC1EEB">
      <w:r>
        <w:continuationSeparator/>
      </w:r>
    </w:p>
  </w:endnote>
  <w:endnote w:type="continuationNotice" w:id="1">
    <w:p w14:paraId="41BEEE25" w14:textId="77777777" w:rsidR="00AC1EEB" w:rsidRDefault="00AC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14B7" w14:textId="77777777" w:rsidR="00AC1EEB" w:rsidRDefault="00AC1EEB">
      <w:r>
        <w:separator/>
      </w:r>
    </w:p>
  </w:footnote>
  <w:footnote w:type="continuationSeparator" w:id="0">
    <w:p w14:paraId="406B12FC" w14:textId="77777777" w:rsidR="00AC1EEB" w:rsidRDefault="00AC1EEB">
      <w:r>
        <w:continuationSeparator/>
      </w:r>
    </w:p>
  </w:footnote>
  <w:footnote w:type="continuationNotice" w:id="1">
    <w:p w14:paraId="0FD13F80" w14:textId="77777777" w:rsidR="00AC1EEB" w:rsidRDefault="00AC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0549B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1EEB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31</cp:revision>
  <dcterms:created xsi:type="dcterms:W3CDTF">2022-01-11T19:44:00Z</dcterms:created>
  <dcterms:modified xsi:type="dcterms:W3CDTF">2022-08-02T04:16:00Z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