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B03A" w14:textId="77777777" w:rsidR="00646B26" w:rsidRDefault="00646B26" w:rsidP="00646B26">
      <w:pPr>
        <w:pStyle w:val="Title"/>
      </w:pPr>
      <w:r>
        <w:t xml:space="preserve">Corporate Governance Deficiencies at the Board Level in Nigerian Deposit Money Bank’s (DMB’s): Accountability and Transparency </w:t>
      </w:r>
    </w:p>
    <w:p w14:paraId="5B425CF0" w14:textId="77777777" w:rsidR="00646B26" w:rsidRDefault="00646B26" w:rsidP="00646B26">
      <w:pPr>
        <w:pStyle w:val="Title"/>
      </w:pPr>
    </w:p>
    <w:p w14:paraId="1BF4420D" w14:textId="77777777" w:rsidR="00646B26" w:rsidRDefault="00646B26" w:rsidP="00646B26">
      <w:pPr>
        <w:pStyle w:val="Title"/>
      </w:pPr>
    </w:p>
    <w:p w14:paraId="04969E8E" w14:textId="77777777" w:rsidR="00646B26" w:rsidRDefault="00646B26" w:rsidP="00646B26">
      <w:pPr>
        <w:pStyle w:val="Title"/>
      </w:pPr>
      <w:r>
        <w:t xml:space="preserve">University of Buckingham </w:t>
      </w:r>
    </w:p>
    <w:p w14:paraId="214D590C" w14:textId="77777777" w:rsidR="00646B26" w:rsidRDefault="00646B26" w:rsidP="00646B26">
      <w:pPr>
        <w:pStyle w:val="BodyText"/>
      </w:pPr>
      <w:r>
        <w:br w:type="page"/>
      </w:r>
    </w:p>
    <w:sdt>
      <w:sdtPr>
        <w:id w:val="212164270"/>
        <w:docPartObj>
          <w:docPartGallery w:val="Table of Contents"/>
          <w:docPartUnique/>
        </w:docPartObj>
      </w:sdtPr>
      <w:sdtEndPr>
        <w:rPr>
          <w:rFonts w:ascii="Calibri" w:eastAsia="Times New Roman" w:hAnsi="Calibri" w:cs="Times New Roman"/>
          <w:b/>
          <w:noProof/>
          <w:color w:val="auto"/>
          <w:sz w:val="24"/>
          <w:szCs w:val="24"/>
        </w:rPr>
      </w:sdtEndPr>
      <w:sdtContent>
        <w:p w14:paraId="2F5DE253" w14:textId="77777777" w:rsidR="00646B26" w:rsidRDefault="00646B26" w:rsidP="00646B26">
          <w:pPr>
            <w:pStyle w:val="TOCHeading"/>
          </w:pPr>
          <w:r>
            <w:t>Table of Contents</w:t>
          </w:r>
        </w:p>
        <w:p w14:paraId="3FC05023" w14:textId="77777777" w:rsidR="00646B26" w:rsidRDefault="00646B26" w:rsidP="00646B26">
          <w:pPr>
            <w:pStyle w:val="TOC1"/>
            <w:tabs>
              <w:tab w:val="right" w:leader="dot" w:pos="9350"/>
            </w:tabs>
            <w:rPr>
              <w:rFonts w:eastAsiaTheme="minorEastAsia" w:cstheme="minorBidi"/>
              <w:b w:val="0"/>
              <w:bCs w:val="0"/>
              <w:caps/>
              <w:noProof/>
              <w:kern w:val="2"/>
              <w:lang w:val="en-NG"/>
              <w14:ligatures w14:val="standardContextual"/>
            </w:rPr>
          </w:pPr>
          <w:r>
            <w:rPr>
              <w:b w:val="0"/>
              <w:bCs w:val="0"/>
            </w:rPr>
            <w:fldChar w:fldCharType="begin"/>
          </w:r>
          <w:r>
            <w:instrText xml:space="preserve"> TOC \o "1-3" \h \z \u </w:instrText>
          </w:r>
          <w:r>
            <w:rPr>
              <w:b w:val="0"/>
              <w:bCs w:val="0"/>
            </w:rPr>
            <w:fldChar w:fldCharType="separate"/>
          </w:r>
          <w:hyperlink w:anchor="_Toc211278843" w:history="1">
            <w:r w:rsidRPr="00282733">
              <w:rPr>
                <w:rStyle w:val="Hyperlink"/>
                <w:noProof/>
              </w:rPr>
              <w:t>Chapter One: Introduction</w:t>
            </w:r>
            <w:r>
              <w:rPr>
                <w:noProof/>
                <w:webHidden/>
              </w:rPr>
              <w:tab/>
            </w:r>
            <w:r>
              <w:rPr>
                <w:noProof/>
                <w:webHidden/>
              </w:rPr>
              <w:fldChar w:fldCharType="begin"/>
            </w:r>
            <w:r>
              <w:rPr>
                <w:noProof/>
                <w:webHidden/>
              </w:rPr>
              <w:instrText xml:space="preserve"> PAGEREF _Toc211278843 \h </w:instrText>
            </w:r>
            <w:r>
              <w:rPr>
                <w:noProof/>
                <w:webHidden/>
              </w:rPr>
            </w:r>
            <w:r>
              <w:rPr>
                <w:noProof/>
                <w:webHidden/>
              </w:rPr>
              <w:fldChar w:fldCharType="separate"/>
            </w:r>
            <w:r>
              <w:rPr>
                <w:noProof/>
                <w:webHidden/>
              </w:rPr>
              <w:t>4</w:t>
            </w:r>
            <w:r>
              <w:rPr>
                <w:noProof/>
                <w:webHidden/>
              </w:rPr>
              <w:fldChar w:fldCharType="end"/>
            </w:r>
          </w:hyperlink>
        </w:p>
        <w:p w14:paraId="4FCF1B37"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44" w:history="1">
            <w:r w:rsidRPr="00282733">
              <w:rPr>
                <w:rStyle w:val="Hyperlink"/>
                <w:noProof/>
              </w:rPr>
              <w:t>Executive summary</w:t>
            </w:r>
            <w:r>
              <w:rPr>
                <w:noProof/>
                <w:webHidden/>
              </w:rPr>
              <w:tab/>
            </w:r>
            <w:r>
              <w:rPr>
                <w:noProof/>
                <w:webHidden/>
              </w:rPr>
              <w:fldChar w:fldCharType="begin"/>
            </w:r>
            <w:r>
              <w:rPr>
                <w:noProof/>
                <w:webHidden/>
              </w:rPr>
              <w:instrText xml:space="preserve"> PAGEREF _Toc211278844 \h </w:instrText>
            </w:r>
            <w:r>
              <w:rPr>
                <w:noProof/>
                <w:webHidden/>
              </w:rPr>
            </w:r>
            <w:r>
              <w:rPr>
                <w:noProof/>
                <w:webHidden/>
              </w:rPr>
              <w:fldChar w:fldCharType="separate"/>
            </w:r>
            <w:r>
              <w:rPr>
                <w:noProof/>
                <w:webHidden/>
              </w:rPr>
              <w:t>4</w:t>
            </w:r>
            <w:r>
              <w:rPr>
                <w:noProof/>
                <w:webHidden/>
              </w:rPr>
              <w:fldChar w:fldCharType="end"/>
            </w:r>
          </w:hyperlink>
        </w:p>
        <w:p w14:paraId="5753F847"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45" w:history="1">
            <w:r w:rsidRPr="00282733">
              <w:rPr>
                <w:rStyle w:val="Hyperlink"/>
                <w:noProof/>
              </w:rPr>
              <w:t>1</w:t>
            </w:r>
            <w:r w:rsidRPr="00282733">
              <w:rPr>
                <w:rStyle w:val="Hyperlink"/>
                <w:rFonts w:cs="Times New Roman"/>
                <w:noProof/>
              </w:rPr>
              <w:t>.2: Problem Question</w:t>
            </w:r>
            <w:r>
              <w:rPr>
                <w:noProof/>
                <w:webHidden/>
              </w:rPr>
              <w:tab/>
            </w:r>
            <w:r>
              <w:rPr>
                <w:noProof/>
                <w:webHidden/>
              </w:rPr>
              <w:fldChar w:fldCharType="begin"/>
            </w:r>
            <w:r>
              <w:rPr>
                <w:noProof/>
                <w:webHidden/>
              </w:rPr>
              <w:instrText xml:space="preserve"> PAGEREF _Toc211278845 \h </w:instrText>
            </w:r>
            <w:r>
              <w:rPr>
                <w:noProof/>
                <w:webHidden/>
              </w:rPr>
            </w:r>
            <w:r>
              <w:rPr>
                <w:noProof/>
                <w:webHidden/>
              </w:rPr>
              <w:fldChar w:fldCharType="separate"/>
            </w:r>
            <w:r>
              <w:rPr>
                <w:noProof/>
                <w:webHidden/>
              </w:rPr>
              <w:t>28</w:t>
            </w:r>
            <w:r>
              <w:rPr>
                <w:noProof/>
                <w:webHidden/>
              </w:rPr>
              <w:fldChar w:fldCharType="end"/>
            </w:r>
          </w:hyperlink>
        </w:p>
        <w:p w14:paraId="4B6899D4"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46" w:history="1">
            <w:r w:rsidRPr="00282733">
              <w:rPr>
                <w:rStyle w:val="Hyperlink"/>
                <w:noProof/>
              </w:rPr>
              <w:t>1.3 Research Question</w:t>
            </w:r>
            <w:r>
              <w:rPr>
                <w:noProof/>
                <w:webHidden/>
              </w:rPr>
              <w:tab/>
            </w:r>
            <w:r>
              <w:rPr>
                <w:noProof/>
                <w:webHidden/>
              </w:rPr>
              <w:fldChar w:fldCharType="begin"/>
            </w:r>
            <w:r>
              <w:rPr>
                <w:noProof/>
                <w:webHidden/>
              </w:rPr>
              <w:instrText xml:space="preserve"> PAGEREF _Toc211278846 \h </w:instrText>
            </w:r>
            <w:r>
              <w:rPr>
                <w:noProof/>
                <w:webHidden/>
              </w:rPr>
            </w:r>
            <w:r>
              <w:rPr>
                <w:noProof/>
                <w:webHidden/>
              </w:rPr>
              <w:fldChar w:fldCharType="separate"/>
            </w:r>
            <w:r>
              <w:rPr>
                <w:noProof/>
                <w:webHidden/>
              </w:rPr>
              <w:t>32</w:t>
            </w:r>
            <w:r>
              <w:rPr>
                <w:noProof/>
                <w:webHidden/>
              </w:rPr>
              <w:fldChar w:fldCharType="end"/>
            </w:r>
          </w:hyperlink>
        </w:p>
        <w:p w14:paraId="06E23249"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47" w:history="1">
            <w:r w:rsidRPr="00282733">
              <w:rPr>
                <w:rStyle w:val="Hyperlink"/>
                <w:noProof/>
              </w:rPr>
              <w:t>1.4: Objective of Study</w:t>
            </w:r>
            <w:r>
              <w:rPr>
                <w:noProof/>
                <w:webHidden/>
              </w:rPr>
              <w:tab/>
            </w:r>
            <w:r>
              <w:rPr>
                <w:noProof/>
                <w:webHidden/>
              </w:rPr>
              <w:fldChar w:fldCharType="begin"/>
            </w:r>
            <w:r>
              <w:rPr>
                <w:noProof/>
                <w:webHidden/>
              </w:rPr>
              <w:instrText xml:space="preserve"> PAGEREF _Toc211278847 \h </w:instrText>
            </w:r>
            <w:r>
              <w:rPr>
                <w:noProof/>
                <w:webHidden/>
              </w:rPr>
            </w:r>
            <w:r>
              <w:rPr>
                <w:noProof/>
                <w:webHidden/>
              </w:rPr>
              <w:fldChar w:fldCharType="separate"/>
            </w:r>
            <w:r>
              <w:rPr>
                <w:noProof/>
                <w:webHidden/>
              </w:rPr>
              <w:t>34</w:t>
            </w:r>
            <w:r>
              <w:rPr>
                <w:noProof/>
                <w:webHidden/>
              </w:rPr>
              <w:fldChar w:fldCharType="end"/>
            </w:r>
          </w:hyperlink>
        </w:p>
        <w:p w14:paraId="2EAFCCF3"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48" w:history="1">
            <w:r w:rsidRPr="00282733">
              <w:rPr>
                <w:rStyle w:val="Hyperlink"/>
                <w:noProof/>
              </w:rPr>
              <w:t>1.5: Hypothesis Development</w:t>
            </w:r>
            <w:r>
              <w:rPr>
                <w:noProof/>
                <w:webHidden/>
              </w:rPr>
              <w:tab/>
            </w:r>
            <w:r>
              <w:rPr>
                <w:noProof/>
                <w:webHidden/>
              </w:rPr>
              <w:fldChar w:fldCharType="begin"/>
            </w:r>
            <w:r>
              <w:rPr>
                <w:noProof/>
                <w:webHidden/>
              </w:rPr>
              <w:instrText xml:space="preserve"> PAGEREF _Toc211278848 \h </w:instrText>
            </w:r>
            <w:r>
              <w:rPr>
                <w:noProof/>
                <w:webHidden/>
              </w:rPr>
            </w:r>
            <w:r>
              <w:rPr>
                <w:noProof/>
                <w:webHidden/>
              </w:rPr>
              <w:fldChar w:fldCharType="separate"/>
            </w:r>
            <w:r>
              <w:rPr>
                <w:noProof/>
                <w:webHidden/>
              </w:rPr>
              <w:t>40</w:t>
            </w:r>
            <w:r>
              <w:rPr>
                <w:noProof/>
                <w:webHidden/>
              </w:rPr>
              <w:fldChar w:fldCharType="end"/>
            </w:r>
          </w:hyperlink>
        </w:p>
        <w:p w14:paraId="2956431F"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49" w:history="1">
            <w:r w:rsidRPr="00282733">
              <w:rPr>
                <w:rStyle w:val="Hyperlink"/>
                <w:noProof/>
              </w:rPr>
              <w:t>1.6: The scope of Study</w:t>
            </w:r>
            <w:r>
              <w:rPr>
                <w:noProof/>
                <w:webHidden/>
              </w:rPr>
              <w:tab/>
            </w:r>
            <w:r>
              <w:rPr>
                <w:noProof/>
                <w:webHidden/>
              </w:rPr>
              <w:fldChar w:fldCharType="begin"/>
            </w:r>
            <w:r>
              <w:rPr>
                <w:noProof/>
                <w:webHidden/>
              </w:rPr>
              <w:instrText xml:space="preserve"> PAGEREF _Toc211278849 \h </w:instrText>
            </w:r>
            <w:r>
              <w:rPr>
                <w:noProof/>
                <w:webHidden/>
              </w:rPr>
            </w:r>
            <w:r>
              <w:rPr>
                <w:noProof/>
                <w:webHidden/>
              </w:rPr>
              <w:fldChar w:fldCharType="separate"/>
            </w:r>
            <w:r>
              <w:rPr>
                <w:noProof/>
                <w:webHidden/>
              </w:rPr>
              <w:t>44</w:t>
            </w:r>
            <w:r>
              <w:rPr>
                <w:noProof/>
                <w:webHidden/>
              </w:rPr>
              <w:fldChar w:fldCharType="end"/>
            </w:r>
          </w:hyperlink>
        </w:p>
        <w:p w14:paraId="6D59C29E"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50" w:history="1">
            <w:r w:rsidRPr="00282733">
              <w:rPr>
                <w:rStyle w:val="Hyperlink"/>
                <w:noProof/>
              </w:rPr>
              <w:t>1.7: Motivation of Study</w:t>
            </w:r>
            <w:r>
              <w:rPr>
                <w:noProof/>
                <w:webHidden/>
              </w:rPr>
              <w:tab/>
            </w:r>
            <w:r>
              <w:rPr>
                <w:noProof/>
                <w:webHidden/>
              </w:rPr>
              <w:fldChar w:fldCharType="begin"/>
            </w:r>
            <w:r>
              <w:rPr>
                <w:noProof/>
                <w:webHidden/>
              </w:rPr>
              <w:instrText xml:space="preserve"> PAGEREF _Toc211278850 \h </w:instrText>
            </w:r>
            <w:r>
              <w:rPr>
                <w:noProof/>
                <w:webHidden/>
              </w:rPr>
            </w:r>
            <w:r>
              <w:rPr>
                <w:noProof/>
                <w:webHidden/>
              </w:rPr>
              <w:fldChar w:fldCharType="separate"/>
            </w:r>
            <w:r>
              <w:rPr>
                <w:noProof/>
                <w:webHidden/>
              </w:rPr>
              <w:t>48</w:t>
            </w:r>
            <w:r>
              <w:rPr>
                <w:noProof/>
                <w:webHidden/>
              </w:rPr>
              <w:fldChar w:fldCharType="end"/>
            </w:r>
          </w:hyperlink>
        </w:p>
        <w:p w14:paraId="278C16BE" w14:textId="77777777" w:rsidR="00646B26" w:rsidRDefault="00646B26" w:rsidP="00646B26">
          <w:pPr>
            <w:pStyle w:val="TOC1"/>
            <w:tabs>
              <w:tab w:val="right" w:leader="dot" w:pos="9350"/>
            </w:tabs>
            <w:rPr>
              <w:rFonts w:eastAsiaTheme="minorEastAsia" w:cstheme="minorBidi"/>
              <w:b w:val="0"/>
              <w:bCs w:val="0"/>
              <w:caps/>
              <w:noProof/>
              <w:kern w:val="2"/>
              <w:lang w:val="en-NG"/>
              <w14:ligatures w14:val="standardContextual"/>
            </w:rPr>
          </w:pPr>
          <w:hyperlink w:anchor="_Toc211278851" w:history="1">
            <w:r w:rsidRPr="00282733">
              <w:rPr>
                <w:rStyle w:val="Hyperlink"/>
                <w:noProof/>
              </w:rPr>
              <w:t>2.0 Literature Review</w:t>
            </w:r>
            <w:r>
              <w:rPr>
                <w:noProof/>
                <w:webHidden/>
              </w:rPr>
              <w:tab/>
            </w:r>
            <w:r>
              <w:rPr>
                <w:noProof/>
                <w:webHidden/>
              </w:rPr>
              <w:fldChar w:fldCharType="begin"/>
            </w:r>
            <w:r>
              <w:rPr>
                <w:noProof/>
                <w:webHidden/>
              </w:rPr>
              <w:instrText xml:space="preserve"> PAGEREF _Toc211278851 \h </w:instrText>
            </w:r>
            <w:r>
              <w:rPr>
                <w:noProof/>
                <w:webHidden/>
              </w:rPr>
            </w:r>
            <w:r>
              <w:rPr>
                <w:noProof/>
                <w:webHidden/>
              </w:rPr>
              <w:fldChar w:fldCharType="separate"/>
            </w:r>
            <w:r>
              <w:rPr>
                <w:noProof/>
                <w:webHidden/>
              </w:rPr>
              <w:t>51</w:t>
            </w:r>
            <w:r>
              <w:rPr>
                <w:noProof/>
                <w:webHidden/>
              </w:rPr>
              <w:fldChar w:fldCharType="end"/>
            </w:r>
          </w:hyperlink>
        </w:p>
        <w:p w14:paraId="44514DB7"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52" w:history="1">
            <w:r w:rsidRPr="00282733">
              <w:rPr>
                <w:rStyle w:val="Hyperlink"/>
                <w:noProof/>
              </w:rPr>
              <w:t>2.1 Introduction</w:t>
            </w:r>
            <w:r>
              <w:rPr>
                <w:noProof/>
                <w:webHidden/>
              </w:rPr>
              <w:tab/>
            </w:r>
            <w:r>
              <w:rPr>
                <w:noProof/>
                <w:webHidden/>
              </w:rPr>
              <w:fldChar w:fldCharType="begin"/>
            </w:r>
            <w:r>
              <w:rPr>
                <w:noProof/>
                <w:webHidden/>
              </w:rPr>
              <w:instrText xml:space="preserve"> PAGEREF _Toc211278852 \h </w:instrText>
            </w:r>
            <w:r>
              <w:rPr>
                <w:noProof/>
                <w:webHidden/>
              </w:rPr>
            </w:r>
            <w:r>
              <w:rPr>
                <w:noProof/>
                <w:webHidden/>
              </w:rPr>
              <w:fldChar w:fldCharType="separate"/>
            </w:r>
            <w:r>
              <w:rPr>
                <w:noProof/>
                <w:webHidden/>
              </w:rPr>
              <w:t>51</w:t>
            </w:r>
            <w:r>
              <w:rPr>
                <w:noProof/>
                <w:webHidden/>
              </w:rPr>
              <w:fldChar w:fldCharType="end"/>
            </w:r>
          </w:hyperlink>
        </w:p>
        <w:p w14:paraId="7E1F4563"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53" w:history="1">
            <w:r w:rsidRPr="00282733">
              <w:rPr>
                <w:rStyle w:val="Hyperlink"/>
                <w:noProof/>
              </w:rPr>
              <w:t>2.2 Corporate-Governance Indices Theory</w:t>
            </w:r>
            <w:r>
              <w:rPr>
                <w:noProof/>
                <w:webHidden/>
              </w:rPr>
              <w:tab/>
            </w:r>
            <w:r>
              <w:rPr>
                <w:noProof/>
                <w:webHidden/>
              </w:rPr>
              <w:fldChar w:fldCharType="begin"/>
            </w:r>
            <w:r>
              <w:rPr>
                <w:noProof/>
                <w:webHidden/>
              </w:rPr>
              <w:instrText xml:space="preserve"> PAGEREF _Toc211278853 \h </w:instrText>
            </w:r>
            <w:r>
              <w:rPr>
                <w:noProof/>
                <w:webHidden/>
              </w:rPr>
            </w:r>
            <w:r>
              <w:rPr>
                <w:noProof/>
                <w:webHidden/>
              </w:rPr>
              <w:fldChar w:fldCharType="separate"/>
            </w:r>
            <w:r>
              <w:rPr>
                <w:noProof/>
                <w:webHidden/>
              </w:rPr>
              <w:t>53</w:t>
            </w:r>
            <w:r>
              <w:rPr>
                <w:noProof/>
                <w:webHidden/>
              </w:rPr>
              <w:fldChar w:fldCharType="end"/>
            </w:r>
          </w:hyperlink>
        </w:p>
        <w:p w14:paraId="10B5D3F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54" w:history="1">
            <w:r w:rsidRPr="00282733">
              <w:rPr>
                <w:rStyle w:val="Hyperlink"/>
                <w:noProof/>
              </w:rPr>
              <w:t>2.2.1 Risk-Management Tenet and Capital Adequacy</w:t>
            </w:r>
            <w:r>
              <w:rPr>
                <w:noProof/>
                <w:webHidden/>
              </w:rPr>
              <w:tab/>
            </w:r>
            <w:r>
              <w:rPr>
                <w:noProof/>
                <w:webHidden/>
              </w:rPr>
              <w:fldChar w:fldCharType="begin"/>
            </w:r>
            <w:r>
              <w:rPr>
                <w:noProof/>
                <w:webHidden/>
              </w:rPr>
              <w:instrText xml:space="preserve"> PAGEREF _Toc211278854 \h </w:instrText>
            </w:r>
            <w:r>
              <w:rPr>
                <w:noProof/>
                <w:webHidden/>
              </w:rPr>
            </w:r>
            <w:r>
              <w:rPr>
                <w:noProof/>
                <w:webHidden/>
              </w:rPr>
              <w:fldChar w:fldCharType="separate"/>
            </w:r>
            <w:r>
              <w:rPr>
                <w:noProof/>
                <w:webHidden/>
              </w:rPr>
              <w:t>55</w:t>
            </w:r>
            <w:r>
              <w:rPr>
                <w:noProof/>
                <w:webHidden/>
              </w:rPr>
              <w:fldChar w:fldCharType="end"/>
            </w:r>
          </w:hyperlink>
        </w:p>
        <w:p w14:paraId="2A924F7A"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55" w:history="1">
            <w:r w:rsidRPr="00282733">
              <w:rPr>
                <w:rStyle w:val="Hyperlink"/>
                <w:noProof/>
              </w:rPr>
              <w:t>2.2.2 Transparency Index and Disclosure</w:t>
            </w:r>
            <w:r>
              <w:rPr>
                <w:noProof/>
                <w:webHidden/>
              </w:rPr>
              <w:tab/>
            </w:r>
            <w:r>
              <w:rPr>
                <w:noProof/>
                <w:webHidden/>
              </w:rPr>
              <w:fldChar w:fldCharType="begin"/>
            </w:r>
            <w:r>
              <w:rPr>
                <w:noProof/>
                <w:webHidden/>
              </w:rPr>
              <w:instrText xml:space="preserve"> PAGEREF _Toc211278855 \h </w:instrText>
            </w:r>
            <w:r>
              <w:rPr>
                <w:noProof/>
                <w:webHidden/>
              </w:rPr>
            </w:r>
            <w:r>
              <w:rPr>
                <w:noProof/>
                <w:webHidden/>
              </w:rPr>
              <w:fldChar w:fldCharType="separate"/>
            </w:r>
            <w:r>
              <w:rPr>
                <w:noProof/>
                <w:webHidden/>
              </w:rPr>
              <w:t>56</w:t>
            </w:r>
            <w:r>
              <w:rPr>
                <w:noProof/>
                <w:webHidden/>
              </w:rPr>
              <w:fldChar w:fldCharType="end"/>
            </w:r>
          </w:hyperlink>
        </w:p>
        <w:p w14:paraId="49FFC87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56" w:history="1">
            <w:r w:rsidRPr="00282733">
              <w:rPr>
                <w:rStyle w:val="Hyperlink"/>
                <w:noProof/>
              </w:rPr>
              <w:t>2.2.3 Practice Index and Operational Efficiency</w:t>
            </w:r>
            <w:r>
              <w:rPr>
                <w:noProof/>
                <w:webHidden/>
              </w:rPr>
              <w:tab/>
            </w:r>
            <w:r>
              <w:rPr>
                <w:noProof/>
                <w:webHidden/>
              </w:rPr>
              <w:fldChar w:fldCharType="begin"/>
            </w:r>
            <w:r>
              <w:rPr>
                <w:noProof/>
                <w:webHidden/>
              </w:rPr>
              <w:instrText xml:space="preserve"> PAGEREF _Toc211278856 \h </w:instrText>
            </w:r>
            <w:r>
              <w:rPr>
                <w:noProof/>
                <w:webHidden/>
              </w:rPr>
            </w:r>
            <w:r>
              <w:rPr>
                <w:noProof/>
                <w:webHidden/>
              </w:rPr>
              <w:fldChar w:fldCharType="separate"/>
            </w:r>
            <w:r>
              <w:rPr>
                <w:noProof/>
                <w:webHidden/>
              </w:rPr>
              <w:t>56</w:t>
            </w:r>
            <w:r>
              <w:rPr>
                <w:noProof/>
                <w:webHidden/>
              </w:rPr>
              <w:fldChar w:fldCharType="end"/>
            </w:r>
          </w:hyperlink>
        </w:p>
        <w:p w14:paraId="74BB8D6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57" w:history="1">
            <w:r w:rsidRPr="00282733">
              <w:rPr>
                <w:rStyle w:val="Hyperlink"/>
                <w:noProof/>
              </w:rPr>
              <w:t>2.2.4 Compliance Tenet and Regulatory Culture</w:t>
            </w:r>
            <w:r>
              <w:rPr>
                <w:noProof/>
                <w:webHidden/>
              </w:rPr>
              <w:tab/>
            </w:r>
            <w:r>
              <w:rPr>
                <w:noProof/>
                <w:webHidden/>
              </w:rPr>
              <w:fldChar w:fldCharType="begin"/>
            </w:r>
            <w:r>
              <w:rPr>
                <w:noProof/>
                <w:webHidden/>
              </w:rPr>
              <w:instrText xml:space="preserve"> PAGEREF _Toc211278857 \h </w:instrText>
            </w:r>
            <w:r>
              <w:rPr>
                <w:noProof/>
                <w:webHidden/>
              </w:rPr>
            </w:r>
            <w:r>
              <w:rPr>
                <w:noProof/>
                <w:webHidden/>
              </w:rPr>
              <w:fldChar w:fldCharType="separate"/>
            </w:r>
            <w:r>
              <w:rPr>
                <w:noProof/>
                <w:webHidden/>
              </w:rPr>
              <w:t>57</w:t>
            </w:r>
            <w:r>
              <w:rPr>
                <w:noProof/>
                <w:webHidden/>
              </w:rPr>
              <w:fldChar w:fldCharType="end"/>
            </w:r>
          </w:hyperlink>
        </w:p>
        <w:p w14:paraId="5A2D478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58" w:history="1">
            <w:r w:rsidRPr="00282733">
              <w:rPr>
                <w:rStyle w:val="Hyperlink"/>
                <w:noProof/>
              </w:rPr>
              <w:t>2.2.5 Synthesis and Hypothesis Development</w:t>
            </w:r>
            <w:r>
              <w:rPr>
                <w:noProof/>
                <w:webHidden/>
              </w:rPr>
              <w:tab/>
            </w:r>
            <w:r>
              <w:rPr>
                <w:noProof/>
                <w:webHidden/>
              </w:rPr>
              <w:fldChar w:fldCharType="begin"/>
            </w:r>
            <w:r>
              <w:rPr>
                <w:noProof/>
                <w:webHidden/>
              </w:rPr>
              <w:instrText xml:space="preserve"> PAGEREF _Toc211278858 \h </w:instrText>
            </w:r>
            <w:r>
              <w:rPr>
                <w:noProof/>
                <w:webHidden/>
              </w:rPr>
            </w:r>
            <w:r>
              <w:rPr>
                <w:noProof/>
                <w:webHidden/>
              </w:rPr>
              <w:fldChar w:fldCharType="separate"/>
            </w:r>
            <w:r>
              <w:rPr>
                <w:noProof/>
                <w:webHidden/>
              </w:rPr>
              <w:t>58</w:t>
            </w:r>
            <w:r>
              <w:rPr>
                <w:noProof/>
                <w:webHidden/>
              </w:rPr>
              <w:fldChar w:fldCharType="end"/>
            </w:r>
          </w:hyperlink>
        </w:p>
        <w:p w14:paraId="161E7B23"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59" w:history="1">
            <w:r w:rsidRPr="00282733">
              <w:rPr>
                <w:rStyle w:val="Hyperlink"/>
                <w:noProof/>
              </w:rPr>
              <w:t>2.3 Historical Legacies and Governance Evolution</w:t>
            </w:r>
            <w:r>
              <w:rPr>
                <w:noProof/>
                <w:webHidden/>
              </w:rPr>
              <w:tab/>
            </w:r>
            <w:r>
              <w:rPr>
                <w:noProof/>
                <w:webHidden/>
              </w:rPr>
              <w:fldChar w:fldCharType="begin"/>
            </w:r>
            <w:r>
              <w:rPr>
                <w:noProof/>
                <w:webHidden/>
              </w:rPr>
              <w:instrText xml:space="preserve"> PAGEREF _Toc211278859 \h </w:instrText>
            </w:r>
            <w:r>
              <w:rPr>
                <w:noProof/>
                <w:webHidden/>
              </w:rPr>
            </w:r>
            <w:r>
              <w:rPr>
                <w:noProof/>
                <w:webHidden/>
              </w:rPr>
              <w:fldChar w:fldCharType="separate"/>
            </w:r>
            <w:r>
              <w:rPr>
                <w:noProof/>
                <w:webHidden/>
              </w:rPr>
              <w:t>58</w:t>
            </w:r>
            <w:r>
              <w:rPr>
                <w:noProof/>
                <w:webHidden/>
              </w:rPr>
              <w:fldChar w:fldCharType="end"/>
            </w:r>
          </w:hyperlink>
        </w:p>
        <w:p w14:paraId="2A66A6D0"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0" w:history="1">
            <w:r w:rsidRPr="00282733">
              <w:rPr>
                <w:rStyle w:val="Hyperlink"/>
                <w:noProof/>
              </w:rPr>
              <w:t>2.3.1 Pre-Colonial Governance Systems</w:t>
            </w:r>
            <w:r>
              <w:rPr>
                <w:noProof/>
                <w:webHidden/>
              </w:rPr>
              <w:tab/>
            </w:r>
            <w:r>
              <w:rPr>
                <w:noProof/>
                <w:webHidden/>
              </w:rPr>
              <w:fldChar w:fldCharType="begin"/>
            </w:r>
            <w:r>
              <w:rPr>
                <w:noProof/>
                <w:webHidden/>
              </w:rPr>
              <w:instrText xml:space="preserve"> PAGEREF _Toc211278860 \h </w:instrText>
            </w:r>
            <w:r>
              <w:rPr>
                <w:noProof/>
                <w:webHidden/>
              </w:rPr>
            </w:r>
            <w:r>
              <w:rPr>
                <w:noProof/>
                <w:webHidden/>
              </w:rPr>
              <w:fldChar w:fldCharType="separate"/>
            </w:r>
            <w:r>
              <w:rPr>
                <w:noProof/>
                <w:webHidden/>
              </w:rPr>
              <w:t>59</w:t>
            </w:r>
            <w:r>
              <w:rPr>
                <w:noProof/>
                <w:webHidden/>
              </w:rPr>
              <w:fldChar w:fldCharType="end"/>
            </w:r>
          </w:hyperlink>
        </w:p>
        <w:p w14:paraId="3F1A3CC6"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1" w:history="1">
            <w:r w:rsidRPr="00282733">
              <w:rPr>
                <w:rStyle w:val="Hyperlink"/>
                <w:noProof/>
              </w:rPr>
              <w:t>2.3.2 Colonial Period: Imposition of British Frameworks</w:t>
            </w:r>
            <w:r>
              <w:rPr>
                <w:noProof/>
                <w:webHidden/>
              </w:rPr>
              <w:tab/>
            </w:r>
            <w:r>
              <w:rPr>
                <w:noProof/>
                <w:webHidden/>
              </w:rPr>
              <w:fldChar w:fldCharType="begin"/>
            </w:r>
            <w:r>
              <w:rPr>
                <w:noProof/>
                <w:webHidden/>
              </w:rPr>
              <w:instrText xml:space="preserve"> PAGEREF _Toc211278861 \h </w:instrText>
            </w:r>
            <w:r>
              <w:rPr>
                <w:noProof/>
                <w:webHidden/>
              </w:rPr>
            </w:r>
            <w:r>
              <w:rPr>
                <w:noProof/>
                <w:webHidden/>
              </w:rPr>
              <w:fldChar w:fldCharType="separate"/>
            </w:r>
            <w:r>
              <w:rPr>
                <w:noProof/>
                <w:webHidden/>
              </w:rPr>
              <w:t>60</w:t>
            </w:r>
            <w:r>
              <w:rPr>
                <w:noProof/>
                <w:webHidden/>
              </w:rPr>
              <w:fldChar w:fldCharType="end"/>
            </w:r>
          </w:hyperlink>
        </w:p>
        <w:p w14:paraId="6C9A4F2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2" w:history="1">
            <w:r w:rsidRPr="00282733">
              <w:rPr>
                <w:rStyle w:val="Hyperlink"/>
                <w:noProof/>
              </w:rPr>
              <w:t>2.3.3 Post-Independence: Regulatory Adaptations and Challenges</w:t>
            </w:r>
            <w:r>
              <w:rPr>
                <w:noProof/>
                <w:webHidden/>
              </w:rPr>
              <w:tab/>
            </w:r>
            <w:r>
              <w:rPr>
                <w:noProof/>
                <w:webHidden/>
              </w:rPr>
              <w:fldChar w:fldCharType="begin"/>
            </w:r>
            <w:r>
              <w:rPr>
                <w:noProof/>
                <w:webHidden/>
              </w:rPr>
              <w:instrText xml:space="preserve"> PAGEREF _Toc211278862 \h </w:instrText>
            </w:r>
            <w:r>
              <w:rPr>
                <w:noProof/>
                <w:webHidden/>
              </w:rPr>
            </w:r>
            <w:r>
              <w:rPr>
                <w:noProof/>
                <w:webHidden/>
              </w:rPr>
              <w:fldChar w:fldCharType="separate"/>
            </w:r>
            <w:r>
              <w:rPr>
                <w:noProof/>
                <w:webHidden/>
              </w:rPr>
              <w:t>65</w:t>
            </w:r>
            <w:r>
              <w:rPr>
                <w:noProof/>
                <w:webHidden/>
              </w:rPr>
              <w:fldChar w:fldCharType="end"/>
            </w:r>
          </w:hyperlink>
        </w:p>
        <w:p w14:paraId="76DB28C3"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3" w:history="1">
            <w:r w:rsidRPr="00282733">
              <w:rPr>
                <w:rStyle w:val="Hyperlink"/>
                <w:noProof/>
              </w:rPr>
              <w:t>2.3.4 The Legacy in the Post-2004 Consolidation Era</w:t>
            </w:r>
            <w:r>
              <w:rPr>
                <w:noProof/>
                <w:webHidden/>
              </w:rPr>
              <w:tab/>
            </w:r>
            <w:r>
              <w:rPr>
                <w:noProof/>
                <w:webHidden/>
              </w:rPr>
              <w:fldChar w:fldCharType="begin"/>
            </w:r>
            <w:r>
              <w:rPr>
                <w:noProof/>
                <w:webHidden/>
              </w:rPr>
              <w:instrText xml:space="preserve"> PAGEREF _Toc211278863 \h </w:instrText>
            </w:r>
            <w:r>
              <w:rPr>
                <w:noProof/>
                <w:webHidden/>
              </w:rPr>
            </w:r>
            <w:r>
              <w:rPr>
                <w:noProof/>
                <w:webHidden/>
              </w:rPr>
              <w:fldChar w:fldCharType="separate"/>
            </w:r>
            <w:r>
              <w:rPr>
                <w:noProof/>
                <w:webHidden/>
              </w:rPr>
              <w:t>66</w:t>
            </w:r>
            <w:r>
              <w:rPr>
                <w:noProof/>
                <w:webHidden/>
              </w:rPr>
              <w:fldChar w:fldCharType="end"/>
            </w:r>
          </w:hyperlink>
        </w:p>
        <w:p w14:paraId="50B7B773"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4" w:history="1">
            <w:r w:rsidRPr="00282733">
              <w:rPr>
                <w:rStyle w:val="Hyperlink"/>
                <w:noProof/>
              </w:rPr>
              <w:t>2.3.5 Ties to CG Indices</w:t>
            </w:r>
            <w:r>
              <w:rPr>
                <w:noProof/>
                <w:webHidden/>
              </w:rPr>
              <w:tab/>
            </w:r>
            <w:r>
              <w:rPr>
                <w:noProof/>
                <w:webHidden/>
              </w:rPr>
              <w:fldChar w:fldCharType="begin"/>
            </w:r>
            <w:r>
              <w:rPr>
                <w:noProof/>
                <w:webHidden/>
              </w:rPr>
              <w:instrText xml:space="preserve"> PAGEREF _Toc211278864 \h </w:instrText>
            </w:r>
            <w:r>
              <w:rPr>
                <w:noProof/>
                <w:webHidden/>
              </w:rPr>
            </w:r>
            <w:r>
              <w:rPr>
                <w:noProof/>
                <w:webHidden/>
              </w:rPr>
              <w:fldChar w:fldCharType="separate"/>
            </w:r>
            <w:r>
              <w:rPr>
                <w:noProof/>
                <w:webHidden/>
              </w:rPr>
              <w:t>67</w:t>
            </w:r>
            <w:r>
              <w:rPr>
                <w:noProof/>
                <w:webHidden/>
              </w:rPr>
              <w:fldChar w:fldCharType="end"/>
            </w:r>
          </w:hyperlink>
        </w:p>
        <w:p w14:paraId="3305A54C"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65" w:history="1">
            <w:r w:rsidRPr="00282733">
              <w:rPr>
                <w:rStyle w:val="Hyperlink"/>
                <w:noProof/>
              </w:rPr>
              <w:t>2.4 Regulatory Multiplicity and Enforcement Challenges</w:t>
            </w:r>
            <w:r>
              <w:rPr>
                <w:noProof/>
                <w:webHidden/>
              </w:rPr>
              <w:tab/>
            </w:r>
            <w:r>
              <w:rPr>
                <w:noProof/>
                <w:webHidden/>
              </w:rPr>
              <w:fldChar w:fldCharType="begin"/>
            </w:r>
            <w:r>
              <w:rPr>
                <w:noProof/>
                <w:webHidden/>
              </w:rPr>
              <w:instrText xml:space="preserve"> PAGEREF _Toc211278865 \h </w:instrText>
            </w:r>
            <w:r>
              <w:rPr>
                <w:noProof/>
                <w:webHidden/>
              </w:rPr>
            </w:r>
            <w:r>
              <w:rPr>
                <w:noProof/>
                <w:webHidden/>
              </w:rPr>
              <w:fldChar w:fldCharType="separate"/>
            </w:r>
            <w:r>
              <w:rPr>
                <w:noProof/>
                <w:webHidden/>
              </w:rPr>
              <w:t>70</w:t>
            </w:r>
            <w:r>
              <w:rPr>
                <w:noProof/>
                <w:webHidden/>
              </w:rPr>
              <w:fldChar w:fldCharType="end"/>
            </w:r>
          </w:hyperlink>
        </w:p>
        <w:p w14:paraId="7AA32B60"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6" w:history="1">
            <w:r w:rsidRPr="00282733">
              <w:rPr>
                <w:rStyle w:val="Hyperlink"/>
                <w:noProof/>
              </w:rPr>
              <w:t>2.4.1 The Fragmented Regulatory Landscape in Nigeria</w:t>
            </w:r>
            <w:r>
              <w:rPr>
                <w:noProof/>
                <w:webHidden/>
              </w:rPr>
              <w:tab/>
            </w:r>
            <w:r>
              <w:rPr>
                <w:noProof/>
                <w:webHidden/>
              </w:rPr>
              <w:fldChar w:fldCharType="begin"/>
            </w:r>
            <w:r>
              <w:rPr>
                <w:noProof/>
                <w:webHidden/>
              </w:rPr>
              <w:instrText xml:space="preserve"> PAGEREF _Toc211278866 \h </w:instrText>
            </w:r>
            <w:r>
              <w:rPr>
                <w:noProof/>
                <w:webHidden/>
              </w:rPr>
            </w:r>
            <w:r>
              <w:rPr>
                <w:noProof/>
                <w:webHidden/>
              </w:rPr>
              <w:fldChar w:fldCharType="separate"/>
            </w:r>
            <w:r>
              <w:rPr>
                <w:noProof/>
                <w:webHidden/>
              </w:rPr>
              <w:t>70</w:t>
            </w:r>
            <w:r>
              <w:rPr>
                <w:noProof/>
                <w:webHidden/>
              </w:rPr>
              <w:fldChar w:fldCharType="end"/>
            </w:r>
          </w:hyperlink>
        </w:p>
        <w:p w14:paraId="60C3E8C0"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7" w:history="1">
            <w:r w:rsidRPr="00282733">
              <w:rPr>
                <w:rStyle w:val="Hyperlink"/>
                <w:noProof/>
              </w:rPr>
              <w:t>2.4.2 Conflicts and Inconsistencies Among Codes</w:t>
            </w:r>
            <w:r>
              <w:rPr>
                <w:noProof/>
                <w:webHidden/>
              </w:rPr>
              <w:tab/>
            </w:r>
            <w:r>
              <w:rPr>
                <w:noProof/>
                <w:webHidden/>
              </w:rPr>
              <w:fldChar w:fldCharType="begin"/>
            </w:r>
            <w:r>
              <w:rPr>
                <w:noProof/>
                <w:webHidden/>
              </w:rPr>
              <w:instrText xml:space="preserve"> PAGEREF _Toc211278867 \h </w:instrText>
            </w:r>
            <w:r>
              <w:rPr>
                <w:noProof/>
                <w:webHidden/>
              </w:rPr>
            </w:r>
            <w:r>
              <w:rPr>
                <w:noProof/>
                <w:webHidden/>
              </w:rPr>
              <w:fldChar w:fldCharType="separate"/>
            </w:r>
            <w:r>
              <w:rPr>
                <w:noProof/>
                <w:webHidden/>
              </w:rPr>
              <w:t>72</w:t>
            </w:r>
            <w:r>
              <w:rPr>
                <w:noProof/>
                <w:webHidden/>
              </w:rPr>
              <w:fldChar w:fldCharType="end"/>
            </w:r>
          </w:hyperlink>
        </w:p>
        <w:p w14:paraId="56C4F6B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8" w:history="1">
            <w:r w:rsidRPr="00282733">
              <w:rPr>
                <w:rStyle w:val="Hyperlink"/>
                <w:noProof/>
              </w:rPr>
              <w:t>2.4.3 Global Perspectives on Regulatory Harmonization</w:t>
            </w:r>
            <w:r>
              <w:rPr>
                <w:noProof/>
                <w:webHidden/>
              </w:rPr>
              <w:tab/>
            </w:r>
            <w:r>
              <w:rPr>
                <w:noProof/>
                <w:webHidden/>
              </w:rPr>
              <w:fldChar w:fldCharType="begin"/>
            </w:r>
            <w:r>
              <w:rPr>
                <w:noProof/>
                <w:webHidden/>
              </w:rPr>
              <w:instrText xml:space="preserve"> PAGEREF _Toc211278868 \h </w:instrText>
            </w:r>
            <w:r>
              <w:rPr>
                <w:noProof/>
                <w:webHidden/>
              </w:rPr>
            </w:r>
            <w:r>
              <w:rPr>
                <w:noProof/>
                <w:webHidden/>
              </w:rPr>
              <w:fldChar w:fldCharType="separate"/>
            </w:r>
            <w:r>
              <w:rPr>
                <w:noProof/>
                <w:webHidden/>
              </w:rPr>
              <w:t>75</w:t>
            </w:r>
            <w:r>
              <w:rPr>
                <w:noProof/>
                <w:webHidden/>
              </w:rPr>
              <w:fldChar w:fldCharType="end"/>
            </w:r>
          </w:hyperlink>
        </w:p>
        <w:p w14:paraId="5D3A0367"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69" w:history="1">
            <w:r w:rsidRPr="00282733">
              <w:rPr>
                <w:rStyle w:val="Hyperlink"/>
                <w:noProof/>
              </w:rPr>
              <w:t>2.4.4 Implications for Default Risk and NPLs</w:t>
            </w:r>
            <w:r>
              <w:rPr>
                <w:noProof/>
                <w:webHidden/>
              </w:rPr>
              <w:tab/>
            </w:r>
            <w:r>
              <w:rPr>
                <w:noProof/>
                <w:webHidden/>
              </w:rPr>
              <w:fldChar w:fldCharType="begin"/>
            </w:r>
            <w:r>
              <w:rPr>
                <w:noProof/>
                <w:webHidden/>
              </w:rPr>
              <w:instrText xml:space="preserve"> PAGEREF _Toc211278869 \h </w:instrText>
            </w:r>
            <w:r>
              <w:rPr>
                <w:noProof/>
                <w:webHidden/>
              </w:rPr>
            </w:r>
            <w:r>
              <w:rPr>
                <w:noProof/>
                <w:webHidden/>
              </w:rPr>
              <w:fldChar w:fldCharType="separate"/>
            </w:r>
            <w:r>
              <w:rPr>
                <w:noProof/>
                <w:webHidden/>
              </w:rPr>
              <w:t>77</w:t>
            </w:r>
            <w:r>
              <w:rPr>
                <w:noProof/>
                <w:webHidden/>
              </w:rPr>
              <w:fldChar w:fldCharType="end"/>
            </w:r>
          </w:hyperlink>
        </w:p>
        <w:p w14:paraId="15A16B59"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70" w:history="1">
            <w:r w:rsidRPr="00282733">
              <w:rPr>
                <w:rStyle w:val="Hyperlink"/>
                <w:noProof/>
              </w:rPr>
              <w:t>2.5. Theoretical Foundations of Board Oversight</w:t>
            </w:r>
            <w:r>
              <w:rPr>
                <w:noProof/>
                <w:webHidden/>
              </w:rPr>
              <w:tab/>
            </w:r>
            <w:r>
              <w:rPr>
                <w:noProof/>
                <w:webHidden/>
              </w:rPr>
              <w:fldChar w:fldCharType="begin"/>
            </w:r>
            <w:r>
              <w:rPr>
                <w:noProof/>
                <w:webHidden/>
              </w:rPr>
              <w:instrText xml:space="preserve"> PAGEREF _Toc211278870 \h </w:instrText>
            </w:r>
            <w:r>
              <w:rPr>
                <w:noProof/>
                <w:webHidden/>
              </w:rPr>
            </w:r>
            <w:r>
              <w:rPr>
                <w:noProof/>
                <w:webHidden/>
              </w:rPr>
              <w:fldChar w:fldCharType="separate"/>
            </w:r>
            <w:r>
              <w:rPr>
                <w:noProof/>
                <w:webHidden/>
              </w:rPr>
              <w:t>79</w:t>
            </w:r>
            <w:r>
              <w:rPr>
                <w:noProof/>
                <w:webHidden/>
              </w:rPr>
              <w:fldChar w:fldCharType="end"/>
            </w:r>
          </w:hyperlink>
        </w:p>
        <w:p w14:paraId="6CA00281"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1" w:history="1">
            <w:r w:rsidRPr="00282733">
              <w:rPr>
                <w:rStyle w:val="Hyperlink"/>
                <w:noProof/>
              </w:rPr>
              <w:t>2.5.1. Agency Theory and Board Monitoring</w:t>
            </w:r>
            <w:r>
              <w:rPr>
                <w:noProof/>
                <w:webHidden/>
              </w:rPr>
              <w:tab/>
            </w:r>
            <w:r>
              <w:rPr>
                <w:noProof/>
                <w:webHidden/>
              </w:rPr>
              <w:fldChar w:fldCharType="begin"/>
            </w:r>
            <w:r>
              <w:rPr>
                <w:noProof/>
                <w:webHidden/>
              </w:rPr>
              <w:instrText xml:space="preserve"> PAGEREF _Toc211278871 \h </w:instrText>
            </w:r>
            <w:r>
              <w:rPr>
                <w:noProof/>
                <w:webHidden/>
              </w:rPr>
            </w:r>
            <w:r>
              <w:rPr>
                <w:noProof/>
                <w:webHidden/>
              </w:rPr>
              <w:fldChar w:fldCharType="separate"/>
            </w:r>
            <w:r>
              <w:rPr>
                <w:noProof/>
                <w:webHidden/>
              </w:rPr>
              <w:t>79</w:t>
            </w:r>
            <w:r>
              <w:rPr>
                <w:noProof/>
                <w:webHidden/>
              </w:rPr>
              <w:fldChar w:fldCharType="end"/>
            </w:r>
          </w:hyperlink>
        </w:p>
        <w:p w14:paraId="518D1283"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2" w:history="1">
            <w:r w:rsidRPr="00282733">
              <w:rPr>
                <w:rStyle w:val="Hyperlink"/>
                <w:noProof/>
              </w:rPr>
              <w:t>2.5.2 Stewardship Theory and Strategic Guidance</w:t>
            </w:r>
            <w:r>
              <w:rPr>
                <w:noProof/>
                <w:webHidden/>
              </w:rPr>
              <w:tab/>
            </w:r>
            <w:r>
              <w:rPr>
                <w:noProof/>
                <w:webHidden/>
              </w:rPr>
              <w:fldChar w:fldCharType="begin"/>
            </w:r>
            <w:r>
              <w:rPr>
                <w:noProof/>
                <w:webHidden/>
              </w:rPr>
              <w:instrText xml:space="preserve"> PAGEREF _Toc211278872 \h </w:instrText>
            </w:r>
            <w:r>
              <w:rPr>
                <w:noProof/>
                <w:webHidden/>
              </w:rPr>
            </w:r>
            <w:r>
              <w:rPr>
                <w:noProof/>
                <w:webHidden/>
              </w:rPr>
              <w:fldChar w:fldCharType="separate"/>
            </w:r>
            <w:r>
              <w:rPr>
                <w:noProof/>
                <w:webHidden/>
              </w:rPr>
              <w:t>79</w:t>
            </w:r>
            <w:r>
              <w:rPr>
                <w:noProof/>
                <w:webHidden/>
              </w:rPr>
              <w:fldChar w:fldCharType="end"/>
            </w:r>
          </w:hyperlink>
        </w:p>
        <w:p w14:paraId="2C0C0AFA"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3" w:history="1">
            <w:r w:rsidRPr="00282733">
              <w:rPr>
                <w:rStyle w:val="Hyperlink"/>
                <w:noProof/>
              </w:rPr>
              <w:t>2.5.3 Board Cronyism and Governance Failures in Nigeria</w:t>
            </w:r>
            <w:r>
              <w:rPr>
                <w:noProof/>
                <w:webHidden/>
              </w:rPr>
              <w:tab/>
            </w:r>
            <w:r>
              <w:rPr>
                <w:noProof/>
                <w:webHidden/>
              </w:rPr>
              <w:fldChar w:fldCharType="begin"/>
            </w:r>
            <w:r>
              <w:rPr>
                <w:noProof/>
                <w:webHidden/>
              </w:rPr>
              <w:instrText xml:space="preserve"> PAGEREF _Toc211278873 \h </w:instrText>
            </w:r>
            <w:r>
              <w:rPr>
                <w:noProof/>
                <w:webHidden/>
              </w:rPr>
            </w:r>
            <w:r>
              <w:rPr>
                <w:noProof/>
                <w:webHidden/>
              </w:rPr>
              <w:fldChar w:fldCharType="separate"/>
            </w:r>
            <w:r>
              <w:rPr>
                <w:noProof/>
                <w:webHidden/>
              </w:rPr>
              <w:t>80</w:t>
            </w:r>
            <w:r>
              <w:rPr>
                <w:noProof/>
                <w:webHidden/>
              </w:rPr>
              <w:fldChar w:fldCharType="end"/>
            </w:r>
          </w:hyperlink>
        </w:p>
        <w:p w14:paraId="650DD510"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4" w:history="1">
            <w:r w:rsidRPr="00282733">
              <w:rPr>
                <w:rStyle w:val="Hyperlink"/>
                <w:noProof/>
              </w:rPr>
              <w:t>2.5.4 Consequences for Default Risk and NPLs</w:t>
            </w:r>
            <w:r>
              <w:rPr>
                <w:noProof/>
                <w:webHidden/>
              </w:rPr>
              <w:tab/>
            </w:r>
            <w:r>
              <w:rPr>
                <w:noProof/>
                <w:webHidden/>
              </w:rPr>
              <w:fldChar w:fldCharType="begin"/>
            </w:r>
            <w:r>
              <w:rPr>
                <w:noProof/>
                <w:webHidden/>
              </w:rPr>
              <w:instrText xml:space="preserve"> PAGEREF _Toc211278874 \h </w:instrText>
            </w:r>
            <w:r>
              <w:rPr>
                <w:noProof/>
                <w:webHidden/>
              </w:rPr>
            </w:r>
            <w:r>
              <w:rPr>
                <w:noProof/>
                <w:webHidden/>
              </w:rPr>
              <w:fldChar w:fldCharType="separate"/>
            </w:r>
            <w:r>
              <w:rPr>
                <w:noProof/>
                <w:webHidden/>
              </w:rPr>
              <w:t>83</w:t>
            </w:r>
            <w:r>
              <w:rPr>
                <w:noProof/>
                <w:webHidden/>
              </w:rPr>
              <w:fldChar w:fldCharType="end"/>
            </w:r>
          </w:hyperlink>
        </w:p>
        <w:p w14:paraId="5EB3A226"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5" w:history="1">
            <w:r w:rsidRPr="00282733">
              <w:rPr>
                <w:rStyle w:val="Hyperlink"/>
                <w:noProof/>
              </w:rPr>
              <w:t>2.5.5 Ties to Corporate Governance Tenets</w:t>
            </w:r>
            <w:r>
              <w:rPr>
                <w:noProof/>
                <w:webHidden/>
              </w:rPr>
              <w:tab/>
            </w:r>
            <w:r>
              <w:rPr>
                <w:noProof/>
                <w:webHidden/>
              </w:rPr>
              <w:fldChar w:fldCharType="begin"/>
            </w:r>
            <w:r>
              <w:rPr>
                <w:noProof/>
                <w:webHidden/>
              </w:rPr>
              <w:instrText xml:space="preserve"> PAGEREF _Toc211278875 \h </w:instrText>
            </w:r>
            <w:r>
              <w:rPr>
                <w:noProof/>
                <w:webHidden/>
              </w:rPr>
            </w:r>
            <w:r>
              <w:rPr>
                <w:noProof/>
                <w:webHidden/>
              </w:rPr>
              <w:fldChar w:fldCharType="separate"/>
            </w:r>
            <w:r>
              <w:rPr>
                <w:noProof/>
                <w:webHidden/>
              </w:rPr>
              <w:t>86</w:t>
            </w:r>
            <w:r>
              <w:rPr>
                <w:noProof/>
                <w:webHidden/>
              </w:rPr>
              <w:fldChar w:fldCharType="end"/>
            </w:r>
          </w:hyperlink>
        </w:p>
        <w:p w14:paraId="2C6075C1"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76" w:history="1">
            <w:r w:rsidRPr="00282733">
              <w:rPr>
                <w:rStyle w:val="Hyperlink"/>
                <w:noProof/>
              </w:rPr>
              <w:t>2.6 Audit Committee Independence and Financial Reporting</w:t>
            </w:r>
            <w:r>
              <w:rPr>
                <w:noProof/>
                <w:webHidden/>
              </w:rPr>
              <w:tab/>
            </w:r>
            <w:r>
              <w:rPr>
                <w:noProof/>
                <w:webHidden/>
              </w:rPr>
              <w:fldChar w:fldCharType="begin"/>
            </w:r>
            <w:r>
              <w:rPr>
                <w:noProof/>
                <w:webHidden/>
              </w:rPr>
              <w:instrText xml:space="preserve"> PAGEREF _Toc211278876 \h </w:instrText>
            </w:r>
            <w:r>
              <w:rPr>
                <w:noProof/>
                <w:webHidden/>
              </w:rPr>
            </w:r>
            <w:r>
              <w:rPr>
                <w:noProof/>
                <w:webHidden/>
              </w:rPr>
              <w:fldChar w:fldCharType="separate"/>
            </w:r>
            <w:r>
              <w:rPr>
                <w:noProof/>
                <w:webHidden/>
              </w:rPr>
              <w:t>87</w:t>
            </w:r>
            <w:r>
              <w:rPr>
                <w:noProof/>
                <w:webHidden/>
              </w:rPr>
              <w:fldChar w:fldCharType="end"/>
            </w:r>
          </w:hyperlink>
        </w:p>
        <w:p w14:paraId="0B9240D0"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7" w:history="1">
            <w:r w:rsidRPr="00282733">
              <w:rPr>
                <w:rStyle w:val="Hyperlink"/>
                <w:noProof/>
              </w:rPr>
              <w:t>2.6.1 Theoretical Foundations of Audit Committee Roles</w:t>
            </w:r>
            <w:r>
              <w:rPr>
                <w:noProof/>
                <w:webHidden/>
              </w:rPr>
              <w:tab/>
            </w:r>
            <w:r>
              <w:rPr>
                <w:noProof/>
                <w:webHidden/>
              </w:rPr>
              <w:fldChar w:fldCharType="begin"/>
            </w:r>
            <w:r>
              <w:rPr>
                <w:noProof/>
                <w:webHidden/>
              </w:rPr>
              <w:instrText xml:space="preserve"> PAGEREF _Toc211278877 \h </w:instrText>
            </w:r>
            <w:r>
              <w:rPr>
                <w:noProof/>
                <w:webHidden/>
              </w:rPr>
            </w:r>
            <w:r>
              <w:rPr>
                <w:noProof/>
                <w:webHidden/>
              </w:rPr>
              <w:fldChar w:fldCharType="separate"/>
            </w:r>
            <w:r>
              <w:rPr>
                <w:noProof/>
                <w:webHidden/>
              </w:rPr>
              <w:t>87</w:t>
            </w:r>
            <w:r>
              <w:rPr>
                <w:noProof/>
                <w:webHidden/>
              </w:rPr>
              <w:fldChar w:fldCharType="end"/>
            </w:r>
          </w:hyperlink>
        </w:p>
        <w:p w14:paraId="04CD1AEC"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8" w:history="1">
            <w:r w:rsidRPr="00282733">
              <w:rPr>
                <w:rStyle w:val="Hyperlink"/>
                <w:noProof/>
              </w:rPr>
              <w:t>2.6.2 Challenges to Audit Committee Independence in Nigeria</w:t>
            </w:r>
            <w:r>
              <w:rPr>
                <w:noProof/>
                <w:webHidden/>
              </w:rPr>
              <w:tab/>
            </w:r>
            <w:r>
              <w:rPr>
                <w:noProof/>
                <w:webHidden/>
              </w:rPr>
              <w:fldChar w:fldCharType="begin"/>
            </w:r>
            <w:r>
              <w:rPr>
                <w:noProof/>
                <w:webHidden/>
              </w:rPr>
              <w:instrText xml:space="preserve"> PAGEREF _Toc211278878 \h </w:instrText>
            </w:r>
            <w:r>
              <w:rPr>
                <w:noProof/>
                <w:webHidden/>
              </w:rPr>
            </w:r>
            <w:r>
              <w:rPr>
                <w:noProof/>
                <w:webHidden/>
              </w:rPr>
              <w:fldChar w:fldCharType="separate"/>
            </w:r>
            <w:r>
              <w:rPr>
                <w:noProof/>
                <w:webHidden/>
              </w:rPr>
              <w:t>89</w:t>
            </w:r>
            <w:r>
              <w:rPr>
                <w:noProof/>
                <w:webHidden/>
              </w:rPr>
              <w:fldChar w:fldCharType="end"/>
            </w:r>
          </w:hyperlink>
        </w:p>
        <w:p w14:paraId="4B8E7B6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79" w:history="1">
            <w:r w:rsidRPr="00282733">
              <w:rPr>
                <w:rStyle w:val="Hyperlink"/>
                <w:noProof/>
              </w:rPr>
              <w:t>2.6.3 Impact on NPLs and Default Risk</w:t>
            </w:r>
            <w:r>
              <w:rPr>
                <w:noProof/>
                <w:webHidden/>
              </w:rPr>
              <w:tab/>
            </w:r>
            <w:r>
              <w:rPr>
                <w:noProof/>
                <w:webHidden/>
              </w:rPr>
              <w:fldChar w:fldCharType="begin"/>
            </w:r>
            <w:r>
              <w:rPr>
                <w:noProof/>
                <w:webHidden/>
              </w:rPr>
              <w:instrText xml:space="preserve"> PAGEREF _Toc211278879 \h </w:instrText>
            </w:r>
            <w:r>
              <w:rPr>
                <w:noProof/>
                <w:webHidden/>
              </w:rPr>
            </w:r>
            <w:r>
              <w:rPr>
                <w:noProof/>
                <w:webHidden/>
              </w:rPr>
              <w:fldChar w:fldCharType="separate"/>
            </w:r>
            <w:r>
              <w:rPr>
                <w:noProof/>
                <w:webHidden/>
              </w:rPr>
              <w:t>92</w:t>
            </w:r>
            <w:r>
              <w:rPr>
                <w:noProof/>
                <w:webHidden/>
              </w:rPr>
              <w:fldChar w:fldCharType="end"/>
            </w:r>
          </w:hyperlink>
        </w:p>
        <w:p w14:paraId="34218DB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0" w:history="1">
            <w:r w:rsidRPr="00282733">
              <w:rPr>
                <w:rStyle w:val="Hyperlink"/>
                <w:noProof/>
              </w:rPr>
              <w:t>2.6.4 Global Standards and Lessons for Nigeria</w:t>
            </w:r>
            <w:r>
              <w:rPr>
                <w:noProof/>
                <w:webHidden/>
              </w:rPr>
              <w:tab/>
            </w:r>
            <w:r>
              <w:rPr>
                <w:noProof/>
                <w:webHidden/>
              </w:rPr>
              <w:fldChar w:fldCharType="begin"/>
            </w:r>
            <w:r>
              <w:rPr>
                <w:noProof/>
                <w:webHidden/>
              </w:rPr>
              <w:instrText xml:space="preserve"> PAGEREF _Toc211278880 \h </w:instrText>
            </w:r>
            <w:r>
              <w:rPr>
                <w:noProof/>
                <w:webHidden/>
              </w:rPr>
            </w:r>
            <w:r>
              <w:rPr>
                <w:noProof/>
                <w:webHidden/>
              </w:rPr>
              <w:fldChar w:fldCharType="separate"/>
            </w:r>
            <w:r>
              <w:rPr>
                <w:noProof/>
                <w:webHidden/>
              </w:rPr>
              <w:t>92</w:t>
            </w:r>
            <w:r>
              <w:rPr>
                <w:noProof/>
                <w:webHidden/>
              </w:rPr>
              <w:fldChar w:fldCharType="end"/>
            </w:r>
          </w:hyperlink>
        </w:p>
        <w:p w14:paraId="06476BA6"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1" w:history="1">
            <w:r w:rsidRPr="00282733">
              <w:rPr>
                <w:rStyle w:val="Hyperlink"/>
                <w:noProof/>
              </w:rPr>
              <w:t>2.6.5 Ties to Corporate Governance Tenets</w:t>
            </w:r>
            <w:r>
              <w:rPr>
                <w:noProof/>
                <w:webHidden/>
              </w:rPr>
              <w:tab/>
            </w:r>
            <w:r>
              <w:rPr>
                <w:noProof/>
                <w:webHidden/>
              </w:rPr>
              <w:fldChar w:fldCharType="begin"/>
            </w:r>
            <w:r>
              <w:rPr>
                <w:noProof/>
                <w:webHidden/>
              </w:rPr>
              <w:instrText xml:space="preserve"> PAGEREF _Toc211278881 \h </w:instrText>
            </w:r>
            <w:r>
              <w:rPr>
                <w:noProof/>
                <w:webHidden/>
              </w:rPr>
            </w:r>
            <w:r>
              <w:rPr>
                <w:noProof/>
                <w:webHidden/>
              </w:rPr>
              <w:fldChar w:fldCharType="separate"/>
            </w:r>
            <w:r>
              <w:rPr>
                <w:noProof/>
                <w:webHidden/>
              </w:rPr>
              <w:t>95</w:t>
            </w:r>
            <w:r>
              <w:rPr>
                <w:noProof/>
                <w:webHidden/>
              </w:rPr>
              <w:fldChar w:fldCharType="end"/>
            </w:r>
          </w:hyperlink>
        </w:p>
        <w:p w14:paraId="7CF96690"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82" w:history="1">
            <w:r w:rsidRPr="00282733">
              <w:rPr>
                <w:rStyle w:val="Hyperlink"/>
                <w:noProof/>
              </w:rPr>
              <w:t>2.8 Risk Management Failures and Fraud Concealment</w:t>
            </w:r>
            <w:r>
              <w:rPr>
                <w:noProof/>
                <w:webHidden/>
              </w:rPr>
              <w:tab/>
            </w:r>
            <w:r>
              <w:rPr>
                <w:noProof/>
                <w:webHidden/>
              </w:rPr>
              <w:fldChar w:fldCharType="begin"/>
            </w:r>
            <w:r>
              <w:rPr>
                <w:noProof/>
                <w:webHidden/>
              </w:rPr>
              <w:instrText xml:space="preserve"> PAGEREF _Toc211278882 \h </w:instrText>
            </w:r>
            <w:r>
              <w:rPr>
                <w:noProof/>
                <w:webHidden/>
              </w:rPr>
            </w:r>
            <w:r>
              <w:rPr>
                <w:noProof/>
                <w:webHidden/>
              </w:rPr>
              <w:fldChar w:fldCharType="separate"/>
            </w:r>
            <w:r>
              <w:rPr>
                <w:noProof/>
                <w:webHidden/>
              </w:rPr>
              <w:t>104</w:t>
            </w:r>
            <w:r>
              <w:rPr>
                <w:noProof/>
                <w:webHidden/>
              </w:rPr>
              <w:fldChar w:fldCharType="end"/>
            </w:r>
          </w:hyperlink>
        </w:p>
        <w:p w14:paraId="06E0A96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3" w:history="1">
            <w:r w:rsidRPr="00282733">
              <w:rPr>
                <w:rStyle w:val="Hyperlink"/>
                <w:noProof/>
              </w:rPr>
              <w:t>2.8.1 Risk Management Deficiencies in Nigeria</w:t>
            </w:r>
            <w:r>
              <w:rPr>
                <w:noProof/>
                <w:webHidden/>
              </w:rPr>
              <w:tab/>
            </w:r>
            <w:r>
              <w:rPr>
                <w:noProof/>
                <w:webHidden/>
              </w:rPr>
              <w:fldChar w:fldCharType="begin"/>
            </w:r>
            <w:r>
              <w:rPr>
                <w:noProof/>
                <w:webHidden/>
              </w:rPr>
              <w:instrText xml:space="preserve"> PAGEREF _Toc211278883 \h </w:instrText>
            </w:r>
            <w:r>
              <w:rPr>
                <w:noProof/>
                <w:webHidden/>
              </w:rPr>
            </w:r>
            <w:r>
              <w:rPr>
                <w:noProof/>
                <w:webHidden/>
              </w:rPr>
              <w:fldChar w:fldCharType="separate"/>
            </w:r>
            <w:r>
              <w:rPr>
                <w:noProof/>
                <w:webHidden/>
              </w:rPr>
              <w:t>104</w:t>
            </w:r>
            <w:r>
              <w:rPr>
                <w:noProof/>
                <w:webHidden/>
              </w:rPr>
              <w:fldChar w:fldCharType="end"/>
            </w:r>
          </w:hyperlink>
        </w:p>
        <w:p w14:paraId="73CFE7C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4" w:history="1">
            <w:r w:rsidRPr="00282733">
              <w:rPr>
                <w:rStyle w:val="Hyperlink"/>
                <w:noProof/>
              </w:rPr>
              <w:t>2.8.2 Weak Whistleblowing Mechanisms</w:t>
            </w:r>
            <w:r>
              <w:rPr>
                <w:noProof/>
                <w:webHidden/>
              </w:rPr>
              <w:tab/>
            </w:r>
            <w:r>
              <w:rPr>
                <w:noProof/>
                <w:webHidden/>
              </w:rPr>
              <w:fldChar w:fldCharType="begin"/>
            </w:r>
            <w:r>
              <w:rPr>
                <w:noProof/>
                <w:webHidden/>
              </w:rPr>
              <w:instrText xml:space="preserve"> PAGEREF _Toc211278884 \h </w:instrText>
            </w:r>
            <w:r>
              <w:rPr>
                <w:noProof/>
                <w:webHidden/>
              </w:rPr>
            </w:r>
            <w:r>
              <w:rPr>
                <w:noProof/>
                <w:webHidden/>
              </w:rPr>
              <w:fldChar w:fldCharType="separate"/>
            </w:r>
            <w:r>
              <w:rPr>
                <w:noProof/>
                <w:webHidden/>
              </w:rPr>
              <w:t>107</w:t>
            </w:r>
            <w:r>
              <w:rPr>
                <w:noProof/>
                <w:webHidden/>
              </w:rPr>
              <w:fldChar w:fldCharType="end"/>
            </w:r>
          </w:hyperlink>
        </w:p>
        <w:p w14:paraId="09FC8854"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5" w:history="1">
            <w:r w:rsidRPr="00282733">
              <w:rPr>
                <w:rStyle w:val="Hyperlink"/>
                <w:noProof/>
              </w:rPr>
              <w:t>2.8.3 Global Standards for Risk Management and Whistleblowing</w:t>
            </w:r>
            <w:r>
              <w:rPr>
                <w:noProof/>
                <w:webHidden/>
              </w:rPr>
              <w:tab/>
            </w:r>
            <w:r>
              <w:rPr>
                <w:noProof/>
                <w:webHidden/>
              </w:rPr>
              <w:fldChar w:fldCharType="begin"/>
            </w:r>
            <w:r>
              <w:rPr>
                <w:noProof/>
                <w:webHidden/>
              </w:rPr>
              <w:instrText xml:space="preserve"> PAGEREF _Toc211278885 \h </w:instrText>
            </w:r>
            <w:r>
              <w:rPr>
                <w:noProof/>
                <w:webHidden/>
              </w:rPr>
            </w:r>
            <w:r>
              <w:rPr>
                <w:noProof/>
                <w:webHidden/>
              </w:rPr>
              <w:fldChar w:fldCharType="separate"/>
            </w:r>
            <w:r>
              <w:rPr>
                <w:noProof/>
                <w:webHidden/>
              </w:rPr>
              <w:t>107</w:t>
            </w:r>
            <w:r>
              <w:rPr>
                <w:noProof/>
                <w:webHidden/>
              </w:rPr>
              <w:fldChar w:fldCharType="end"/>
            </w:r>
          </w:hyperlink>
        </w:p>
        <w:p w14:paraId="3806C4B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6" w:history="1">
            <w:r w:rsidRPr="00282733">
              <w:rPr>
                <w:rStyle w:val="Hyperlink"/>
                <w:noProof/>
              </w:rPr>
              <w:t>2.8.4 Impact on Default Risk and Systemic Instability</w:t>
            </w:r>
            <w:r>
              <w:rPr>
                <w:noProof/>
                <w:webHidden/>
              </w:rPr>
              <w:tab/>
            </w:r>
            <w:r>
              <w:rPr>
                <w:noProof/>
                <w:webHidden/>
              </w:rPr>
              <w:fldChar w:fldCharType="begin"/>
            </w:r>
            <w:r>
              <w:rPr>
                <w:noProof/>
                <w:webHidden/>
              </w:rPr>
              <w:instrText xml:space="preserve"> PAGEREF _Toc211278886 \h </w:instrText>
            </w:r>
            <w:r>
              <w:rPr>
                <w:noProof/>
                <w:webHidden/>
              </w:rPr>
            </w:r>
            <w:r>
              <w:rPr>
                <w:noProof/>
                <w:webHidden/>
              </w:rPr>
              <w:fldChar w:fldCharType="separate"/>
            </w:r>
            <w:r>
              <w:rPr>
                <w:noProof/>
                <w:webHidden/>
              </w:rPr>
              <w:t>110</w:t>
            </w:r>
            <w:r>
              <w:rPr>
                <w:noProof/>
                <w:webHidden/>
              </w:rPr>
              <w:fldChar w:fldCharType="end"/>
            </w:r>
          </w:hyperlink>
        </w:p>
        <w:p w14:paraId="76B5CE9C"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7" w:history="1">
            <w:r w:rsidRPr="00282733">
              <w:rPr>
                <w:rStyle w:val="Hyperlink"/>
                <w:noProof/>
              </w:rPr>
              <w:t>2.8.5 Proposed Reforms to Address Risk Management and Whistleblowing</w:t>
            </w:r>
            <w:r>
              <w:rPr>
                <w:noProof/>
                <w:webHidden/>
              </w:rPr>
              <w:tab/>
            </w:r>
            <w:r>
              <w:rPr>
                <w:noProof/>
                <w:webHidden/>
              </w:rPr>
              <w:fldChar w:fldCharType="begin"/>
            </w:r>
            <w:r>
              <w:rPr>
                <w:noProof/>
                <w:webHidden/>
              </w:rPr>
              <w:instrText xml:space="preserve"> PAGEREF _Toc211278887 \h </w:instrText>
            </w:r>
            <w:r>
              <w:rPr>
                <w:noProof/>
                <w:webHidden/>
              </w:rPr>
            </w:r>
            <w:r>
              <w:rPr>
                <w:noProof/>
                <w:webHidden/>
              </w:rPr>
              <w:fldChar w:fldCharType="separate"/>
            </w:r>
            <w:r>
              <w:rPr>
                <w:noProof/>
                <w:webHidden/>
              </w:rPr>
              <w:t>110</w:t>
            </w:r>
            <w:r>
              <w:rPr>
                <w:noProof/>
                <w:webHidden/>
              </w:rPr>
              <w:fldChar w:fldCharType="end"/>
            </w:r>
          </w:hyperlink>
        </w:p>
        <w:p w14:paraId="37C43BF8"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88" w:history="1">
            <w:r w:rsidRPr="00282733">
              <w:rPr>
                <w:rStyle w:val="Hyperlink"/>
                <w:noProof/>
              </w:rPr>
              <w:t>2.8.6 Ties to Corporate Governance Indices</w:t>
            </w:r>
            <w:r>
              <w:rPr>
                <w:noProof/>
                <w:webHidden/>
              </w:rPr>
              <w:tab/>
            </w:r>
            <w:r>
              <w:rPr>
                <w:noProof/>
                <w:webHidden/>
              </w:rPr>
              <w:fldChar w:fldCharType="begin"/>
            </w:r>
            <w:r>
              <w:rPr>
                <w:noProof/>
                <w:webHidden/>
              </w:rPr>
              <w:instrText xml:space="preserve"> PAGEREF _Toc211278888 \h </w:instrText>
            </w:r>
            <w:r>
              <w:rPr>
                <w:noProof/>
                <w:webHidden/>
              </w:rPr>
            </w:r>
            <w:r>
              <w:rPr>
                <w:noProof/>
                <w:webHidden/>
              </w:rPr>
              <w:fldChar w:fldCharType="separate"/>
            </w:r>
            <w:r>
              <w:rPr>
                <w:noProof/>
                <w:webHidden/>
              </w:rPr>
              <w:t>111</w:t>
            </w:r>
            <w:r>
              <w:rPr>
                <w:noProof/>
                <w:webHidden/>
              </w:rPr>
              <w:fldChar w:fldCharType="end"/>
            </w:r>
          </w:hyperlink>
        </w:p>
        <w:p w14:paraId="7E3D7853"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89" w:history="1">
            <w:r w:rsidRPr="00282733">
              <w:rPr>
                <w:rStyle w:val="Hyperlink"/>
                <w:noProof/>
              </w:rPr>
              <w:t>2.9 NPLs as a Measure of Default Risk</w:t>
            </w:r>
            <w:r>
              <w:rPr>
                <w:noProof/>
                <w:webHidden/>
              </w:rPr>
              <w:tab/>
            </w:r>
            <w:r>
              <w:rPr>
                <w:noProof/>
                <w:webHidden/>
              </w:rPr>
              <w:fldChar w:fldCharType="begin"/>
            </w:r>
            <w:r>
              <w:rPr>
                <w:noProof/>
                <w:webHidden/>
              </w:rPr>
              <w:instrText xml:space="preserve"> PAGEREF _Toc211278889 \h </w:instrText>
            </w:r>
            <w:r>
              <w:rPr>
                <w:noProof/>
                <w:webHidden/>
              </w:rPr>
            </w:r>
            <w:r>
              <w:rPr>
                <w:noProof/>
                <w:webHidden/>
              </w:rPr>
              <w:fldChar w:fldCharType="separate"/>
            </w:r>
            <w:r>
              <w:rPr>
                <w:noProof/>
                <w:webHidden/>
              </w:rPr>
              <w:t>112</w:t>
            </w:r>
            <w:r>
              <w:rPr>
                <w:noProof/>
                <w:webHidden/>
              </w:rPr>
              <w:fldChar w:fldCharType="end"/>
            </w:r>
          </w:hyperlink>
        </w:p>
        <w:p w14:paraId="173E0330"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90" w:history="1">
            <w:r w:rsidRPr="00282733">
              <w:rPr>
                <w:rStyle w:val="Hyperlink"/>
                <w:noProof/>
              </w:rPr>
              <w:t>2.10: Conclusion</w:t>
            </w:r>
            <w:r>
              <w:rPr>
                <w:noProof/>
                <w:webHidden/>
              </w:rPr>
              <w:tab/>
            </w:r>
            <w:r>
              <w:rPr>
                <w:noProof/>
                <w:webHidden/>
              </w:rPr>
              <w:fldChar w:fldCharType="begin"/>
            </w:r>
            <w:r>
              <w:rPr>
                <w:noProof/>
                <w:webHidden/>
              </w:rPr>
              <w:instrText xml:space="preserve"> PAGEREF _Toc211278890 \h </w:instrText>
            </w:r>
            <w:r>
              <w:rPr>
                <w:noProof/>
                <w:webHidden/>
              </w:rPr>
            </w:r>
            <w:r>
              <w:rPr>
                <w:noProof/>
                <w:webHidden/>
              </w:rPr>
              <w:fldChar w:fldCharType="separate"/>
            </w:r>
            <w:r>
              <w:rPr>
                <w:noProof/>
                <w:webHidden/>
              </w:rPr>
              <w:t>119</w:t>
            </w:r>
            <w:r>
              <w:rPr>
                <w:noProof/>
                <w:webHidden/>
              </w:rPr>
              <w:fldChar w:fldCharType="end"/>
            </w:r>
          </w:hyperlink>
        </w:p>
        <w:p w14:paraId="410D05A7"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91" w:history="1">
            <w:r w:rsidRPr="00282733">
              <w:rPr>
                <w:rStyle w:val="Hyperlink"/>
                <w:noProof/>
              </w:rPr>
              <w:t>2.10.1 Key Governance Failures and Their Ties to CG Indices</w:t>
            </w:r>
            <w:r>
              <w:rPr>
                <w:noProof/>
                <w:webHidden/>
              </w:rPr>
              <w:tab/>
            </w:r>
            <w:r>
              <w:rPr>
                <w:noProof/>
                <w:webHidden/>
              </w:rPr>
              <w:fldChar w:fldCharType="begin"/>
            </w:r>
            <w:r>
              <w:rPr>
                <w:noProof/>
                <w:webHidden/>
              </w:rPr>
              <w:instrText xml:space="preserve"> PAGEREF _Toc211278891 \h </w:instrText>
            </w:r>
            <w:r>
              <w:rPr>
                <w:noProof/>
                <w:webHidden/>
              </w:rPr>
            </w:r>
            <w:r>
              <w:rPr>
                <w:noProof/>
                <w:webHidden/>
              </w:rPr>
              <w:fldChar w:fldCharType="separate"/>
            </w:r>
            <w:r>
              <w:rPr>
                <w:noProof/>
                <w:webHidden/>
              </w:rPr>
              <w:t>120</w:t>
            </w:r>
            <w:r>
              <w:rPr>
                <w:noProof/>
                <w:webHidden/>
              </w:rPr>
              <w:fldChar w:fldCharType="end"/>
            </w:r>
          </w:hyperlink>
        </w:p>
        <w:p w14:paraId="2B9EC0D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92" w:history="1">
            <w:r w:rsidRPr="00282733">
              <w:rPr>
                <w:rStyle w:val="Hyperlink"/>
                <w:noProof/>
              </w:rPr>
              <w:t>2.10.2 Theoretical and Empirical Insights from the Literature</w:t>
            </w:r>
            <w:r>
              <w:rPr>
                <w:noProof/>
                <w:webHidden/>
              </w:rPr>
              <w:tab/>
            </w:r>
            <w:r>
              <w:rPr>
                <w:noProof/>
                <w:webHidden/>
              </w:rPr>
              <w:fldChar w:fldCharType="begin"/>
            </w:r>
            <w:r>
              <w:rPr>
                <w:noProof/>
                <w:webHidden/>
              </w:rPr>
              <w:instrText xml:space="preserve"> PAGEREF _Toc211278892 \h </w:instrText>
            </w:r>
            <w:r>
              <w:rPr>
                <w:noProof/>
                <w:webHidden/>
              </w:rPr>
            </w:r>
            <w:r>
              <w:rPr>
                <w:noProof/>
                <w:webHidden/>
              </w:rPr>
              <w:fldChar w:fldCharType="separate"/>
            </w:r>
            <w:r>
              <w:rPr>
                <w:noProof/>
                <w:webHidden/>
              </w:rPr>
              <w:t>123</w:t>
            </w:r>
            <w:r>
              <w:rPr>
                <w:noProof/>
                <w:webHidden/>
              </w:rPr>
              <w:fldChar w:fldCharType="end"/>
            </w:r>
          </w:hyperlink>
        </w:p>
        <w:p w14:paraId="0459DF64"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93" w:history="1">
            <w:r w:rsidRPr="00282733">
              <w:rPr>
                <w:rStyle w:val="Hyperlink"/>
                <w:noProof/>
              </w:rPr>
              <w:t>2.10.3 Implications for Methodology and Hypotheses Testing</w:t>
            </w:r>
            <w:r>
              <w:rPr>
                <w:noProof/>
                <w:webHidden/>
              </w:rPr>
              <w:tab/>
            </w:r>
            <w:r>
              <w:rPr>
                <w:noProof/>
                <w:webHidden/>
              </w:rPr>
              <w:fldChar w:fldCharType="begin"/>
            </w:r>
            <w:r>
              <w:rPr>
                <w:noProof/>
                <w:webHidden/>
              </w:rPr>
              <w:instrText xml:space="preserve"> PAGEREF _Toc211278893 \h </w:instrText>
            </w:r>
            <w:r>
              <w:rPr>
                <w:noProof/>
                <w:webHidden/>
              </w:rPr>
            </w:r>
            <w:r>
              <w:rPr>
                <w:noProof/>
                <w:webHidden/>
              </w:rPr>
              <w:fldChar w:fldCharType="separate"/>
            </w:r>
            <w:r>
              <w:rPr>
                <w:noProof/>
                <w:webHidden/>
              </w:rPr>
              <w:t>123</w:t>
            </w:r>
            <w:r>
              <w:rPr>
                <w:noProof/>
                <w:webHidden/>
              </w:rPr>
              <w:fldChar w:fldCharType="end"/>
            </w:r>
          </w:hyperlink>
        </w:p>
        <w:p w14:paraId="06DBB18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94" w:history="1">
            <w:r w:rsidRPr="00282733">
              <w:rPr>
                <w:rStyle w:val="Hyperlink"/>
                <w:noProof/>
              </w:rPr>
              <w:t>2.10.4 Call for Context-Specific Reforms</w:t>
            </w:r>
            <w:r>
              <w:rPr>
                <w:noProof/>
                <w:webHidden/>
              </w:rPr>
              <w:tab/>
            </w:r>
            <w:r>
              <w:rPr>
                <w:noProof/>
                <w:webHidden/>
              </w:rPr>
              <w:fldChar w:fldCharType="begin"/>
            </w:r>
            <w:r>
              <w:rPr>
                <w:noProof/>
                <w:webHidden/>
              </w:rPr>
              <w:instrText xml:space="preserve"> PAGEREF _Toc211278894 \h </w:instrText>
            </w:r>
            <w:r>
              <w:rPr>
                <w:noProof/>
                <w:webHidden/>
              </w:rPr>
            </w:r>
            <w:r>
              <w:rPr>
                <w:noProof/>
                <w:webHidden/>
              </w:rPr>
              <w:fldChar w:fldCharType="separate"/>
            </w:r>
            <w:r>
              <w:rPr>
                <w:noProof/>
                <w:webHidden/>
              </w:rPr>
              <w:t>124</w:t>
            </w:r>
            <w:r>
              <w:rPr>
                <w:noProof/>
                <w:webHidden/>
              </w:rPr>
              <w:fldChar w:fldCharType="end"/>
            </w:r>
          </w:hyperlink>
        </w:p>
        <w:p w14:paraId="35367CB5" w14:textId="77777777" w:rsidR="00646B26" w:rsidRDefault="00646B26" w:rsidP="00646B26">
          <w:pPr>
            <w:pStyle w:val="TOC1"/>
            <w:tabs>
              <w:tab w:val="right" w:leader="dot" w:pos="9350"/>
            </w:tabs>
            <w:rPr>
              <w:rFonts w:eastAsiaTheme="minorEastAsia" w:cstheme="minorBidi"/>
              <w:b w:val="0"/>
              <w:bCs w:val="0"/>
              <w:caps/>
              <w:noProof/>
              <w:kern w:val="2"/>
              <w:lang w:val="en-NG"/>
              <w14:ligatures w14:val="standardContextual"/>
            </w:rPr>
          </w:pPr>
          <w:hyperlink w:anchor="_Toc211278895" w:history="1">
            <w:r w:rsidRPr="00282733">
              <w:rPr>
                <w:rStyle w:val="Hyperlink"/>
                <w:noProof/>
              </w:rPr>
              <w:t>Chapter 3: Methodology</w:t>
            </w:r>
            <w:r>
              <w:rPr>
                <w:noProof/>
                <w:webHidden/>
              </w:rPr>
              <w:tab/>
            </w:r>
            <w:r>
              <w:rPr>
                <w:noProof/>
                <w:webHidden/>
              </w:rPr>
              <w:fldChar w:fldCharType="begin"/>
            </w:r>
            <w:r>
              <w:rPr>
                <w:noProof/>
                <w:webHidden/>
              </w:rPr>
              <w:instrText xml:space="preserve"> PAGEREF _Toc211278895 \h </w:instrText>
            </w:r>
            <w:r>
              <w:rPr>
                <w:noProof/>
                <w:webHidden/>
              </w:rPr>
            </w:r>
            <w:r>
              <w:rPr>
                <w:noProof/>
                <w:webHidden/>
              </w:rPr>
              <w:fldChar w:fldCharType="separate"/>
            </w:r>
            <w:r>
              <w:rPr>
                <w:noProof/>
                <w:webHidden/>
              </w:rPr>
              <w:t>127</w:t>
            </w:r>
            <w:r>
              <w:rPr>
                <w:noProof/>
                <w:webHidden/>
              </w:rPr>
              <w:fldChar w:fldCharType="end"/>
            </w:r>
          </w:hyperlink>
        </w:p>
        <w:p w14:paraId="065AFE7B"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96" w:history="1">
            <w:r w:rsidRPr="00282733">
              <w:rPr>
                <w:rStyle w:val="Hyperlink"/>
                <w:noProof/>
              </w:rPr>
              <w:t>3.1 Introduction</w:t>
            </w:r>
            <w:r>
              <w:rPr>
                <w:noProof/>
                <w:webHidden/>
              </w:rPr>
              <w:tab/>
            </w:r>
            <w:r>
              <w:rPr>
                <w:noProof/>
                <w:webHidden/>
              </w:rPr>
              <w:fldChar w:fldCharType="begin"/>
            </w:r>
            <w:r>
              <w:rPr>
                <w:noProof/>
                <w:webHidden/>
              </w:rPr>
              <w:instrText xml:space="preserve"> PAGEREF _Toc211278896 \h </w:instrText>
            </w:r>
            <w:r>
              <w:rPr>
                <w:noProof/>
                <w:webHidden/>
              </w:rPr>
            </w:r>
            <w:r>
              <w:rPr>
                <w:noProof/>
                <w:webHidden/>
              </w:rPr>
              <w:fldChar w:fldCharType="separate"/>
            </w:r>
            <w:r>
              <w:rPr>
                <w:noProof/>
                <w:webHidden/>
              </w:rPr>
              <w:t>127</w:t>
            </w:r>
            <w:r>
              <w:rPr>
                <w:noProof/>
                <w:webHidden/>
              </w:rPr>
              <w:fldChar w:fldCharType="end"/>
            </w:r>
          </w:hyperlink>
        </w:p>
        <w:p w14:paraId="6BE1562D"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97" w:history="1">
            <w:r w:rsidRPr="00282733">
              <w:rPr>
                <w:rStyle w:val="Hyperlink"/>
                <w:noProof/>
              </w:rPr>
              <w:t>3.2 Research Paradigm</w:t>
            </w:r>
            <w:r>
              <w:rPr>
                <w:noProof/>
                <w:webHidden/>
              </w:rPr>
              <w:tab/>
            </w:r>
            <w:r>
              <w:rPr>
                <w:noProof/>
                <w:webHidden/>
              </w:rPr>
              <w:fldChar w:fldCharType="begin"/>
            </w:r>
            <w:r>
              <w:rPr>
                <w:noProof/>
                <w:webHidden/>
              </w:rPr>
              <w:instrText xml:space="preserve"> PAGEREF _Toc211278897 \h </w:instrText>
            </w:r>
            <w:r>
              <w:rPr>
                <w:noProof/>
                <w:webHidden/>
              </w:rPr>
            </w:r>
            <w:r>
              <w:rPr>
                <w:noProof/>
                <w:webHidden/>
              </w:rPr>
              <w:fldChar w:fldCharType="separate"/>
            </w:r>
            <w:r>
              <w:rPr>
                <w:noProof/>
                <w:webHidden/>
              </w:rPr>
              <w:t>129</w:t>
            </w:r>
            <w:r>
              <w:rPr>
                <w:noProof/>
                <w:webHidden/>
              </w:rPr>
              <w:fldChar w:fldCharType="end"/>
            </w:r>
          </w:hyperlink>
        </w:p>
        <w:p w14:paraId="3EB3DD9B"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898" w:history="1">
            <w:r w:rsidRPr="00282733">
              <w:rPr>
                <w:rStyle w:val="Hyperlink"/>
                <w:noProof/>
              </w:rPr>
              <w:t>3.3 Research Design</w:t>
            </w:r>
            <w:r>
              <w:rPr>
                <w:noProof/>
                <w:webHidden/>
              </w:rPr>
              <w:tab/>
            </w:r>
            <w:r>
              <w:rPr>
                <w:noProof/>
                <w:webHidden/>
              </w:rPr>
              <w:fldChar w:fldCharType="begin"/>
            </w:r>
            <w:r>
              <w:rPr>
                <w:noProof/>
                <w:webHidden/>
              </w:rPr>
              <w:instrText xml:space="preserve"> PAGEREF _Toc211278898 \h </w:instrText>
            </w:r>
            <w:r>
              <w:rPr>
                <w:noProof/>
                <w:webHidden/>
              </w:rPr>
            </w:r>
            <w:r>
              <w:rPr>
                <w:noProof/>
                <w:webHidden/>
              </w:rPr>
              <w:fldChar w:fldCharType="separate"/>
            </w:r>
            <w:r>
              <w:rPr>
                <w:noProof/>
                <w:webHidden/>
              </w:rPr>
              <w:t>134</w:t>
            </w:r>
            <w:r>
              <w:rPr>
                <w:noProof/>
                <w:webHidden/>
              </w:rPr>
              <w:fldChar w:fldCharType="end"/>
            </w:r>
          </w:hyperlink>
        </w:p>
        <w:p w14:paraId="1549544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899" w:history="1">
            <w:r w:rsidRPr="00282733">
              <w:rPr>
                <w:rStyle w:val="Hyperlink"/>
                <w:noProof/>
              </w:rPr>
              <w:t>3.3.1 Convergent Parallel mixed-methods design</w:t>
            </w:r>
            <w:r>
              <w:rPr>
                <w:noProof/>
                <w:webHidden/>
              </w:rPr>
              <w:tab/>
            </w:r>
            <w:r>
              <w:rPr>
                <w:noProof/>
                <w:webHidden/>
              </w:rPr>
              <w:fldChar w:fldCharType="begin"/>
            </w:r>
            <w:r>
              <w:rPr>
                <w:noProof/>
                <w:webHidden/>
              </w:rPr>
              <w:instrText xml:space="preserve"> PAGEREF _Toc211278899 \h </w:instrText>
            </w:r>
            <w:r>
              <w:rPr>
                <w:noProof/>
                <w:webHidden/>
              </w:rPr>
            </w:r>
            <w:r>
              <w:rPr>
                <w:noProof/>
                <w:webHidden/>
              </w:rPr>
              <w:fldChar w:fldCharType="separate"/>
            </w:r>
            <w:r>
              <w:rPr>
                <w:noProof/>
                <w:webHidden/>
              </w:rPr>
              <w:t>134</w:t>
            </w:r>
            <w:r>
              <w:rPr>
                <w:noProof/>
                <w:webHidden/>
              </w:rPr>
              <w:fldChar w:fldCharType="end"/>
            </w:r>
          </w:hyperlink>
        </w:p>
        <w:p w14:paraId="39341BB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0" w:history="1">
            <w:r w:rsidRPr="00282733">
              <w:rPr>
                <w:rStyle w:val="Hyperlink"/>
                <w:noProof/>
              </w:rPr>
              <w:t>3.3.2 Justification for Convergent Parallel Mixed-Methods Design</w:t>
            </w:r>
            <w:r>
              <w:rPr>
                <w:noProof/>
                <w:webHidden/>
              </w:rPr>
              <w:tab/>
            </w:r>
            <w:r>
              <w:rPr>
                <w:noProof/>
                <w:webHidden/>
              </w:rPr>
              <w:fldChar w:fldCharType="begin"/>
            </w:r>
            <w:r>
              <w:rPr>
                <w:noProof/>
                <w:webHidden/>
              </w:rPr>
              <w:instrText xml:space="preserve"> PAGEREF _Toc211278900 \h </w:instrText>
            </w:r>
            <w:r>
              <w:rPr>
                <w:noProof/>
                <w:webHidden/>
              </w:rPr>
            </w:r>
            <w:r>
              <w:rPr>
                <w:noProof/>
                <w:webHidden/>
              </w:rPr>
              <w:fldChar w:fldCharType="separate"/>
            </w:r>
            <w:r>
              <w:rPr>
                <w:noProof/>
                <w:webHidden/>
              </w:rPr>
              <w:t>135</w:t>
            </w:r>
            <w:r>
              <w:rPr>
                <w:noProof/>
                <w:webHidden/>
              </w:rPr>
              <w:fldChar w:fldCharType="end"/>
            </w:r>
          </w:hyperlink>
        </w:p>
        <w:p w14:paraId="1F18EE9D"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01" w:history="1">
            <w:r w:rsidRPr="00282733">
              <w:rPr>
                <w:rStyle w:val="Hyperlink"/>
                <w:noProof/>
              </w:rPr>
              <w:t>3.4 Research process Management</w:t>
            </w:r>
            <w:r>
              <w:rPr>
                <w:noProof/>
                <w:webHidden/>
              </w:rPr>
              <w:tab/>
            </w:r>
            <w:r>
              <w:rPr>
                <w:noProof/>
                <w:webHidden/>
              </w:rPr>
              <w:fldChar w:fldCharType="begin"/>
            </w:r>
            <w:r>
              <w:rPr>
                <w:noProof/>
                <w:webHidden/>
              </w:rPr>
              <w:instrText xml:space="preserve"> PAGEREF _Toc211278901 \h </w:instrText>
            </w:r>
            <w:r>
              <w:rPr>
                <w:noProof/>
                <w:webHidden/>
              </w:rPr>
            </w:r>
            <w:r>
              <w:rPr>
                <w:noProof/>
                <w:webHidden/>
              </w:rPr>
              <w:fldChar w:fldCharType="separate"/>
            </w:r>
            <w:r>
              <w:rPr>
                <w:noProof/>
                <w:webHidden/>
              </w:rPr>
              <w:t>142</w:t>
            </w:r>
            <w:r>
              <w:rPr>
                <w:noProof/>
                <w:webHidden/>
              </w:rPr>
              <w:fldChar w:fldCharType="end"/>
            </w:r>
          </w:hyperlink>
        </w:p>
        <w:p w14:paraId="1A86C56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2" w:history="1">
            <w:r w:rsidRPr="00282733">
              <w:rPr>
                <w:rStyle w:val="Hyperlink"/>
                <w:noProof/>
              </w:rPr>
              <w:t>3.4.1 Construction and Execution of the Survey</w:t>
            </w:r>
            <w:r>
              <w:rPr>
                <w:noProof/>
                <w:webHidden/>
              </w:rPr>
              <w:tab/>
            </w:r>
            <w:r>
              <w:rPr>
                <w:noProof/>
                <w:webHidden/>
              </w:rPr>
              <w:fldChar w:fldCharType="begin"/>
            </w:r>
            <w:r>
              <w:rPr>
                <w:noProof/>
                <w:webHidden/>
              </w:rPr>
              <w:instrText xml:space="preserve"> PAGEREF _Toc211278902 \h </w:instrText>
            </w:r>
            <w:r>
              <w:rPr>
                <w:noProof/>
                <w:webHidden/>
              </w:rPr>
            </w:r>
            <w:r>
              <w:rPr>
                <w:noProof/>
                <w:webHidden/>
              </w:rPr>
              <w:fldChar w:fldCharType="separate"/>
            </w:r>
            <w:r>
              <w:rPr>
                <w:noProof/>
                <w:webHidden/>
              </w:rPr>
              <w:t>142</w:t>
            </w:r>
            <w:r>
              <w:rPr>
                <w:noProof/>
                <w:webHidden/>
              </w:rPr>
              <w:fldChar w:fldCharType="end"/>
            </w:r>
          </w:hyperlink>
        </w:p>
        <w:p w14:paraId="3F505F2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3" w:history="1">
            <w:r w:rsidRPr="00282733">
              <w:rPr>
                <w:rStyle w:val="Hyperlink"/>
                <w:noProof/>
              </w:rPr>
              <w:t>3.4.2 Strengths of Survey-Based Methodologies</w:t>
            </w:r>
            <w:r>
              <w:rPr>
                <w:noProof/>
                <w:webHidden/>
              </w:rPr>
              <w:tab/>
            </w:r>
            <w:r>
              <w:rPr>
                <w:noProof/>
                <w:webHidden/>
              </w:rPr>
              <w:fldChar w:fldCharType="begin"/>
            </w:r>
            <w:r>
              <w:rPr>
                <w:noProof/>
                <w:webHidden/>
              </w:rPr>
              <w:instrText xml:space="preserve"> PAGEREF _Toc211278903 \h </w:instrText>
            </w:r>
            <w:r>
              <w:rPr>
                <w:noProof/>
                <w:webHidden/>
              </w:rPr>
            </w:r>
            <w:r>
              <w:rPr>
                <w:noProof/>
                <w:webHidden/>
              </w:rPr>
              <w:fldChar w:fldCharType="separate"/>
            </w:r>
            <w:r>
              <w:rPr>
                <w:noProof/>
                <w:webHidden/>
              </w:rPr>
              <w:t>142</w:t>
            </w:r>
            <w:r>
              <w:rPr>
                <w:noProof/>
                <w:webHidden/>
              </w:rPr>
              <w:fldChar w:fldCharType="end"/>
            </w:r>
          </w:hyperlink>
        </w:p>
        <w:p w14:paraId="0960423A"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4" w:history="1">
            <w:r w:rsidRPr="00282733">
              <w:rPr>
                <w:rStyle w:val="Hyperlink"/>
                <w:noProof/>
              </w:rPr>
              <w:t>3.4.3 Mitigating Limitations</w:t>
            </w:r>
            <w:r>
              <w:rPr>
                <w:noProof/>
                <w:webHidden/>
              </w:rPr>
              <w:tab/>
            </w:r>
            <w:r>
              <w:rPr>
                <w:noProof/>
                <w:webHidden/>
              </w:rPr>
              <w:fldChar w:fldCharType="begin"/>
            </w:r>
            <w:r>
              <w:rPr>
                <w:noProof/>
                <w:webHidden/>
              </w:rPr>
              <w:instrText xml:space="preserve"> PAGEREF _Toc211278904 \h </w:instrText>
            </w:r>
            <w:r>
              <w:rPr>
                <w:noProof/>
                <w:webHidden/>
              </w:rPr>
            </w:r>
            <w:r>
              <w:rPr>
                <w:noProof/>
                <w:webHidden/>
              </w:rPr>
              <w:fldChar w:fldCharType="separate"/>
            </w:r>
            <w:r>
              <w:rPr>
                <w:noProof/>
                <w:webHidden/>
              </w:rPr>
              <w:t>143</w:t>
            </w:r>
            <w:r>
              <w:rPr>
                <w:noProof/>
                <w:webHidden/>
              </w:rPr>
              <w:fldChar w:fldCharType="end"/>
            </w:r>
          </w:hyperlink>
        </w:p>
        <w:p w14:paraId="4CD96EB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5" w:history="1">
            <w:r w:rsidRPr="00282733">
              <w:rPr>
                <w:rStyle w:val="Hyperlink"/>
                <w:noProof/>
              </w:rPr>
              <w:t>3.4.4 Administration and Coding</w:t>
            </w:r>
            <w:r>
              <w:rPr>
                <w:noProof/>
                <w:webHidden/>
              </w:rPr>
              <w:tab/>
            </w:r>
            <w:r>
              <w:rPr>
                <w:noProof/>
                <w:webHidden/>
              </w:rPr>
              <w:fldChar w:fldCharType="begin"/>
            </w:r>
            <w:r>
              <w:rPr>
                <w:noProof/>
                <w:webHidden/>
              </w:rPr>
              <w:instrText xml:space="preserve"> PAGEREF _Toc211278905 \h </w:instrText>
            </w:r>
            <w:r>
              <w:rPr>
                <w:noProof/>
                <w:webHidden/>
              </w:rPr>
            </w:r>
            <w:r>
              <w:rPr>
                <w:noProof/>
                <w:webHidden/>
              </w:rPr>
              <w:fldChar w:fldCharType="separate"/>
            </w:r>
            <w:r>
              <w:rPr>
                <w:noProof/>
                <w:webHidden/>
              </w:rPr>
              <w:t>144</w:t>
            </w:r>
            <w:r>
              <w:rPr>
                <w:noProof/>
                <w:webHidden/>
              </w:rPr>
              <w:fldChar w:fldCharType="end"/>
            </w:r>
          </w:hyperlink>
        </w:p>
        <w:p w14:paraId="4C79D69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6" w:history="1">
            <w:r w:rsidRPr="00282733">
              <w:rPr>
                <w:rStyle w:val="Hyperlink"/>
                <w:noProof/>
              </w:rPr>
              <w:t>3.4.5 Justification of Non-Performing Loans (NPLs) as a Measure</w:t>
            </w:r>
            <w:r>
              <w:rPr>
                <w:noProof/>
                <w:webHidden/>
              </w:rPr>
              <w:tab/>
            </w:r>
            <w:r>
              <w:rPr>
                <w:noProof/>
                <w:webHidden/>
              </w:rPr>
              <w:fldChar w:fldCharType="begin"/>
            </w:r>
            <w:r>
              <w:rPr>
                <w:noProof/>
                <w:webHidden/>
              </w:rPr>
              <w:instrText xml:space="preserve"> PAGEREF _Toc211278906 \h </w:instrText>
            </w:r>
            <w:r>
              <w:rPr>
                <w:noProof/>
                <w:webHidden/>
              </w:rPr>
            </w:r>
            <w:r>
              <w:rPr>
                <w:noProof/>
                <w:webHidden/>
              </w:rPr>
              <w:fldChar w:fldCharType="separate"/>
            </w:r>
            <w:r>
              <w:rPr>
                <w:noProof/>
                <w:webHidden/>
              </w:rPr>
              <w:t>146</w:t>
            </w:r>
            <w:r>
              <w:rPr>
                <w:noProof/>
                <w:webHidden/>
              </w:rPr>
              <w:fldChar w:fldCharType="end"/>
            </w:r>
          </w:hyperlink>
        </w:p>
        <w:p w14:paraId="792A7D2D"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07" w:history="1">
            <w:r w:rsidRPr="00282733">
              <w:rPr>
                <w:rStyle w:val="Hyperlink"/>
                <w:noProof/>
              </w:rPr>
              <w:t>3.5 Data Collection Methods</w:t>
            </w:r>
            <w:r>
              <w:rPr>
                <w:noProof/>
                <w:webHidden/>
              </w:rPr>
              <w:tab/>
            </w:r>
            <w:r>
              <w:rPr>
                <w:noProof/>
                <w:webHidden/>
              </w:rPr>
              <w:fldChar w:fldCharType="begin"/>
            </w:r>
            <w:r>
              <w:rPr>
                <w:noProof/>
                <w:webHidden/>
              </w:rPr>
              <w:instrText xml:space="preserve"> PAGEREF _Toc211278907 \h </w:instrText>
            </w:r>
            <w:r>
              <w:rPr>
                <w:noProof/>
                <w:webHidden/>
              </w:rPr>
            </w:r>
            <w:r>
              <w:rPr>
                <w:noProof/>
                <w:webHidden/>
              </w:rPr>
              <w:fldChar w:fldCharType="separate"/>
            </w:r>
            <w:r>
              <w:rPr>
                <w:noProof/>
                <w:webHidden/>
              </w:rPr>
              <w:t>152</w:t>
            </w:r>
            <w:r>
              <w:rPr>
                <w:noProof/>
                <w:webHidden/>
              </w:rPr>
              <w:fldChar w:fldCharType="end"/>
            </w:r>
          </w:hyperlink>
        </w:p>
        <w:p w14:paraId="6E112021"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8" w:history="1">
            <w:r w:rsidRPr="00282733">
              <w:rPr>
                <w:rStyle w:val="Hyperlink"/>
                <w:noProof/>
              </w:rPr>
              <w:t>3.5.1 Quantitative Component: Questionnaire Survey</w:t>
            </w:r>
            <w:r>
              <w:rPr>
                <w:noProof/>
                <w:webHidden/>
              </w:rPr>
              <w:tab/>
            </w:r>
            <w:r>
              <w:rPr>
                <w:noProof/>
                <w:webHidden/>
              </w:rPr>
              <w:fldChar w:fldCharType="begin"/>
            </w:r>
            <w:r>
              <w:rPr>
                <w:noProof/>
                <w:webHidden/>
              </w:rPr>
              <w:instrText xml:space="preserve"> PAGEREF _Toc211278908 \h </w:instrText>
            </w:r>
            <w:r>
              <w:rPr>
                <w:noProof/>
                <w:webHidden/>
              </w:rPr>
            </w:r>
            <w:r>
              <w:rPr>
                <w:noProof/>
                <w:webHidden/>
              </w:rPr>
              <w:fldChar w:fldCharType="separate"/>
            </w:r>
            <w:r>
              <w:rPr>
                <w:noProof/>
                <w:webHidden/>
              </w:rPr>
              <w:t>153</w:t>
            </w:r>
            <w:r>
              <w:rPr>
                <w:noProof/>
                <w:webHidden/>
              </w:rPr>
              <w:fldChar w:fldCharType="end"/>
            </w:r>
          </w:hyperlink>
        </w:p>
        <w:p w14:paraId="220A8AB3"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09" w:history="1">
            <w:r w:rsidRPr="00282733">
              <w:rPr>
                <w:rStyle w:val="Hyperlink"/>
                <w:noProof/>
              </w:rPr>
              <w:t>3.5.2 Qualitative Component: Semi-Structured Interviews</w:t>
            </w:r>
            <w:r>
              <w:rPr>
                <w:noProof/>
                <w:webHidden/>
              </w:rPr>
              <w:tab/>
            </w:r>
            <w:r>
              <w:rPr>
                <w:noProof/>
                <w:webHidden/>
              </w:rPr>
              <w:fldChar w:fldCharType="begin"/>
            </w:r>
            <w:r>
              <w:rPr>
                <w:noProof/>
                <w:webHidden/>
              </w:rPr>
              <w:instrText xml:space="preserve"> PAGEREF _Toc211278909 \h </w:instrText>
            </w:r>
            <w:r>
              <w:rPr>
                <w:noProof/>
                <w:webHidden/>
              </w:rPr>
            </w:r>
            <w:r>
              <w:rPr>
                <w:noProof/>
                <w:webHidden/>
              </w:rPr>
              <w:fldChar w:fldCharType="separate"/>
            </w:r>
            <w:r>
              <w:rPr>
                <w:noProof/>
                <w:webHidden/>
              </w:rPr>
              <w:t>157</w:t>
            </w:r>
            <w:r>
              <w:rPr>
                <w:noProof/>
                <w:webHidden/>
              </w:rPr>
              <w:fldChar w:fldCharType="end"/>
            </w:r>
          </w:hyperlink>
        </w:p>
        <w:p w14:paraId="0977C07C"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0" w:history="1">
            <w:r w:rsidRPr="00282733">
              <w:rPr>
                <w:rStyle w:val="Hyperlink"/>
                <w:noProof/>
              </w:rPr>
              <w:t>3.5.3 Data Sources</w:t>
            </w:r>
            <w:r>
              <w:rPr>
                <w:noProof/>
                <w:webHidden/>
              </w:rPr>
              <w:tab/>
            </w:r>
            <w:r>
              <w:rPr>
                <w:noProof/>
                <w:webHidden/>
              </w:rPr>
              <w:fldChar w:fldCharType="begin"/>
            </w:r>
            <w:r>
              <w:rPr>
                <w:noProof/>
                <w:webHidden/>
              </w:rPr>
              <w:instrText xml:space="preserve"> PAGEREF _Toc211278910 \h </w:instrText>
            </w:r>
            <w:r>
              <w:rPr>
                <w:noProof/>
                <w:webHidden/>
              </w:rPr>
            </w:r>
            <w:r>
              <w:rPr>
                <w:noProof/>
                <w:webHidden/>
              </w:rPr>
              <w:fldChar w:fldCharType="separate"/>
            </w:r>
            <w:r>
              <w:rPr>
                <w:noProof/>
                <w:webHidden/>
              </w:rPr>
              <w:t>159</w:t>
            </w:r>
            <w:r>
              <w:rPr>
                <w:noProof/>
                <w:webHidden/>
              </w:rPr>
              <w:fldChar w:fldCharType="end"/>
            </w:r>
          </w:hyperlink>
        </w:p>
        <w:p w14:paraId="52200526"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11" w:history="1">
            <w:r w:rsidRPr="00282733">
              <w:rPr>
                <w:rStyle w:val="Hyperlink"/>
                <w:noProof/>
              </w:rPr>
              <w:t>3.6 Data Analysis Procedures</w:t>
            </w:r>
            <w:r>
              <w:rPr>
                <w:noProof/>
                <w:webHidden/>
              </w:rPr>
              <w:tab/>
            </w:r>
            <w:r>
              <w:rPr>
                <w:noProof/>
                <w:webHidden/>
              </w:rPr>
              <w:fldChar w:fldCharType="begin"/>
            </w:r>
            <w:r>
              <w:rPr>
                <w:noProof/>
                <w:webHidden/>
              </w:rPr>
              <w:instrText xml:space="preserve"> PAGEREF _Toc211278911 \h </w:instrText>
            </w:r>
            <w:r>
              <w:rPr>
                <w:noProof/>
                <w:webHidden/>
              </w:rPr>
            </w:r>
            <w:r>
              <w:rPr>
                <w:noProof/>
                <w:webHidden/>
              </w:rPr>
              <w:fldChar w:fldCharType="separate"/>
            </w:r>
            <w:r>
              <w:rPr>
                <w:noProof/>
                <w:webHidden/>
              </w:rPr>
              <w:t>164</w:t>
            </w:r>
            <w:r>
              <w:rPr>
                <w:noProof/>
                <w:webHidden/>
              </w:rPr>
              <w:fldChar w:fldCharType="end"/>
            </w:r>
          </w:hyperlink>
        </w:p>
        <w:p w14:paraId="3172742C"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2" w:history="1">
            <w:r w:rsidRPr="00282733">
              <w:rPr>
                <w:rStyle w:val="Hyperlink"/>
                <w:noProof/>
              </w:rPr>
              <w:t>3.6.1 Econometric Specification</w:t>
            </w:r>
            <w:r>
              <w:rPr>
                <w:noProof/>
                <w:webHidden/>
              </w:rPr>
              <w:tab/>
            </w:r>
            <w:r>
              <w:rPr>
                <w:noProof/>
                <w:webHidden/>
              </w:rPr>
              <w:fldChar w:fldCharType="begin"/>
            </w:r>
            <w:r>
              <w:rPr>
                <w:noProof/>
                <w:webHidden/>
              </w:rPr>
              <w:instrText xml:space="preserve"> PAGEREF _Toc211278912 \h </w:instrText>
            </w:r>
            <w:r>
              <w:rPr>
                <w:noProof/>
                <w:webHidden/>
              </w:rPr>
            </w:r>
            <w:r>
              <w:rPr>
                <w:noProof/>
                <w:webHidden/>
              </w:rPr>
              <w:fldChar w:fldCharType="separate"/>
            </w:r>
            <w:r>
              <w:rPr>
                <w:noProof/>
                <w:webHidden/>
              </w:rPr>
              <w:t>165</w:t>
            </w:r>
            <w:r>
              <w:rPr>
                <w:noProof/>
                <w:webHidden/>
              </w:rPr>
              <w:fldChar w:fldCharType="end"/>
            </w:r>
          </w:hyperlink>
        </w:p>
        <w:p w14:paraId="0EDF8F0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3" w:history="1">
            <w:r w:rsidRPr="00282733">
              <w:rPr>
                <w:rStyle w:val="Hyperlink"/>
                <w:noProof/>
              </w:rPr>
              <w:t>3.6.2 Quantitative Data Analysis</w:t>
            </w:r>
            <w:r>
              <w:rPr>
                <w:noProof/>
                <w:webHidden/>
              </w:rPr>
              <w:tab/>
            </w:r>
            <w:r>
              <w:rPr>
                <w:noProof/>
                <w:webHidden/>
              </w:rPr>
              <w:fldChar w:fldCharType="begin"/>
            </w:r>
            <w:r>
              <w:rPr>
                <w:noProof/>
                <w:webHidden/>
              </w:rPr>
              <w:instrText xml:space="preserve"> PAGEREF _Toc211278913 \h </w:instrText>
            </w:r>
            <w:r>
              <w:rPr>
                <w:noProof/>
                <w:webHidden/>
              </w:rPr>
            </w:r>
            <w:r>
              <w:rPr>
                <w:noProof/>
                <w:webHidden/>
              </w:rPr>
              <w:fldChar w:fldCharType="separate"/>
            </w:r>
            <w:r>
              <w:rPr>
                <w:noProof/>
                <w:webHidden/>
              </w:rPr>
              <w:t>167</w:t>
            </w:r>
            <w:r>
              <w:rPr>
                <w:noProof/>
                <w:webHidden/>
              </w:rPr>
              <w:fldChar w:fldCharType="end"/>
            </w:r>
          </w:hyperlink>
        </w:p>
        <w:p w14:paraId="317DFD18"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4" w:history="1">
            <w:r w:rsidRPr="00282733">
              <w:rPr>
                <w:rStyle w:val="Hyperlink"/>
                <w:noProof/>
              </w:rPr>
              <w:t>3.6.3 Qualitative Data Analysis</w:t>
            </w:r>
            <w:r>
              <w:rPr>
                <w:noProof/>
                <w:webHidden/>
              </w:rPr>
              <w:tab/>
            </w:r>
            <w:r>
              <w:rPr>
                <w:noProof/>
                <w:webHidden/>
              </w:rPr>
              <w:fldChar w:fldCharType="begin"/>
            </w:r>
            <w:r>
              <w:rPr>
                <w:noProof/>
                <w:webHidden/>
              </w:rPr>
              <w:instrText xml:space="preserve"> PAGEREF _Toc211278914 \h </w:instrText>
            </w:r>
            <w:r>
              <w:rPr>
                <w:noProof/>
                <w:webHidden/>
              </w:rPr>
            </w:r>
            <w:r>
              <w:rPr>
                <w:noProof/>
                <w:webHidden/>
              </w:rPr>
              <w:fldChar w:fldCharType="separate"/>
            </w:r>
            <w:r>
              <w:rPr>
                <w:noProof/>
                <w:webHidden/>
              </w:rPr>
              <w:t>168</w:t>
            </w:r>
            <w:r>
              <w:rPr>
                <w:noProof/>
                <w:webHidden/>
              </w:rPr>
              <w:fldChar w:fldCharType="end"/>
            </w:r>
          </w:hyperlink>
        </w:p>
        <w:p w14:paraId="4963527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5" w:history="1">
            <w:r w:rsidRPr="00282733">
              <w:rPr>
                <w:rStyle w:val="Hyperlink"/>
                <w:noProof/>
              </w:rPr>
              <w:t>3.6.4 Integration of Findings</w:t>
            </w:r>
            <w:r>
              <w:rPr>
                <w:noProof/>
                <w:webHidden/>
              </w:rPr>
              <w:tab/>
            </w:r>
            <w:r>
              <w:rPr>
                <w:noProof/>
                <w:webHidden/>
              </w:rPr>
              <w:fldChar w:fldCharType="begin"/>
            </w:r>
            <w:r>
              <w:rPr>
                <w:noProof/>
                <w:webHidden/>
              </w:rPr>
              <w:instrText xml:space="preserve"> PAGEREF _Toc211278915 \h </w:instrText>
            </w:r>
            <w:r>
              <w:rPr>
                <w:noProof/>
                <w:webHidden/>
              </w:rPr>
            </w:r>
            <w:r>
              <w:rPr>
                <w:noProof/>
                <w:webHidden/>
              </w:rPr>
              <w:fldChar w:fldCharType="separate"/>
            </w:r>
            <w:r>
              <w:rPr>
                <w:noProof/>
                <w:webHidden/>
              </w:rPr>
              <w:t>169</w:t>
            </w:r>
            <w:r>
              <w:rPr>
                <w:noProof/>
                <w:webHidden/>
              </w:rPr>
              <w:fldChar w:fldCharType="end"/>
            </w:r>
          </w:hyperlink>
        </w:p>
        <w:p w14:paraId="02607E46"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16" w:history="1">
            <w:r w:rsidRPr="00282733">
              <w:rPr>
                <w:rStyle w:val="Hyperlink"/>
                <w:noProof/>
              </w:rPr>
              <w:t>3.7 Validity, Reliability, and Reproducibility</w:t>
            </w:r>
            <w:r>
              <w:rPr>
                <w:noProof/>
                <w:webHidden/>
              </w:rPr>
              <w:tab/>
            </w:r>
            <w:r>
              <w:rPr>
                <w:noProof/>
                <w:webHidden/>
              </w:rPr>
              <w:fldChar w:fldCharType="begin"/>
            </w:r>
            <w:r>
              <w:rPr>
                <w:noProof/>
                <w:webHidden/>
              </w:rPr>
              <w:instrText xml:space="preserve"> PAGEREF _Toc211278916 \h </w:instrText>
            </w:r>
            <w:r>
              <w:rPr>
                <w:noProof/>
                <w:webHidden/>
              </w:rPr>
            </w:r>
            <w:r>
              <w:rPr>
                <w:noProof/>
                <w:webHidden/>
              </w:rPr>
              <w:fldChar w:fldCharType="separate"/>
            </w:r>
            <w:r>
              <w:rPr>
                <w:noProof/>
                <w:webHidden/>
              </w:rPr>
              <w:t>171</w:t>
            </w:r>
            <w:r>
              <w:rPr>
                <w:noProof/>
                <w:webHidden/>
              </w:rPr>
              <w:fldChar w:fldCharType="end"/>
            </w:r>
          </w:hyperlink>
        </w:p>
        <w:p w14:paraId="4AD8F661"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7" w:history="1">
            <w:r w:rsidRPr="00282733">
              <w:rPr>
                <w:rStyle w:val="Hyperlink"/>
                <w:noProof/>
              </w:rPr>
              <w:t>3.7.1 Quantitative Validity</w:t>
            </w:r>
            <w:r>
              <w:rPr>
                <w:noProof/>
                <w:webHidden/>
              </w:rPr>
              <w:tab/>
            </w:r>
            <w:r>
              <w:rPr>
                <w:noProof/>
                <w:webHidden/>
              </w:rPr>
              <w:fldChar w:fldCharType="begin"/>
            </w:r>
            <w:r>
              <w:rPr>
                <w:noProof/>
                <w:webHidden/>
              </w:rPr>
              <w:instrText xml:space="preserve"> PAGEREF _Toc211278917 \h </w:instrText>
            </w:r>
            <w:r>
              <w:rPr>
                <w:noProof/>
                <w:webHidden/>
              </w:rPr>
            </w:r>
            <w:r>
              <w:rPr>
                <w:noProof/>
                <w:webHidden/>
              </w:rPr>
              <w:fldChar w:fldCharType="separate"/>
            </w:r>
            <w:r>
              <w:rPr>
                <w:noProof/>
                <w:webHidden/>
              </w:rPr>
              <w:t>172</w:t>
            </w:r>
            <w:r>
              <w:rPr>
                <w:noProof/>
                <w:webHidden/>
              </w:rPr>
              <w:fldChar w:fldCharType="end"/>
            </w:r>
          </w:hyperlink>
        </w:p>
        <w:p w14:paraId="0070D4D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8" w:history="1">
            <w:r w:rsidRPr="00282733">
              <w:rPr>
                <w:rStyle w:val="Hyperlink"/>
                <w:noProof/>
              </w:rPr>
              <w:t>3.7.2 Quantitative Reliability</w:t>
            </w:r>
            <w:r>
              <w:rPr>
                <w:noProof/>
                <w:webHidden/>
              </w:rPr>
              <w:tab/>
            </w:r>
            <w:r>
              <w:rPr>
                <w:noProof/>
                <w:webHidden/>
              </w:rPr>
              <w:fldChar w:fldCharType="begin"/>
            </w:r>
            <w:r>
              <w:rPr>
                <w:noProof/>
                <w:webHidden/>
              </w:rPr>
              <w:instrText xml:space="preserve"> PAGEREF _Toc211278918 \h </w:instrText>
            </w:r>
            <w:r>
              <w:rPr>
                <w:noProof/>
                <w:webHidden/>
              </w:rPr>
            </w:r>
            <w:r>
              <w:rPr>
                <w:noProof/>
                <w:webHidden/>
              </w:rPr>
              <w:fldChar w:fldCharType="separate"/>
            </w:r>
            <w:r>
              <w:rPr>
                <w:noProof/>
                <w:webHidden/>
              </w:rPr>
              <w:t>175</w:t>
            </w:r>
            <w:r>
              <w:rPr>
                <w:noProof/>
                <w:webHidden/>
              </w:rPr>
              <w:fldChar w:fldCharType="end"/>
            </w:r>
          </w:hyperlink>
        </w:p>
        <w:p w14:paraId="03A2E2C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19" w:history="1">
            <w:r w:rsidRPr="00282733">
              <w:rPr>
                <w:rStyle w:val="Hyperlink"/>
                <w:noProof/>
              </w:rPr>
              <w:t>3.7.3 Qualitative Validity</w:t>
            </w:r>
            <w:r>
              <w:rPr>
                <w:noProof/>
                <w:webHidden/>
              </w:rPr>
              <w:tab/>
            </w:r>
            <w:r>
              <w:rPr>
                <w:noProof/>
                <w:webHidden/>
              </w:rPr>
              <w:fldChar w:fldCharType="begin"/>
            </w:r>
            <w:r>
              <w:rPr>
                <w:noProof/>
                <w:webHidden/>
              </w:rPr>
              <w:instrText xml:space="preserve"> PAGEREF _Toc211278919 \h </w:instrText>
            </w:r>
            <w:r>
              <w:rPr>
                <w:noProof/>
                <w:webHidden/>
              </w:rPr>
            </w:r>
            <w:r>
              <w:rPr>
                <w:noProof/>
                <w:webHidden/>
              </w:rPr>
              <w:fldChar w:fldCharType="separate"/>
            </w:r>
            <w:r>
              <w:rPr>
                <w:noProof/>
                <w:webHidden/>
              </w:rPr>
              <w:t>176</w:t>
            </w:r>
            <w:r>
              <w:rPr>
                <w:noProof/>
                <w:webHidden/>
              </w:rPr>
              <w:fldChar w:fldCharType="end"/>
            </w:r>
          </w:hyperlink>
        </w:p>
        <w:p w14:paraId="1AE39503"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0" w:history="1">
            <w:r w:rsidRPr="00282733">
              <w:rPr>
                <w:rStyle w:val="Hyperlink"/>
                <w:noProof/>
              </w:rPr>
              <w:t>3.7.4 Qualitative Reliability</w:t>
            </w:r>
            <w:r>
              <w:rPr>
                <w:noProof/>
                <w:webHidden/>
              </w:rPr>
              <w:tab/>
            </w:r>
            <w:r>
              <w:rPr>
                <w:noProof/>
                <w:webHidden/>
              </w:rPr>
              <w:fldChar w:fldCharType="begin"/>
            </w:r>
            <w:r>
              <w:rPr>
                <w:noProof/>
                <w:webHidden/>
              </w:rPr>
              <w:instrText xml:space="preserve"> PAGEREF _Toc211278920 \h </w:instrText>
            </w:r>
            <w:r>
              <w:rPr>
                <w:noProof/>
                <w:webHidden/>
              </w:rPr>
            </w:r>
            <w:r>
              <w:rPr>
                <w:noProof/>
                <w:webHidden/>
              </w:rPr>
              <w:fldChar w:fldCharType="separate"/>
            </w:r>
            <w:r>
              <w:rPr>
                <w:noProof/>
                <w:webHidden/>
              </w:rPr>
              <w:t>178</w:t>
            </w:r>
            <w:r>
              <w:rPr>
                <w:noProof/>
                <w:webHidden/>
              </w:rPr>
              <w:fldChar w:fldCharType="end"/>
            </w:r>
          </w:hyperlink>
        </w:p>
        <w:p w14:paraId="27D85E7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1" w:history="1">
            <w:r w:rsidRPr="00282733">
              <w:rPr>
                <w:rStyle w:val="Hyperlink"/>
                <w:noProof/>
              </w:rPr>
              <w:t>3.7.5 Instrument Reliability and Pilot Testing</w:t>
            </w:r>
            <w:r>
              <w:rPr>
                <w:noProof/>
                <w:webHidden/>
              </w:rPr>
              <w:tab/>
            </w:r>
            <w:r>
              <w:rPr>
                <w:noProof/>
                <w:webHidden/>
              </w:rPr>
              <w:fldChar w:fldCharType="begin"/>
            </w:r>
            <w:r>
              <w:rPr>
                <w:noProof/>
                <w:webHidden/>
              </w:rPr>
              <w:instrText xml:space="preserve"> PAGEREF _Toc211278921 \h </w:instrText>
            </w:r>
            <w:r>
              <w:rPr>
                <w:noProof/>
                <w:webHidden/>
              </w:rPr>
            </w:r>
            <w:r>
              <w:rPr>
                <w:noProof/>
                <w:webHidden/>
              </w:rPr>
              <w:fldChar w:fldCharType="separate"/>
            </w:r>
            <w:r>
              <w:rPr>
                <w:noProof/>
                <w:webHidden/>
              </w:rPr>
              <w:t>179</w:t>
            </w:r>
            <w:r>
              <w:rPr>
                <w:noProof/>
                <w:webHidden/>
              </w:rPr>
              <w:fldChar w:fldCharType="end"/>
            </w:r>
          </w:hyperlink>
        </w:p>
        <w:p w14:paraId="32AC7FD7"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2" w:history="1">
            <w:r w:rsidRPr="00282733">
              <w:rPr>
                <w:rStyle w:val="Hyperlink"/>
                <w:noProof/>
              </w:rPr>
              <w:t>3.7.6 Integration of Methods and Enhanced Trustworthiness</w:t>
            </w:r>
            <w:r>
              <w:rPr>
                <w:noProof/>
                <w:webHidden/>
              </w:rPr>
              <w:tab/>
            </w:r>
            <w:r>
              <w:rPr>
                <w:noProof/>
                <w:webHidden/>
              </w:rPr>
              <w:fldChar w:fldCharType="begin"/>
            </w:r>
            <w:r>
              <w:rPr>
                <w:noProof/>
                <w:webHidden/>
              </w:rPr>
              <w:instrText xml:space="preserve"> PAGEREF _Toc211278922 \h </w:instrText>
            </w:r>
            <w:r>
              <w:rPr>
                <w:noProof/>
                <w:webHidden/>
              </w:rPr>
            </w:r>
            <w:r>
              <w:rPr>
                <w:noProof/>
                <w:webHidden/>
              </w:rPr>
              <w:fldChar w:fldCharType="separate"/>
            </w:r>
            <w:r>
              <w:rPr>
                <w:noProof/>
                <w:webHidden/>
              </w:rPr>
              <w:t>179</w:t>
            </w:r>
            <w:r>
              <w:rPr>
                <w:noProof/>
                <w:webHidden/>
              </w:rPr>
              <w:fldChar w:fldCharType="end"/>
            </w:r>
          </w:hyperlink>
        </w:p>
        <w:p w14:paraId="1EB1285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3" w:history="1">
            <w:r w:rsidRPr="00282733">
              <w:rPr>
                <w:rStyle w:val="Hyperlink"/>
                <w:noProof/>
              </w:rPr>
              <w:t>3.7.7 Reproducibility</w:t>
            </w:r>
            <w:r>
              <w:rPr>
                <w:noProof/>
                <w:webHidden/>
              </w:rPr>
              <w:tab/>
            </w:r>
            <w:r>
              <w:rPr>
                <w:noProof/>
                <w:webHidden/>
              </w:rPr>
              <w:fldChar w:fldCharType="begin"/>
            </w:r>
            <w:r>
              <w:rPr>
                <w:noProof/>
                <w:webHidden/>
              </w:rPr>
              <w:instrText xml:space="preserve"> PAGEREF _Toc211278923 \h </w:instrText>
            </w:r>
            <w:r>
              <w:rPr>
                <w:noProof/>
                <w:webHidden/>
              </w:rPr>
            </w:r>
            <w:r>
              <w:rPr>
                <w:noProof/>
                <w:webHidden/>
              </w:rPr>
              <w:fldChar w:fldCharType="separate"/>
            </w:r>
            <w:r>
              <w:rPr>
                <w:noProof/>
                <w:webHidden/>
              </w:rPr>
              <w:t>180</w:t>
            </w:r>
            <w:r>
              <w:rPr>
                <w:noProof/>
                <w:webHidden/>
              </w:rPr>
              <w:fldChar w:fldCharType="end"/>
            </w:r>
          </w:hyperlink>
        </w:p>
        <w:p w14:paraId="0D649F61"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24" w:history="1">
            <w:r w:rsidRPr="00282733">
              <w:rPr>
                <w:rStyle w:val="Hyperlink"/>
                <w:noProof/>
              </w:rPr>
              <w:t>3.8 Ethical Considerations</w:t>
            </w:r>
            <w:r>
              <w:rPr>
                <w:noProof/>
                <w:webHidden/>
              </w:rPr>
              <w:tab/>
            </w:r>
            <w:r>
              <w:rPr>
                <w:noProof/>
                <w:webHidden/>
              </w:rPr>
              <w:fldChar w:fldCharType="begin"/>
            </w:r>
            <w:r>
              <w:rPr>
                <w:noProof/>
                <w:webHidden/>
              </w:rPr>
              <w:instrText xml:space="preserve"> PAGEREF _Toc211278924 \h </w:instrText>
            </w:r>
            <w:r>
              <w:rPr>
                <w:noProof/>
                <w:webHidden/>
              </w:rPr>
            </w:r>
            <w:r>
              <w:rPr>
                <w:noProof/>
                <w:webHidden/>
              </w:rPr>
              <w:fldChar w:fldCharType="separate"/>
            </w:r>
            <w:r>
              <w:rPr>
                <w:noProof/>
                <w:webHidden/>
              </w:rPr>
              <w:t>180</w:t>
            </w:r>
            <w:r>
              <w:rPr>
                <w:noProof/>
                <w:webHidden/>
              </w:rPr>
              <w:fldChar w:fldCharType="end"/>
            </w:r>
          </w:hyperlink>
        </w:p>
        <w:p w14:paraId="6843164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5" w:history="1">
            <w:r w:rsidRPr="00282733">
              <w:rPr>
                <w:rStyle w:val="Hyperlink"/>
                <w:bCs/>
                <w:noProof/>
              </w:rPr>
              <w:t>3.8.1 Informed Consent</w:t>
            </w:r>
            <w:r>
              <w:rPr>
                <w:noProof/>
                <w:webHidden/>
              </w:rPr>
              <w:tab/>
            </w:r>
            <w:r>
              <w:rPr>
                <w:noProof/>
                <w:webHidden/>
              </w:rPr>
              <w:fldChar w:fldCharType="begin"/>
            </w:r>
            <w:r>
              <w:rPr>
                <w:noProof/>
                <w:webHidden/>
              </w:rPr>
              <w:instrText xml:space="preserve"> PAGEREF _Toc211278925 \h </w:instrText>
            </w:r>
            <w:r>
              <w:rPr>
                <w:noProof/>
                <w:webHidden/>
              </w:rPr>
            </w:r>
            <w:r>
              <w:rPr>
                <w:noProof/>
                <w:webHidden/>
              </w:rPr>
              <w:fldChar w:fldCharType="separate"/>
            </w:r>
            <w:r>
              <w:rPr>
                <w:noProof/>
                <w:webHidden/>
              </w:rPr>
              <w:t>181</w:t>
            </w:r>
            <w:r>
              <w:rPr>
                <w:noProof/>
                <w:webHidden/>
              </w:rPr>
              <w:fldChar w:fldCharType="end"/>
            </w:r>
          </w:hyperlink>
        </w:p>
        <w:p w14:paraId="70BB8A28"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6" w:history="1">
            <w:r w:rsidRPr="00282733">
              <w:rPr>
                <w:rStyle w:val="Hyperlink"/>
                <w:bCs/>
                <w:noProof/>
              </w:rPr>
              <w:t>3.8.2 Confidentiality and Anonymization</w:t>
            </w:r>
            <w:r>
              <w:rPr>
                <w:noProof/>
                <w:webHidden/>
              </w:rPr>
              <w:tab/>
            </w:r>
            <w:r>
              <w:rPr>
                <w:noProof/>
                <w:webHidden/>
              </w:rPr>
              <w:fldChar w:fldCharType="begin"/>
            </w:r>
            <w:r>
              <w:rPr>
                <w:noProof/>
                <w:webHidden/>
              </w:rPr>
              <w:instrText xml:space="preserve"> PAGEREF _Toc211278926 \h </w:instrText>
            </w:r>
            <w:r>
              <w:rPr>
                <w:noProof/>
                <w:webHidden/>
              </w:rPr>
            </w:r>
            <w:r>
              <w:rPr>
                <w:noProof/>
                <w:webHidden/>
              </w:rPr>
              <w:fldChar w:fldCharType="separate"/>
            </w:r>
            <w:r>
              <w:rPr>
                <w:noProof/>
                <w:webHidden/>
              </w:rPr>
              <w:t>182</w:t>
            </w:r>
            <w:r>
              <w:rPr>
                <w:noProof/>
                <w:webHidden/>
              </w:rPr>
              <w:fldChar w:fldCharType="end"/>
            </w:r>
          </w:hyperlink>
        </w:p>
        <w:p w14:paraId="65B024A1"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7" w:history="1">
            <w:r w:rsidRPr="00282733">
              <w:rPr>
                <w:rStyle w:val="Hyperlink"/>
                <w:bCs/>
                <w:noProof/>
              </w:rPr>
              <w:t>3.8.3 Data Protection and Storage</w:t>
            </w:r>
            <w:r>
              <w:rPr>
                <w:noProof/>
                <w:webHidden/>
              </w:rPr>
              <w:tab/>
            </w:r>
            <w:r>
              <w:rPr>
                <w:noProof/>
                <w:webHidden/>
              </w:rPr>
              <w:fldChar w:fldCharType="begin"/>
            </w:r>
            <w:r>
              <w:rPr>
                <w:noProof/>
                <w:webHidden/>
              </w:rPr>
              <w:instrText xml:space="preserve"> PAGEREF _Toc211278927 \h </w:instrText>
            </w:r>
            <w:r>
              <w:rPr>
                <w:noProof/>
                <w:webHidden/>
              </w:rPr>
            </w:r>
            <w:r>
              <w:rPr>
                <w:noProof/>
                <w:webHidden/>
              </w:rPr>
              <w:fldChar w:fldCharType="separate"/>
            </w:r>
            <w:r>
              <w:rPr>
                <w:noProof/>
                <w:webHidden/>
              </w:rPr>
              <w:t>183</w:t>
            </w:r>
            <w:r>
              <w:rPr>
                <w:noProof/>
                <w:webHidden/>
              </w:rPr>
              <w:fldChar w:fldCharType="end"/>
            </w:r>
          </w:hyperlink>
        </w:p>
        <w:p w14:paraId="317A175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8" w:history="1">
            <w:r w:rsidRPr="00282733">
              <w:rPr>
                <w:rStyle w:val="Hyperlink"/>
                <w:bCs/>
                <w:noProof/>
              </w:rPr>
              <w:t>3.8.4 Ethical Approval and Oversight</w:t>
            </w:r>
            <w:r>
              <w:rPr>
                <w:noProof/>
                <w:webHidden/>
              </w:rPr>
              <w:tab/>
            </w:r>
            <w:r>
              <w:rPr>
                <w:noProof/>
                <w:webHidden/>
              </w:rPr>
              <w:fldChar w:fldCharType="begin"/>
            </w:r>
            <w:r>
              <w:rPr>
                <w:noProof/>
                <w:webHidden/>
              </w:rPr>
              <w:instrText xml:space="preserve"> PAGEREF _Toc211278928 \h </w:instrText>
            </w:r>
            <w:r>
              <w:rPr>
                <w:noProof/>
                <w:webHidden/>
              </w:rPr>
            </w:r>
            <w:r>
              <w:rPr>
                <w:noProof/>
                <w:webHidden/>
              </w:rPr>
              <w:fldChar w:fldCharType="separate"/>
            </w:r>
            <w:r>
              <w:rPr>
                <w:noProof/>
                <w:webHidden/>
              </w:rPr>
              <w:t>184</w:t>
            </w:r>
            <w:r>
              <w:rPr>
                <w:noProof/>
                <w:webHidden/>
              </w:rPr>
              <w:fldChar w:fldCharType="end"/>
            </w:r>
          </w:hyperlink>
        </w:p>
        <w:p w14:paraId="33DD6EA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29" w:history="1">
            <w:r w:rsidRPr="00282733">
              <w:rPr>
                <w:rStyle w:val="Hyperlink"/>
                <w:bCs/>
                <w:noProof/>
              </w:rPr>
              <w:t>3.8.5 Participant Selection and Fairness</w:t>
            </w:r>
            <w:r>
              <w:rPr>
                <w:noProof/>
                <w:webHidden/>
              </w:rPr>
              <w:tab/>
            </w:r>
            <w:r>
              <w:rPr>
                <w:noProof/>
                <w:webHidden/>
              </w:rPr>
              <w:fldChar w:fldCharType="begin"/>
            </w:r>
            <w:r>
              <w:rPr>
                <w:noProof/>
                <w:webHidden/>
              </w:rPr>
              <w:instrText xml:space="preserve"> PAGEREF _Toc211278929 \h </w:instrText>
            </w:r>
            <w:r>
              <w:rPr>
                <w:noProof/>
                <w:webHidden/>
              </w:rPr>
            </w:r>
            <w:r>
              <w:rPr>
                <w:noProof/>
                <w:webHidden/>
              </w:rPr>
              <w:fldChar w:fldCharType="separate"/>
            </w:r>
            <w:r>
              <w:rPr>
                <w:noProof/>
                <w:webHidden/>
              </w:rPr>
              <w:t>185</w:t>
            </w:r>
            <w:r>
              <w:rPr>
                <w:noProof/>
                <w:webHidden/>
              </w:rPr>
              <w:fldChar w:fldCharType="end"/>
            </w:r>
          </w:hyperlink>
        </w:p>
        <w:p w14:paraId="50EB73B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0" w:history="1">
            <w:r w:rsidRPr="00282733">
              <w:rPr>
                <w:rStyle w:val="Hyperlink"/>
                <w:bCs/>
                <w:noProof/>
              </w:rPr>
              <w:t>3.8.6 Minimizing Potential Harms and Managing Risks</w:t>
            </w:r>
            <w:r>
              <w:rPr>
                <w:noProof/>
                <w:webHidden/>
              </w:rPr>
              <w:tab/>
            </w:r>
            <w:r>
              <w:rPr>
                <w:noProof/>
                <w:webHidden/>
              </w:rPr>
              <w:fldChar w:fldCharType="begin"/>
            </w:r>
            <w:r>
              <w:rPr>
                <w:noProof/>
                <w:webHidden/>
              </w:rPr>
              <w:instrText xml:space="preserve"> PAGEREF _Toc211278930 \h </w:instrText>
            </w:r>
            <w:r>
              <w:rPr>
                <w:noProof/>
                <w:webHidden/>
              </w:rPr>
            </w:r>
            <w:r>
              <w:rPr>
                <w:noProof/>
                <w:webHidden/>
              </w:rPr>
              <w:fldChar w:fldCharType="separate"/>
            </w:r>
            <w:r>
              <w:rPr>
                <w:noProof/>
                <w:webHidden/>
              </w:rPr>
              <w:t>185</w:t>
            </w:r>
            <w:r>
              <w:rPr>
                <w:noProof/>
                <w:webHidden/>
              </w:rPr>
              <w:fldChar w:fldCharType="end"/>
            </w:r>
          </w:hyperlink>
        </w:p>
        <w:p w14:paraId="73C2BB9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1" w:history="1">
            <w:r w:rsidRPr="00282733">
              <w:rPr>
                <w:rStyle w:val="Hyperlink"/>
                <w:bCs/>
                <w:noProof/>
              </w:rPr>
              <w:t>3.8.7 Addressing Researcher Bias and Conflicts of Interest</w:t>
            </w:r>
            <w:r>
              <w:rPr>
                <w:noProof/>
                <w:webHidden/>
              </w:rPr>
              <w:tab/>
            </w:r>
            <w:r>
              <w:rPr>
                <w:noProof/>
                <w:webHidden/>
              </w:rPr>
              <w:fldChar w:fldCharType="begin"/>
            </w:r>
            <w:r>
              <w:rPr>
                <w:noProof/>
                <w:webHidden/>
              </w:rPr>
              <w:instrText xml:space="preserve"> PAGEREF _Toc211278931 \h </w:instrText>
            </w:r>
            <w:r>
              <w:rPr>
                <w:noProof/>
                <w:webHidden/>
              </w:rPr>
            </w:r>
            <w:r>
              <w:rPr>
                <w:noProof/>
                <w:webHidden/>
              </w:rPr>
              <w:fldChar w:fldCharType="separate"/>
            </w:r>
            <w:r>
              <w:rPr>
                <w:noProof/>
                <w:webHidden/>
              </w:rPr>
              <w:t>186</w:t>
            </w:r>
            <w:r>
              <w:rPr>
                <w:noProof/>
                <w:webHidden/>
              </w:rPr>
              <w:fldChar w:fldCharType="end"/>
            </w:r>
          </w:hyperlink>
        </w:p>
        <w:p w14:paraId="10A2C18F"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32" w:history="1">
            <w:r w:rsidRPr="00282733">
              <w:rPr>
                <w:rStyle w:val="Hyperlink"/>
                <w:noProof/>
              </w:rPr>
              <w:t>3.9 Limitations</w:t>
            </w:r>
            <w:r>
              <w:rPr>
                <w:noProof/>
                <w:webHidden/>
              </w:rPr>
              <w:tab/>
            </w:r>
            <w:r>
              <w:rPr>
                <w:noProof/>
                <w:webHidden/>
              </w:rPr>
              <w:fldChar w:fldCharType="begin"/>
            </w:r>
            <w:r>
              <w:rPr>
                <w:noProof/>
                <w:webHidden/>
              </w:rPr>
              <w:instrText xml:space="preserve"> PAGEREF _Toc211278932 \h </w:instrText>
            </w:r>
            <w:r>
              <w:rPr>
                <w:noProof/>
                <w:webHidden/>
              </w:rPr>
            </w:r>
            <w:r>
              <w:rPr>
                <w:noProof/>
                <w:webHidden/>
              </w:rPr>
              <w:fldChar w:fldCharType="separate"/>
            </w:r>
            <w:r>
              <w:rPr>
                <w:noProof/>
                <w:webHidden/>
              </w:rPr>
              <w:t>187</w:t>
            </w:r>
            <w:r>
              <w:rPr>
                <w:noProof/>
                <w:webHidden/>
              </w:rPr>
              <w:fldChar w:fldCharType="end"/>
            </w:r>
          </w:hyperlink>
        </w:p>
        <w:p w14:paraId="4EE8459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3" w:history="1">
            <w:r w:rsidRPr="00282733">
              <w:rPr>
                <w:rStyle w:val="Hyperlink"/>
                <w:bCs/>
                <w:noProof/>
              </w:rPr>
              <w:t>3.9.1 Response Bias in the Questionnaire</w:t>
            </w:r>
            <w:r>
              <w:rPr>
                <w:noProof/>
                <w:webHidden/>
              </w:rPr>
              <w:tab/>
            </w:r>
            <w:r>
              <w:rPr>
                <w:noProof/>
                <w:webHidden/>
              </w:rPr>
              <w:fldChar w:fldCharType="begin"/>
            </w:r>
            <w:r>
              <w:rPr>
                <w:noProof/>
                <w:webHidden/>
              </w:rPr>
              <w:instrText xml:space="preserve"> PAGEREF _Toc211278933 \h </w:instrText>
            </w:r>
            <w:r>
              <w:rPr>
                <w:noProof/>
                <w:webHidden/>
              </w:rPr>
            </w:r>
            <w:r>
              <w:rPr>
                <w:noProof/>
                <w:webHidden/>
              </w:rPr>
              <w:fldChar w:fldCharType="separate"/>
            </w:r>
            <w:r>
              <w:rPr>
                <w:noProof/>
                <w:webHidden/>
              </w:rPr>
              <w:t>188</w:t>
            </w:r>
            <w:r>
              <w:rPr>
                <w:noProof/>
                <w:webHidden/>
              </w:rPr>
              <w:fldChar w:fldCharType="end"/>
            </w:r>
          </w:hyperlink>
        </w:p>
        <w:p w14:paraId="3FC3A0D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4" w:history="1">
            <w:r w:rsidRPr="00282733">
              <w:rPr>
                <w:rStyle w:val="Hyperlink"/>
                <w:bCs/>
                <w:noProof/>
              </w:rPr>
              <w:t>3.9.2 Subjectivity in Interviews</w:t>
            </w:r>
            <w:r>
              <w:rPr>
                <w:noProof/>
                <w:webHidden/>
              </w:rPr>
              <w:tab/>
            </w:r>
            <w:r>
              <w:rPr>
                <w:noProof/>
                <w:webHidden/>
              </w:rPr>
              <w:fldChar w:fldCharType="begin"/>
            </w:r>
            <w:r>
              <w:rPr>
                <w:noProof/>
                <w:webHidden/>
              </w:rPr>
              <w:instrText xml:space="preserve"> PAGEREF _Toc211278934 \h </w:instrText>
            </w:r>
            <w:r>
              <w:rPr>
                <w:noProof/>
                <w:webHidden/>
              </w:rPr>
            </w:r>
            <w:r>
              <w:rPr>
                <w:noProof/>
                <w:webHidden/>
              </w:rPr>
              <w:fldChar w:fldCharType="separate"/>
            </w:r>
            <w:r>
              <w:rPr>
                <w:noProof/>
                <w:webHidden/>
              </w:rPr>
              <w:t>189</w:t>
            </w:r>
            <w:r>
              <w:rPr>
                <w:noProof/>
                <w:webHidden/>
              </w:rPr>
              <w:fldChar w:fldCharType="end"/>
            </w:r>
          </w:hyperlink>
        </w:p>
        <w:p w14:paraId="4EFEBEF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5" w:history="1">
            <w:r w:rsidRPr="00282733">
              <w:rPr>
                <w:rStyle w:val="Hyperlink"/>
                <w:bCs/>
                <w:noProof/>
              </w:rPr>
              <w:t>3.9.3 Small Sample Size for Interviews</w:t>
            </w:r>
            <w:r>
              <w:rPr>
                <w:noProof/>
                <w:webHidden/>
              </w:rPr>
              <w:tab/>
            </w:r>
            <w:r>
              <w:rPr>
                <w:noProof/>
                <w:webHidden/>
              </w:rPr>
              <w:fldChar w:fldCharType="begin"/>
            </w:r>
            <w:r>
              <w:rPr>
                <w:noProof/>
                <w:webHidden/>
              </w:rPr>
              <w:instrText xml:space="preserve"> PAGEREF _Toc211278935 \h </w:instrText>
            </w:r>
            <w:r>
              <w:rPr>
                <w:noProof/>
                <w:webHidden/>
              </w:rPr>
            </w:r>
            <w:r>
              <w:rPr>
                <w:noProof/>
                <w:webHidden/>
              </w:rPr>
              <w:fldChar w:fldCharType="separate"/>
            </w:r>
            <w:r>
              <w:rPr>
                <w:noProof/>
                <w:webHidden/>
              </w:rPr>
              <w:t>191</w:t>
            </w:r>
            <w:r>
              <w:rPr>
                <w:noProof/>
                <w:webHidden/>
              </w:rPr>
              <w:fldChar w:fldCharType="end"/>
            </w:r>
          </w:hyperlink>
        </w:p>
        <w:p w14:paraId="1DF0AF3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6" w:history="1">
            <w:r w:rsidRPr="00282733">
              <w:rPr>
                <w:rStyle w:val="Hyperlink"/>
                <w:bCs/>
                <w:noProof/>
              </w:rPr>
              <w:t>3.9.4 Cross-Sectional Design</w:t>
            </w:r>
            <w:r>
              <w:rPr>
                <w:noProof/>
                <w:webHidden/>
              </w:rPr>
              <w:tab/>
            </w:r>
            <w:r>
              <w:rPr>
                <w:noProof/>
                <w:webHidden/>
              </w:rPr>
              <w:fldChar w:fldCharType="begin"/>
            </w:r>
            <w:r>
              <w:rPr>
                <w:noProof/>
                <w:webHidden/>
              </w:rPr>
              <w:instrText xml:space="preserve"> PAGEREF _Toc211278936 \h </w:instrText>
            </w:r>
            <w:r>
              <w:rPr>
                <w:noProof/>
                <w:webHidden/>
              </w:rPr>
            </w:r>
            <w:r>
              <w:rPr>
                <w:noProof/>
                <w:webHidden/>
              </w:rPr>
              <w:fldChar w:fldCharType="separate"/>
            </w:r>
            <w:r>
              <w:rPr>
                <w:noProof/>
                <w:webHidden/>
              </w:rPr>
              <w:t>192</w:t>
            </w:r>
            <w:r>
              <w:rPr>
                <w:noProof/>
                <w:webHidden/>
              </w:rPr>
              <w:fldChar w:fldCharType="end"/>
            </w:r>
          </w:hyperlink>
        </w:p>
        <w:p w14:paraId="357DE41C"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7" w:history="1">
            <w:r w:rsidRPr="00282733">
              <w:rPr>
                <w:rStyle w:val="Hyperlink"/>
                <w:bCs/>
                <w:noProof/>
              </w:rPr>
              <w:t>3.9.5 Questionnaire Sample Size</w:t>
            </w:r>
            <w:r>
              <w:rPr>
                <w:noProof/>
                <w:webHidden/>
              </w:rPr>
              <w:tab/>
            </w:r>
            <w:r>
              <w:rPr>
                <w:noProof/>
                <w:webHidden/>
              </w:rPr>
              <w:fldChar w:fldCharType="begin"/>
            </w:r>
            <w:r>
              <w:rPr>
                <w:noProof/>
                <w:webHidden/>
              </w:rPr>
              <w:instrText xml:space="preserve"> PAGEREF _Toc211278937 \h </w:instrText>
            </w:r>
            <w:r>
              <w:rPr>
                <w:noProof/>
                <w:webHidden/>
              </w:rPr>
            </w:r>
            <w:r>
              <w:rPr>
                <w:noProof/>
                <w:webHidden/>
              </w:rPr>
              <w:fldChar w:fldCharType="separate"/>
            </w:r>
            <w:r>
              <w:rPr>
                <w:noProof/>
                <w:webHidden/>
              </w:rPr>
              <w:t>192</w:t>
            </w:r>
            <w:r>
              <w:rPr>
                <w:noProof/>
                <w:webHidden/>
              </w:rPr>
              <w:fldChar w:fldCharType="end"/>
            </w:r>
          </w:hyperlink>
        </w:p>
        <w:p w14:paraId="39A4E2E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8" w:history="1">
            <w:r w:rsidRPr="00282733">
              <w:rPr>
                <w:rStyle w:val="Hyperlink"/>
                <w:bCs/>
                <w:noProof/>
              </w:rPr>
              <w:t>3.9.6 Data Availability Constraints</w:t>
            </w:r>
            <w:r>
              <w:rPr>
                <w:noProof/>
                <w:webHidden/>
              </w:rPr>
              <w:tab/>
            </w:r>
            <w:r>
              <w:rPr>
                <w:noProof/>
                <w:webHidden/>
              </w:rPr>
              <w:fldChar w:fldCharType="begin"/>
            </w:r>
            <w:r>
              <w:rPr>
                <w:noProof/>
                <w:webHidden/>
              </w:rPr>
              <w:instrText xml:space="preserve"> PAGEREF _Toc211278938 \h </w:instrText>
            </w:r>
            <w:r>
              <w:rPr>
                <w:noProof/>
                <w:webHidden/>
              </w:rPr>
            </w:r>
            <w:r>
              <w:rPr>
                <w:noProof/>
                <w:webHidden/>
              </w:rPr>
              <w:fldChar w:fldCharType="separate"/>
            </w:r>
            <w:r>
              <w:rPr>
                <w:noProof/>
                <w:webHidden/>
              </w:rPr>
              <w:t>193</w:t>
            </w:r>
            <w:r>
              <w:rPr>
                <w:noProof/>
                <w:webHidden/>
              </w:rPr>
              <w:fldChar w:fldCharType="end"/>
            </w:r>
          </w:hyperlink>
        </w:p>
        <w:p w14:paraId="05A2BFB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39" w:history="1">
            <w:r w:rsidRPr="00282733">
              <w:rPr>
                <w:rStyle w:val="Hyperlink"/>
                <w:bCs/>
                <w:noProof/>
              </w:rPr>
              <w:t>3.9.7 Opaque NPL Reporting</w:t>
            </w:r>
            <w:r>
              <w:rPr>
                <w:noProof/>
                <w:webHidden/>
              </w:rPr>
              <w:tab/>
            </w:r>
            <w:r>
              <w:rPr>
                <w:noProof/>
                <w:webHidden/>
              </w:rPr>
              <w:fldChar w:fldCharType="begin"/>
            </w:r>
            <w:r>
              <w:rPr>
                <w:noProof/>
                <w:webHidden/>
              </w:rPr>
              <w:instrText xml:space="preserve"> PAGEREF _Toc211278939 \h </w:instrText>
            </w:r>
            <w:r>
              <w:rPr>
                <w:noProof/>
                <w:webHidden/>
              </w:rPr>
            </w:r>
            <w:r>
              <w:rPr>
                <w:noProof/>
                <w:webHidden/>
              </w:rPr>
              <w:fldChar w:fldCharType="separate"/>
            </w:r>
            <w:r>
              <w:rPr>
                <w:noProof/>
                <w:webHidden/>
              </w:rPr>
              <w:t>194</w:t>
            </w:r>
            <w:r>
              <w:rPr>
                <w:noProof/>
                <w:webHidden/>
              </w:rPr>
              <w:fldChar w:fldCharType="end"/>
            </w:r>
          </w:hyperlink>
        </w:p>
        <w:p w14:paraId="4FA1C7F7"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40" w:history="1">
            <w:r w:rsidRPr="00282733">
              <w:rPr>
                <w:rStyle w:val="Hyperlink"/>
                <w:bCs/>
                <w:noProof/>
              </w:rPr>
              <w:t>3.9.8 Focus on Post-2004 Consolidation DMBs</w:t>
            </w:r>
            <w:r>
              <w:rPr>
                <w:noProof/>
                <w:webHidden/>
              </w:rPr>
              <w:tab/>
            </w:r>
            <w:r>
              <w:rPr>
                <w:noProof/>
                <w:webHidden/>
              </w:rPr>
              <w:fldChar w:fldCharType="begin"/>
            </w:r>
            <w:r>
              <w:rPr>
                <w:noProof/>
                <w:webHidden/>
              </w:rPr>
              <w:instrText xml:space="preserve"> PAGEREF _Toc211278940 \h </w:instrText>
            </w:r>
            <w:r>
              <w:rPr>
                <w:noProof/>
                <w:webHidden/>
              </w:rPr>
            </w:r>
            <w:r>
              <w:rPr>
                <w:noProof/>
                <w:webHidden/>
              </w:rPr>
              <w:fldChar w:fldCharType="separate"/>
            </w:r>
            <w:r>
              <w:rPr>
                <w:noProof/>
                <w:webHidden/>
              </w:rPr>
              <w:t>194</w:t>
            </w:r>
            <w:r>
              <w:rPr>
                <w:noProof/>
                <w:webHidden/>
              </w:rPr>
              <w:fldChar w:fldCharType="end"/>
            </w:r>
          </w:hyperlink>
        </w:p>
        <w:p w14:paraId="0C812B9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41" w:history="1">
            <w:r w:rsidRPr="00282733">
              <w:rPr>
                <w:rStyle w:val="Hyperlink"/>
                <w:noProof/>
              </w:rPr>
              <w:t>3.9.9 Logistical Constraints</w:t>
            </w:r>
            <w:r>
              <w:rPr>
                <w:noProof/>
                <w:webHidden/>
              </w:rPr>
              <w:tab/>
            </w:r>
            <w:r>
              <w:rPr>
                <w:noProof/>
                <w:webHidden/>
              </w:rPr>
              <w:fldChar w:fldCharType="begin"/>
            </w:r>
            <w:r>
              <w:rPr>
                <w:noProof/>
                <w:webHidden/>
              </w:rPr>
              <w:instrText xml:space="preserve"> PAGEREF _Toc211278941 \h </w:instrText>
            </w:r>
            <w:r>
              <w:rPr>
                <w:noProof/>
                <w:webHidden/>
              </w:rPr>
            </w:r>
            <w:r>
              <w:rPr>
                <w:noProof/>
                <w:webHidden/>
              </w:rPr>
              <w:fldChar w:fldCharType="separate"/>
            </w:r>
            <w:r>
              <w:rPr>
                <w:noProof/>
                <w:webHidden/>
              </w:rPr>
              <w:t>194</w:t>
            </w:r>
            <w:r>
              <w:rPr>
                <w:noProof/>
                <w:webHidden/>
              </w:rPr>
              <w:fldChar w:fldCharType="end"/>
            </w:r>
          </w:hyperlink>
        </w:p>
        <w:p w14:paraId="5271358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42" w:history="1">
            <w:r w:rsidRPr="00282733">
              <w:rPr>
                <w:rStyle w:val="Hyperlink"/>
                <w:bCs/>
                <w:noProof/>
              </w:rPr>
              <w:t>3.9.10 Researcher Reflexivity and Positionality</w:t>
            </w:r>
            <w:r>
              <w:rPr>
                <w:noProof/>
                <w:webHidden/>
              </w:rPr>
              <w:tab/>
            </w:r>
            <w:r>
              <w:rPr>
                <w:noProof/>
                <w:webHidden/>
              </w:rPr>
              <w:fldChar w:fldCharType="begin"/>
            </w:r>
            <w:r>
              <w:rPr>
                <w:noProof/>
                <w:webHidden/>
              </w:rPr>
              <w:instrText xml:space="preserve"> PAGEREF _Toc211278942 \h </w:instrText>
            </w:r>
            <w:r>
              <w:rPr>
                <w:noProof/>
                <w:webHidden/>
              </w:rPr>
            </w:r>
            <w:r>
              <w:rPr>
                <w:noProof/>
                <w:webHidden/>
              </w:rPr>
              <w:fldChar w:fldCharType="separate"/>
            </w:r>
            <w:r>
              <w:rPr>
                <w:noProof/>
                <w:webHidden/>
              </w:rPr>
              <w:t>195</w:t>
            </w:r>
            <w:r>
              <w:rPr>
                <w:noProof/>
                <w:webHidden/>
              </w:rPr>
              <w:fldChar w:fldCharType="end"/>
            </w:r>
          </w:hyperlink>
        </w:p>
        <w:p w14:paraId="5C1FBD22"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43" w:history="1">
            <w:r w:rsidRPr="00282733">
              <w:rPr>
                <w:rStyle w:val="Hyperlink"/>
                <w:noProof/>
              </w:rPr>
              <w:t>3.10 Conclusion</w:t>
            </w:r>
            <w:r>
              <w:rPr>
                <w:noProof/>
                <w:webHidden/>
              </w:rPr>
              <w:tab/>
            </w:r>
            <w:r>
              <w:rPr>
                <w:noProof/>
                <w:webHidden/>
              </w:rPr>
              <w:fldChar w:fldCharType="begin"/>
            </w:r>
            <w:r>
              <w:rPr>
                <w:noProof/>
                <w:webHidden/>
              </w:rPr>
              <w:instrText xml:space="preserve"> PAGEREF _Toc211278943 \h </w:instrText>
            </w:r>
            <w:r>
              <w:rPr>
                <w:noProof/>
                <w:webHidden/>
              </w:rPr>
            </w:r>
            <w:r>
              <w:rPr>
                <w:noProof/>
                <w:webHidden/>
              </w:rPr>
              <w:fldChar w:fldCharType="separate"/>
            </w:r>
            <w:r>
              <w:rPr>
                <w:noProof/>
                <w:webHidden/>
              </w:rPr>
              <w:t>195</w:t>
            </w:r>
            <w:r>
              <w:rPr>
                <w:noProof/>
                <w:webHidden/>
              </w:rPr>
              <w:fldChar w:fldCharType="end"/>
            </w:r>
          </w:hyperlink>
        </w:p>
        <w:p w14:paraId="48A79E90" w14:textId="77777777" w:rsidR="00646B26" w:rsidRDefault="00646B26" w:rsidP="00646B26">
          <w:pPr>
            <w:pStyle w:val="TOC1"/>
            <w:tabs>
              <w:tab w:val="right" w:leader="dot" w:pos="9350"/>
            </w:tabs>
            <w:rPr>
              <w:rFonts w:eastAsiaTheme="minorEastAsia" w:cstheme="minorBidi"/>
              <w:b w:val="0"/>
              <w:bCs w:val="0"/>
              <w:caps/>
              <w:noProof/>
              <w:kern w:val="2"/>
              <w:lang w:val="en-NG"/>
              <w14:ligatures w14:val="standardContextual"/>
            </w:rPr>
          </w:pPr>
          <w:hyperlink w:anchor="_Toc211278944" w:history="1">
            <w:r w:rsidRPr="00282733">
              <w:rPr>
                <w:rStyle w:val="Hyperlink"/>
                <w:noProof/>
              </w:rPr>
              <w:t>Chapter 4: Results</w:t>
            </w:r>
            <w:r>
              <w:rPr>
                <w:noProof/>
                <w:webHidden/>
              </w:rPr>
              <w:tab/>
            </w:r>
            <w:r>
              <w:rPr>
                <w:noProof/>
                <w:webHidden/>
              </w:rPr>
              <w:fldChar w:fldCharType="begin"/>
            </w:r>
            <w:r>
              <w:rPr>
                <w:noProof/>
                <w:webHidden/>
              </w:rPr>
              <w:instrText xml:space="preserve"> PAGEREF _Toc211278944 \h </w:instrText>
            </w:r>
            <w:r>
              <w:rPr>
                <w:noProof/>
                <w:webHidden/>
              </w:rPr>
            </w:r>
            <w:r>
              <w:rPr>
                <w:noProof/>
                <w:webHidden/>
              </w:rPr>
              <w:fldChar w:fldCharType="separate"/>
            </w:r>
            <w:r>
              <w:rPr>
                <w:noProof/>
                <w:webHidden/>
              </w:rPr>
              <w:t>199</w:t>
            </w:r>
            <w:r>
              <w:rPr>
                <w:noProof/>
                <w:webHidden/>
              </w:rPr>
              <w:fldChar w:fldCharType="end"/>
            </w:r>
          </w:hyperlink>
        </w:p>
        <w:p w14:paraId="617AD2A7"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45" w:history="1">
            <w:r w:rsidRPr="00282733">
              <w:rPr>
                <w:rStyle w:val="Hyperlink"/>
                <w:noProof/>
              </w:rPr>
              <w:t>4.1 Participant De</w:t>
            </w:r>
            <w:r w:rsidRPr="00282733">
              <w:rPr>
                <w:rStyle w:val="Hyperlink"/>
                <w:noProof/>
              </w:rPr>
              <w:t>m</w:t>
            </w:r>
            <w:r w:rsidRPr="00282733">
              <w:rPr>
                <w:rStyle w:val="Hyperlink"/>
                <w:noProof/>
              </w:rPr>
              <w:t>ographics</w:t>
            </w:r>
            <w:r>
              <w:rPr>
                <w:noProof/>
                <w:webHidden/>
              </w:rPr>
              <w:tab/>
            </w:r>
            <w:r>
              <w:rPr>
                <w:noProof/>
                <w:webHidden/>
              </w:rPr>
              <w:fldChar w:fldCharType="begin"/>
            </w:r>
            <w:r>
              <w:rPr>
                <w:noProof/>
                <w:webHidden/>
              </w:rPr>
              <w:instrText xml:space="preserve"> PAGEREF _Toc211278945 \h </w:instrText>
            </w:r>
            <w:r>
              <w:rPr>
                <w:noProof/>
                <w:webHidden/>
              </w:rPr>
            </w:r>
            <w:r>
              <w:rPr>
                <w:noProof/>
                <w:webHidden/>
              </w:rPr>
              <w:fldChar w:fldCharType="separate"/>
            </w:r>
            <w:r>
              <w:rPr>
                <w:noProof/>
                <w:webHidden/>
              </w:rPr>
              <w:t>200</w:t>
            </w:r>
            <w:r>
              <w:rPr>
                <w:noProof/>
                <w:webHidden/>
              </w:rPr>
              <w:fldChar w:fldCharType="end"/>
            </w:r>
          </w:hyperlink>
        </w:p>
        <w:p w14:paraId="3FF0306D"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46" w:history="1">
            <w:r w:rsidRPr="00282733">
              <w:rPr>
                <w:rStyle w:val="Hyperlink"/>
                <w:noProof/>
              </w:rPr>
              <w:t>4.2 Quantitative Results for RQ1</w:t>
            </w:r>
            <w:r>
              <w:rPr>
                <w:noProof/>
                <w:webHidden/>
              </w:rPr>
              <w:tab/>
            </w:r>
            <w:r>
              <w:rPr>
                <w:noProof/>
                <w:webHidden/>
              </w:rPr>
              <w:fldChar w:fldCharType="begin"/>
            </w:r>
            <w:r>
              <w:rPr>
                <w:noProof/>
                <w:webHidden/>
              </w:rPr>
              <w:instrText xml:space="preserve"> PAGEREF _Toc211278946 \h </w:instrText>
            </w:r>
            <w:r>
              <w:rPr>
                <w:noProof/>
                <w:webHidden/>
              </w:rPr>
            </w:r>
            <w:r>
              <w:rPr>
                <w:noProof/>
                <w:webHidden/>
              </w:rPr>
              <w:fldChar w:fldCharType="separate"/>
            </w:r>
            <w:r>
              <w:rPr>
                <w:noProof/>
                <w:webHidden/>
              </w:rPr>
              <w:t>203</w:t>
            </w:r>
            <w:r>
              <w:rPr>
                <w:noProof/>
                <w:webHidden/>
              </w:rPr>
              <w:fldChar w:fldCharType="end"/>
            </w:r>
          </w:hyperlink>
        </w:p>
        <w:p w14:paraId="7C7EA4A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47" w:history="1">
            <w:r w:rsidRPr="00282733">
              <w:rPr>
                <w:rStyle w:val="Hyperlink"/>
                <w:noProof/>
              </w:rPr>
              <w:t>4.2.1 Descriptive Statistics for RQ1</w:t>
            </w:r>
            <w:r>
              <w:rPr>
                <w:noProof/>
                <w:webHidden/>
              </w:rPr>
              <w:tab/>
            </w:r>
            <w:r>
              <w:rPr>
                <w:noProof/>
                <w:webHidden/>
              </w:rPr>
              <w:fldChar w:fldCharType="begin"/>
            </w:r>
            <w:r>
              <w:rPr>
                <w:noProof/>
                <w:webHidden/>
              </w:rPr>
              <w:instrText xml:space="preserve"> PAGEREF _Toc211278947 \h </w:instrText>
            </w:r>
            <w:r>
              <w:rPr>
                <w:noProof/>
                <w:webHidden/>
              </w:rPr>
            </w:r>
            <w:r>
              <w:rPr>
                <w:noProof/>
                <w:webHidden/>
              </w:rPr>
              <w:fldChar w:fldCharType="separate"/>
            </w:r>
            <w:r>
              <w:rPr>
                <w:noProof/>
                <w:webHidden/>
              </w:rPr>
              <w:t>203</w:t>
            </w:r>
            <w:r>
              <w:rPr>
                <w:noProof/>
                <w:webHidden/>
              </w:rPr>
              <w:fldChar w:fldCharType="end"/>
            </w:r>
          </w:hyperlink>
        </w:p>
        <w:p w14:paraId="2180944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48" w:history="1">
            <w:r w:rsidRPr="00282733">
              <w:rPr>
                <w:rStyle w:val="Hyperlink"/>
                <w:noProof/>
              </w:rPr>
              <w:t>4.2.2 Reliability Analysis</w:t>
            </w:r>
            <w:r>
              <w:rPr>
                <w:noProof/>
                <w:webHidden/>
              </w:rPr>
              <w:tab/>
            </w:r>
            <w:r>
              <w:rPr>
                <w:noProof/>
                <w:webHidden/>
              </w:rPr>
              <w:fldChar w:fldCharType="begin"/>
            </w:r>
            <w:r>
              <w:rPr>
                <w:noProof/>
                <w:webHidden/>
              </w:rPr>
              <w:instrText xml:space="preserve"> PAGEREF _Toc211278948 \h </w:instrText>
            </w:r>
            <w:r>
              <w:rPr>
                <w:noProof/>
                <w:webHidden/>
              </w:rPr>
            </w:r>
            <w:r>
              <w:rPr>
                <w:noProof/>
                <w:webHidden/>
              </w:rPr>
              <w:fldChar w:fldCharType="separate"/>
            </w:r>
            <w:r>
              <w:rPr>
                <w:noProof/>
                <w:webHidden/>
              </w:rPr>
              <w:t>204</w:t>
            </w:r>
            <w:r>
              <w:rPr>
                <w:noProof/>
                <w:webHidden/>
              </w:rPr>
              <w:fldChar w:fldCharType="end"/>
            </w:r>
          </w:hyperlink>
        </w:p>
        <w:p w14:paraId="5CC66028"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49" w:history="1">
            <w:r w:rsidRPr="00282733">
              <w:rPr>
                <w:rStyle w:val="Hyperlink"/>
                <w:noProof/>
              </w:rPr>
              <w:t>4.2.3 Correlation Analysis</w:t>
            </w:r>
            <w:r>
              <w:rPr>
                <w:noProof/>
                <w:webHidden/>
              </w:rPr>
              <w:tab/>
            </w:r>
            <w:r>
              <w:rPr>
                <w:noProof/>
                <w:webHidden/>
              </w:rPr>
              <w:fldChar w:fldCharType="begin"/>
            </w:r>
            <w:r>
              <w:rPr>
                <w:noProof/>
                <w:webHidden/>
              </w:rPr>
              <w:instrText xml:space="preserve"> PAGEREF _Toc211278949 \h </w:instrText>
            </w:r>
            <w:r>
              <w:rPr>
                <w:noProof/>
                <w:webHidden/>
              </w:rPr>
            </w:r>
            <w:r>
              <w:rPr>
                <w:noProof/>
                <w:webHidden/>
              </w:rPr>
              <w:fldChar w:fldCharType="separate"/>
            </w:r>
            <w:r>
              <w:rPr>
                <w:noProof/>
                <w:webHidden/>
              </w:rPr>
              <w:t>204</w:t>
            </w:r>
            <w:r>
              <w:rPr>
                <w:noProof/>
                <w:webHidden/>
              </w:rPr>
              <w:fldChar w:fldCharType="end"/>
            </w:r>
          </w:hyperlink>
        </w:p>
        <w:p w14:paraId="4163C6F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50" w:history="1">
            <w:r w:rsidRPr="00282733">
              <w:rPr>
                <w:rStyle w:val="Hyperlink"/>
                <w:noProof/>
              </w:rPr>
              <w:t>4.2.4 Regression Analysis</w:t>
            </w:r>
            <w:r>
              <w:rPr>
                <w:noProof/>
                <w:webHidden/>
              </w:rPr>
              <w:tab/>
            </w:r>
            <w:r>
              <w:rPr>
                <w:noProof/>
                <w:webHidden/>
              </w:rPr>
              <w:fldChar w:fldCharType="begin"/>
            </w:r>
            <w:r>
              <w:rPr>
                <w:noProof/>
                <w:webHidden/>
              </w:rPr>
              <w:instrText xml:space="preserve"> PAGEREF _Toc211278950 \h </w:instrText>
            </w:r>
            <w:r>
              <w:rPr>
                <w:noProof/>
                <w:webHidden/>
              </w:rPr>
            </w:r>
            <w:r>
              <w:rPr>
                <w:noProof/>
                <w:webHidden/>
              </w:rPr>
              <w:fldChar w:fldCharType="separate"/>
            </w:r>
            <w:r>
              <w:rPr>
                <w:noProof/>
                <w:webHidden/>
              </w:rPr>
              <w:t>204</w:t>
            </w:r>
            <w:r>
              <w:rPr>
                <w:noProof/>
                <w:webHidden/>
              </w:rPr>
              <w:fldChar w:fldCharType="end"/>
            </w:r>
          </w:hyperlink>
        </w:p>
        <w:p w14:paraId="2BD56CF7"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51" w:history="1">
            <w:r w:rsidRPr="00282733">
              <w:rPr>
                <w:rStyle w:val="Hyperlink"/>
                <w:noProof/>
              </w:rPr>
              <w:t>4.3 Mixed-Methods Results for RQ2</w:t>
            </w:r>
            <w:r>
              <w:rPr>
                <w:noProof/>
                <w:webHidden/>
              </w:rPr>
              <w:tab/>
            </w:r>
            <w:r>
              <w:rPr>
                <w:noProof/>
                <w:webHidden/>
              </w:rPr>
              <w:fldChar w:fldCharType="begin"/>
            </w:r>
            <w:r>
              <w:rPr>
                <w:noProof/>
                <w:webHidden/>
              </w:rPr>
              <w:instrText xml:space="preserve"> PAGEREF _Toc211278951 \h </w:instrText>
            </w:r>
            <w:r>
              <w:rPr>
                <w:noProof/>
                <w:webHidden/>
              </w:rPr>
            </w:r>
            <w:r>
              <w:rPr>
                <w:noProof/>
                <w:webHidden/>
              </w:rPr>
              <w:fldChar w:fldCharType="separate"/>
            </w:r>
            <w:r>
              <w:rPr>
                <w:noProof/>
                <w:webHidden/>
              </w:rPr>
              <w:t>205</w:t>
            </w:r>
            <w:r>
              <w:rPr>
                <w:noProof/>
                <w:webHidden/>
              </w:rPr>
              <w:fldChar w:fldCharType="end"/>
            </w:r>
          </w:hyperlink>
        </w:p>
        <w:p w14:paraId="35C21B2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52" w:history="1">
            <w:r w:rsidRPr="00282733">
              <w:rPr>
                <w:rStyle w:val="Hyperlink"/>
                <w:noProof/>
              </w:rPr>
              <w:t>4.3.1 Descriptive Statistics for RQ2</w:t>
            </w:r>
            <w:r>
              <w:rPr>
                <w:noProof/>
                <w:webHidden/>
              </w:rPr>
              <w:tab/>
            </w:r>
            <w:r>
              <w:rPr>
                <w:noProof/>
                <w:webHidden/>
              </w:rPr>
              <w:fldChar w:fldCharType="begin"/>
            </w:r>
            <w:r>
              <w:rPr>
                <w:noProof/>
                <w:webHidden/>
              </w:rPr>
              <w:instrText xml:space="preserve"> PAGEREF _Toc211278952 \h </w:instrText>
            </w:r>
            <w:r>
              <w:rPr>
                <w:noProof/>
                <w:webHidden/>
              </w:rPr>
            </w:r>
            <w:r>
              <w:rPr>
                <w:noProof/>
                <w:webHidden/>
              </w:rPr>
              <w:fldChar w:fldCharType="separate"/>
            </w:r>
            <w:r>
              <w:rPr>
                <w:noProof/>
                <w:webHidden/>
              </w:rPr>
              <w:t>206</w:t>
            </w:r>
            <w:r>
              <w:rPr>
                <w:noProof/>
                <w:webHidden/>
              </w:rPr>
              <w:fldChar w:fldCharType="end"/>
            </w:r>
          </w:hyperlink>
        </w:p>
        <w:p w14:paraId="729824F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53" w:history="1">
            <w:r w:rsidRPr="00282733">
              <w:rPr>
                <w:rStyle w:val="Hyperlink"/>
                <w:noProof/>
              </w:rPr>
              <w:t>4.3.2 Reliability and Measurement Model</w:t>
            </w:r>
            <w:r>
              <w:rPr>
                <w:noProof/>
                <w:webHidden/>
              </w:rPr>
              <w:tab/>
            </w:r>
            <w:r>
              <w:rPr>
                <w:noProof/>
                <w:webHidden/>
              </w:rPr>
              <w:fldChar w:fldCharType="begin"/>
            </w:r>
            <w:r>
              <w:rPr>
                <w:noProof/>
                <w:webHidden/>
              </w:rPr>
              <w:instrText xml:space="preserve"> PAGEREF _Toc211278953 \h </w:instrText>
            </w:r>
            <w:r>
              <w:rPr>
                <w:noProof/>
                <w:webHidden/>
              </w:rPr>
            </w:r>
            <w:r>
              <w:rPr>
                <w:noProof/>
                <w:webHidden/>
              </w:rPr>
              <w:fldChar w:fldCharType="separate"/>
            </w:r>
            <w:r>
              <w:rPr>
                <w:noProof/>
                <w:webHidden/>
              </w:rPr>
              <w:t>206</w:t>
            </w:r>
            <w:r>
              <w:rPr>
                <w:noProof/>
                <w:webHidden/>
              </w:rPr>
              <w:fldChar w:fldCharType="end"/>
            </w:r>
          </w:hyperlink>
        </w:p>
        <w:p w14:paraId="51D01A36"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54" w:history="1">
            <w:r w:rsidRPr="00282733">
              <w:rPr>
                <w:rStyle w:val="Hyperlink"/>
                <w:noProof/>
              </w:rPr>
              <w:t>4.3.3 SEM Path Analysis</w:t>
            </w:r>
            <w:r>
              <w:rPr>
                <w:noProof/>
                <w:webHidden/>
              </w:rPr>
              <w:tab/>
            </w:r>
            <w:r>
              <w:rPr>
                <w:noProof/>
                <w:webHidden/>
              </w:rPr>
              <w:fldChar w:fldCharType="begin"/>
            </w:r>
            <w:r>
              <w:rPr>
                <w:noProof/>
                <w:webHidden/>
              </w:rPr>
              <w:instrText xml:space="preserve"> PAGEREF _Toc211278954 \h </w:instrText>
            </w:r>
            <w:r>
              <w:rPr>
                <w:noProof/>
                <w:webHidden/>
              </w:rPr>
            </w:r>
            <w:r>
              <w:rPr>
                <w:noProof/>
                <w:webHidden/>
              </w:rPr>
              <w:fldChar w:fldCharType="separate"/>
            </w:r>
            <w:r>
              <w:rPr>
                <w:noProof/>
                <w:webHidden/>
              </w:rPr>
              <w:t>206</w:t>
            </w:r>
            <w:r>
              <w:rPr>
                <w:noProof/>
                <w:webHidden/>
              </w:rPr>
              <w:fldChar w:fldCharType="end"/>
            </w:r>
          </w:hyperlink>
        </w:p>
        <w:p w14:paraId="378A5FB6"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55" w:history="1">
            <w:r w:rsidRPr="00282733">
              <w:rPr>
                <w:rStyle w:val="Hyperlink"/>
                <w:noProof/>
              </w:rPr>
              <w:t>4.3.4 Perceptual Insights (Qualitative Component)</w:t>
            </w:r>
            <w:r>
              <w:rPr>
                <w:noProof/>
                <w:webHidden/>
              </w:rPr>
              <w:tab/>
            </w:r>
            <w:r>
              <w:rPr>
                <w:noProof/>
                <w:webHidden/>
              </w:rPr>
              <w:fldChar w:fldCharType="begin"/>
            </w:r>
            <w:r>
              <w:rPr>
                <w:noProof/>
                <w:webHidden/>
              </w:rPr>
              <w:instrText xml:space="preserve"> PAGEREF _Toc211278955 \h </w:instrText>
            </w:r>
            <w:r>
              <w:rPr>
                <w:noProof/>
                <w:webHidden/>
              </w:rPr>
            </w:r>
            <w:r>
              <w:rPr>
                <w:noProof/>
                <w:webHidden/>
              </w:rPr>
              <w:fldChar w:fldCharType="separate"/>
            </w:r>
            <w:r>
              <w:rPr>
                <w:noProof/>
                <w:webHidden/>
              </w:rPr>
              <w:t>207</w:t>
            </w:r>
            <w:r>
              <w:rPr>
                <w:noProof/>
                <w:webHidden/>
              </w:rPr>
              <w:fldChar w:fldCharType="end"/>
            </w:r>
          </w:hyperlink>
        </w:p>
        <w:p w14:paraId="528697A4"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56" w:history="1">
            <w:r w:rsidRPr="00282733">
              <w:rPr>
                <w:rStyle w:val="Hyperlink"/>
                <w:noProof/>
              </w:rPr>
              <w:t>4.4 Integration of Findings</w:t>
            </w:r>
            <w:r>
              <w:rPr>
                <w:noProof/>
                <w:webHidden/>
              </w:rPr>
              <w:tab/>
            </w:r>
            <w:r>
              <w:rPr>
                <w:noProof/>
                <w:webHidden/>
              </w:rPr>
              <w:fldChar w:fldCharType="begin"/>
            </w:r>
            <w:r>
              <w:rPr>
                <w:noProof/>
                <w:webHidden/>
              </w:rPr>
              <w:instrText xml:space="preserve"> PAGEREF _Toc211278956 \h </w:instrText>
            </w:r>
            <w:r>
              <w:rPr>
                <w:noProof/>
                <w:webHidden/>
              </w:rPr>
            </w:r>
            <w:r>
              <w:rPr>
                <w:noProof/>
                <w:webHidden/>
              </w:rPr>
              <w:fldChar w:fldCharType="separate"/>
            </w:r>
            <w:r>
              <w:rPr>
                <w:noProof/>
                <w:webHidden/>
              </w:rPr>
              <w:t>207</w:t>
            </w:r>
            <w:r>
              <w:rPr>
                <w:noProof/>
                <w:webHidden/>
              </w:rPr>
              <w:fldChar w:fldCharType="end"/>
            </w:r>
          </w:hyperlink>
        </w:p>
        <w:p w14:paraId="10745635"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57" w:history="1">
            <w:r w:rsidRPr="00282733">
              <w:rPr>
                <w:rStyle w:val="Hyperlink"/>
                <w:noProof/>
              </w:rPr>
              <w:t>4.5 Research Process Management</w:t>
            </w:r>
            <w:r>
              <w:rPr>
                <w:noProof/>
                <w:webHidden/>
              </w:rPr>
              <w:tab/>
            </w:r>
            <w:r>
              <w:rPr>
                <w:noProof/>
                <w:webHidden/>
              </w:rPr>
              <w:fldChar w:fldCharType="begin"/>
            </w:r>
            <w:r>
              <w:rPr>
                <w:noProof/>
                <w:webHidden/>
              </w:rPr>
              <w:instrText xml:space="preserve"> PAGEREF _Toc211278957 \h </w:instrText>
            </w:r>
            <w:r>
              <w:rPr>
                <w:noProof/>
                <w:webHidden/>
              </w:rPr>
            </w:r>
            <w:r>
              <w:rPr>
                <w:noProof/>
                <w:webHidden/>
              </w:rPr>
              <w:fldChar w:fldCharType="separate"/>
            </w:r>
            <w:r>
              <w:rPr>
                <w:noProof/>
                <w:webHidden/>
              </w:rPr>
              <w:t>207</w:t>
            </w:r>
            <w:r>
              <w:rPr>
                <w:noProof/>
                <w:webHidden/>
              </w:rPr>
              <w:fldChar w:fldCharType="end"/>
            </w:r>
          </w:hyperlink>
        </w:p>
        <w:p w14:paraId="5A1BEABF" w14:textId="77777777" w:rsidR="00646B26" w:rsidRDefault="00646B26" w:rsidP="00646B26">
          <w:pPr>
            <w:pStyle w:val="TOC1"/>
            <w:tabs>
              <w:tab w:val="right" w:leader="dot" w:pos="9350"/>
            </w:tabs>
            <w:rPr>
              <w:rFonts w:eastAsiaTheme="minorEastAsia" w:cstheme="minorBidi"/>
              <w:b w:val="0"/>
              <w:bCs w:val="0"/>
              <w:caps/>
              <w:noProof/>
              <w:kern w:val="2"/>
              <w:lang w:val="en-NG"/>
              <w14:ligatures w14:val="standardContextual"/>
            </w:rPr>
          </w:pPr>
          <w:hyperlink w:anchor="_Toc211278958" w:history="1">
            <w:r w:rsidRPr="00282733">
              <w:rPr>
                <w:rStyle w:val="Hyperlink"/>
                <w:noProof/>
              </w:rPr>
              <w:t>Chapter 5: Discussion</w:t>
            </w:r>
            <w:r>
              <w:rPr>
                <w:noProof/>
                <w:webHidden/>
              </w:rPr>
              <w:tab/>
            </w:r>
            <w:r>
              <w:rPr>
                <w:noProof/>
                <w:webHidden/>
              </w:rPr>
              <w:fldChar w:fldCharType="begin"/>
            </w:r>
            <w:r>
              <w:rPr>
                <w:noProof/>
                <w:webHidden/>
              </w:rPr>
              <w:instrText xml:space="preserve"> PAGEREF _Toc211278958 \h </w:instrText>
            </w:r>
            <w:r>
              <w:rPr>
                <w:noProof/>
                <w:webHidden/>
              </w:rPr>
            </w:r>
            <w:r>
              <w:rPr>
                <w:noProof/>
                <w:webHidden/>
              </w:rPr>
              <w:fldChar w:fldCharType="separate"/>
            </w:r>
            <w:r>
              <w:rPr>
                <w:noProof/>
                <w:webHidden/>
              </w:rPr>
              <w:t>208</w:t>
            </w:r>
            <w:r>
              <w:rPr>
                <w:noProof/>
                <w:webHidden/>
              </w:rPr>
              <w:fldChar w:fldCharType="end"/>
            </w:r>
          </w:hyperlink>
        </w:p>
        <w:p w14:paraId="7C0983C4"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59" w:history="1">
            <w:r w:rsidRPr="00282733">
              <w:rPr>
                <w:rStyle w:val="Hyperlink"/>
                <w:noProof/>
              </w:rPr>
              <w:t>5.1 Introduction to the Discussion</w:t>
            </w:r>
            <w:r>
              <w:rPr>
                <w:noProof/>
                <w:webHidden/>
              </w:rPr>
              <w:tab/>
            </w:r>
            <w:r>
              <w:rPr>
                <w:noProof/>
                <w:webHidden/>
              </w:rPr>
              <w:fldChar w:fldCharType="begin"/>
            </w:r>
            <w:r>
              <w:rPr>
                <w:noProof/>
                <w:webHidden/>
              </w:rPr>
              <w:instrText xml:space="preserve"> PAGEREF _Toc211278959 \h </w:instrText>
            </w:r>
            <w:r>
              <w:rPr>
                <w:noProof/>
                <w:webHidden/>
              </w:rPr>
            </w:r>
            <w:r>
              <w:rPr>
                <w:noProof/>
                <w:webHidden/>
              </w:rPr>
              <w:fldChar w:fldCharType="separate"/>
            </w:r>
            <w:r>
              <w:rPr>
                <w:noProof/>
                <w:webHidden/>
              </w:rPr>
              <w:t>208</w:t>
            </w:r>
            <w:r>
              <w:rPr>
                <w:noProof/>
                <w:webHidden/>
              </w:rPr>
              <w:fldChar w:fldCharType="end"/>
            </w:r>
          </w:hyperlink>
        </w:p>
        <w:p w14:paraId="1410E301"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60" w:history="1">
            <w:r w:rsidRPr="00282733">
              <w:rPr>
                <w:rStyle w:val="Hyperlink"/>
                <w:noProof/>
              </w:rPr>
              <w:t>5.2 Interpretation of Findings by CG Tenets</w:t>
            </w:r>
            <w:r>
              <w:rPr>
                <w:noProof/>
                <w:webHidden/>
              </w:rPr>
              <w:tab/>
            </w:r>
            <w:r>
              <w:rPr>
                <w:noProof/>
                <w:webHidden/>
              </w:rPr>
              <w:fldChar w:fldCharType="begin"/>
            </w:r>
            <w:r>
              <w:rPr>
                <w:noProof/>
                <w:webHidden/>
              </w:rPr>
              <w:instrText xml:space="preserve"> PAGEREF _Toc211278960 \h </w:instrText>
            </w:r>
            <w:r>
              <w:rPr>
                <w:noProof/>
                <w:webHidden/>
              </w:rPr>
            </w:r>
            <w:r>
              <w:rPr>
                <w:noProof/>
                <w:webHidden/>
              </w:rPr>
              <w:fldChar w:fldCharType="separate"/>
            </w:r>
            <w:r>
              <w:rPr>
                <w:noProof/>
                <w:webHidden/>
              </w:rPr>
              <w:t>211</w:t>
            </w:r>
            <w:r>
              <w:rPr>
                <w:noProof/>
                <w:webHidden/>
              </w:rPr>
              <w:fldChar w:fldCharType="end"/>
            </w:r>
          </w:hyperlink>
        </w:p>
        <w:p w14:paraId="66E146F2"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1" w:history="1">
            <w:r w:rsidRPr="00282733">
              <w:rPr>
                <w:rStyle w:val="Hyperlink"/>
                <w:noProof/>
              </w:rPr>
              <w:t>5.2.1 Bank Governance and Risk Management (Tenet 1) – H1, OB1</w:t>
            </w:r>
            <w:r>
              <w:rPr>
                <w:noProof/>
                <w:webHidden/>
              </w:rPr>
              <w:tab/>
            </w:r>
            <w:r>
              <w:rPr>
                <w:noProof/>
                <w:webHidden/>
              </w:rPr>
              <w:fldChar w:fldCharType="begin"/>
            </w:r>
            <w:r>
              <w:rPr>
                <w:noProof/>
                <w:webHidden/>
              </w:rPr>
              <w:instrText xml:space="preserve"> PAGEREF _Toc211278961 \h </w:instrText>
            </w:r>
            <w:r>
              <w:rPr>
                <w:noProof/>
                <w:webHidden/>
              </w:rPr>
            </w:r>
            <w:r>
              <w:rPr>
                <w:noProof/>
                <w:webHidden/>
              </w:rPr>
              <w:fldChar w:fldCharType="separate"/>
            </w:r>
            <w:r>
              <w:rPr>
                <w:noProof/>
                <w:webHidden/>
              </w:rPr>
              <w:t>212</w:t>
            </w:r>
            <w:r>
              <w:rPr>
                <w:noProof/>
                <w:webHidden/>
              </w:rPr>
              <w:fldChar w:fldCharType="end"/>
            </w:r>
          </w:hyperlink>
        </w:p>
        <w:p w14:paraId="6B6BAAD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2" w:history="1">
            <w:r w:rsidRPr="00282733">
              <w:rPr>
                <w:rStyle w:val="Hyperlink"/>
                <w:noProof/>
              </w:rPr>
              <w:t>5.2.2 Corporate Governance and Bank Practice (Tenet 2) – H3, OB3</w:t>
            </w:r>
            <w:r>
              <w:rPr>
                <w:noProof/>
                <w:webHidden/>
              </w:rPr>
              <w:tab/>
            </w:r>
            <w:r>
              <w:rPr>
                <w:noProof/>
                <w:webHidden/>
              </w:rPr>
              <w:fldChar w:fldCharType="begin"/>
            </w:r>
            <w:r>
              <w:rPr>
                <w:noProof/>
                <w:webHidden/>
              </w:rPr>
              <w:instrText xml:space="preserve"> PAGEREF _Toc211278962 \h </w:instrText>
            </w:r>
            <w:r>
              <w:rPr>
                <w:noProof/>
                <w:webHidden/>
              </w:rPr>
            </w:r>
            <w:r>
              <w:rPr>
                <w:noProof/>
                <w:webHidden/>
              </w:rPr>
              <w:fldChar w:fldCharType="separate"/>
            </w:r>
            <w:r>
              <w:rPr>
                <w:noProof/>
                <w:webHidden/>
              </w:rPr>
              <w:t>213</w:t>
            </w:r>
            <w:r>
              <w:rPr>
                <w:noProof/>
                <w:webHidden/>
              </w:rPr>
              <w:fldChar w:fldCharType="end"/>
            </w:r>
          </w:hyperlink>
        </w:p>
        <w:p w14:paraId="1C86271E"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3" w:history="1">
            <w:r w:rsidRPr="00282733">
              <w:rPr>
                <w:rStyle w:val="Hyperlink"/>
                <w:noProof/>
              </w:rPr>
              <w:t>5.2.3 Regulatory Multiplicity (Tenet 3) – H4, OB3</w:t>
            </w:r>
            <w:r>
              <w:rPr>
                <w:noProof/>
                <w:webHidden/>
              </w:rPr>
              <w:tab/>
            </w:r>
            <w:r>
              <w:rPr>
                <w:noProof/>
                <w:webHidden/>
              </w:rPr>
              <w:fldChar w:fldCharType="begin"/>
            </w:r>
            <w:r>
              <w:rPr>
                <w:noProof/>
                <w:webHidden/>
              </w:rPr>
              <w:instrText xml:space="preserve"> PAGEREF _Toc211278963 \h </w:instrText>
            </w:r>
            <w:r>
              <w:rPr>
                <w:noProof/>
                <w:webHidden/>
              </w:rPr>
            </w:r>
            <w:r>
              <w:rPr>
                <w:noProof/>
                <w:webHidden/>
              </w:rPr>
              <w:fldChar w:fldCharType="separate"/>
            </w:r>
            <w:r>
              <w:rPr>
                <w:noProof/>
                <w:webHidden/>
              </w:rPr>
              <w:t>215</w:t>
            </w:r>
            <w:r>
              <w:rPr>
                <w:noProof/>
                <w:webHidden/>
              </w:rPr>
              <w:fldChar w:fldCharType="end"/>
            </w:r>
          </w:hyperlink>
        </w:p>
        <w:p w14:paraId="61976D1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4" w:history="1">
            <w:r w:rsidRPr="00282733">
              <w:rPr>
                <w:rStyle w:val="Hyperlink"/>
                <w:noProof/>
              </w:rPr>
              <w:t>5.2.4 Transparency and Accountability (Tenet 4) – H2, OB2</w:t>
            </w:r>
            <w:r>
              <w:rPr>
                <w:noProof/>
                <w:webHidden/>
              </w:rPr>
              <w:tab/>
            </w:r>
            <w:r>
              <w:rPr>
                <w:noProof/>
                <w:webHidden/>
              </w:rPr>
              <w:fldChar w:fldCharType="begin"/>
            </w:r>
            <w:r>
              <w:rPr>
                <w:noProof/>
                <w:webHidden/>
              </w:rPr>
              <w:instrText xml:space="preserve"> PAGEREF _Toc211278964 \h </w:instrText>
            </w:r>
            <w:r>
              <w:rPr>
                <w:noProof/>
                <w:webHidden/>
              </w:rPr>
            </w:r>
            <w:r>
              <w:rPr>
                <w:noProof/>
                <w:webHidden/>
              </w:rPr>
              <w:fldChar w:fldCharType="separate"/>
            </w:r>
            <w:r>
              <w:rPr>
                <w:noProof/>
                <w:webHidden/>
              </w:rPr>
              <w:t>216</w:t>
            </w:r>
            <w:r>
              <w:rPr>
                <w:noProof/>
                <w:webHidden/>
              </w:rPr>
              <w:fldChar w:fldCharType="end"/>
            </w:r>
          </w:hyperlink>
        </w:p>
        <w:p w14:paraId="0941A264"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65" w:history="1">
            <w:r w:rsidRPr="00282733">
              <w:rPr>
                <w:rStyle w:val="Hyperlink"/>
                <w:noProof/>
              </w:rPr>
              <w:t>5.6 Addressing the Research Questions Solely</w:t>
            </w:r>
            <w:r>
              <w:rPr>
                <w:noProof/>
                <w:webHidden/>
              </w:rPr>
              <w:tab/>
            </w:r>
            <w:r>
              <w:rPr>
                <w:noProof/>
                <w:webHidden/>
              </w:rPr>
              <w:fldChar w:fldCharType="begin"/>
            </w:r>
            <w:r>
              <w:rPr>
                <w:noProof/>
                <w:webHidden/>
              </w:rPr>
              <w:instrText xml:space="preserve"> PAGEREF _Toc211278965 \h </w:instrText>
            </w:r>
            <w:r>
              <w:rPr>
                <w:noProof/>
                <w:webHidden/>
              </w:rPr>
            </w:r>
            <w:r>
              <w:rPr>
                <w:noProof/>
                <w:webHidden/>
              </w:rPr>
              <w:fldChar w:fldCharType="separate"/>
            </w:r>
            <w:r>
              <w:rPr>
                <w:noProof/>
                <w:webHidden/>
              </w:rPr>
              <w:t>217</w:t>
            </w:r>
            <w:r>
              <w:rPr>
                <w:noProof/>
                <w:webHidden/>
              </w:rPr>
              <w:fldChar w:fldCharType="end"/>
            </w:r>
          </w:hyperlink>
        </w:p>
        <w:p w14:paraId="35FF9A4A"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6" w:history="1">
            <w:r w:rsidRPr="00282733">
              <w:rPr>
                <w:rStyle w:val="Hyperlink"/>
                <w:noProof/>
              </w:rPr>
              <w:t>5.6.1 RQ1: To What Extent Does Adherence to Robust Governance Practices, Such as Compliance with CBN Guidelines 2023, Independent Board Oversight, and Effective Risk Management, Influence Non-Performing Loan (NPL) Ratios in Nigerian Commercial Banks Within a Fragmented Regulatory Framework?</w:t>
            </w:r>
            <w:r>
              <w:rPr>
                <w:noProof/>
                <w:webHidden/>
              </w:rPr>
              <w:tab/>
            </w:r>
            <w:r>
              <w:rPr>
                <w:noProof/>
                <w:webHidden/>
              </w:rPr>
              <w:fldChar w:fldCharType="begin"/>
            </w:r>
            <w:r>
              <w:rPr>
                <w:noProof/>
                <w:webHidden/>
              </w:rPr>
              <w:instrText xml:space="preserve"> PAGEREF _Toc211278966 \h </w:instrText>
            </w:r>
            <w:r>
              <w:rPr>
                <w:noProof/>
                <w:webHidden/>
              </w:rPr>
            </w:r>
            <w:r>
              <w:rPr>
                <w:noProof/>
                <w:webHidden/>
              </w:rPr>
              <w:fldChar w:fldCharType="separate"/>
            </w:r>
            <w:r>
              <w:rPr>
                <w:noProof/>
                <w:webHidden/>
              </w:rPr>
              <w:t>218</w:t>
            </w:r>
            <w:r>
              <w:rPr>
                <w:noProof/>
                <w:webHidden/>
              </w:rPr>
              <w:fldChar w:fldCharType="end"/>
            </w:r>
          </w:hyperlink>
        </w:p>
        <w:p w14:paraId="29CED90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7" w:history="1">
            <w:r w:rsidRPr="00282733">
              <w:rPr>
                <w:rStyle w:val="Hyperlink"/>
                <w:noProof/>
              </w:rPr>
              <w:t>5.6.2 RQ2: How Does the Independence of Audit Committees Affect Non-Performing Loan (NPL) Ratios in Nigerian Commercial Banks?</w:t>
            </w:r>
            <w:r>
              <w:rPr>
                <w:noProof/>
                <w:webHidden/>
              </w:rPr>
              <w:tab/>
            </w:r>
            <w:r>
              <w:rPr>
                <w:noProof/>
                <w:webHidden/>
              </w:rPr>
              <w:fldChar w:fldCharType="begin"/>
            </w:r>
            <w:r>
              <w:rPr>
                <w:noProof/>
                <w:webHidden/>
              </w:rPr>
              <w:instrText xml:space="preserve"> PAGEREF _Toc211278967 \h </w:instrText>
            </w:r>
            <w:r>
              <w:rPr>
                <w:noProof/>
                <w:webHidden/>
              </w:rPr>
            </w:r>
            <w:r>
              <w:rPr>
                <w:noProof/>
                <w:webHidden/>
              </w:rPr>
              <w:fldChar w:fldCharType="separate"/>
            </w:r>
            <w:r>
              <w:rPr>
                <w:noProof/>
                <w:webHidden/>
              </w:rPr>
              <w:t>219</w:t>
            </w:r>
            <w:r>
              <w:rPr>
                <w:noProof/>
                <w:webHidden/>
              </w:rPr>
              <w:fldChar w:fldCharType="end"/>
            </w:r>
          </w:hyperlink>
        </w:p>
        <w:p w14:paraId="7F69D58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8" w:history="1">
            <w:r w:rsidRPr="00282733">
              <w:rPr>
                <w:rStyle w:val="Hyperlink"/>
                <w:noProof/>
              </w:rPr>
              <w:t>5.6.3 RQ3: What Is the Impact of Management Qualifications, Defined by Banking Experience and Governance Training, on Non-Performing Loan (NPL) Ratios in Nigerian Commercial Banks?</w:t>
            </w:r>
            <w:r>
              <w:rPr>
                <w:noProof/>
                <w:webHidden/>
              </w:rPr>
              <w:tab/>
            </w:r>
            <w:r>
              <w:rPr>
                <w:noProof/>
                <w:webHidden/>
              </w:rPr>
              <w:fldChar w:fldCharType="begin"/>
            </w:r>
            <w:r>
              <w:rPr>
                <w:noProof/>
                <w:webHidden/>
              </w:rPr>
              <w:instrText xml:space="preserve"> PAGEREF _Toc211278968 \h </w:instrText>
            </w:r>
            <w:r>
              <w:rPr>
                <w:noProof/>
                <w:webHidden/>
              </w:rPr>
            </w:r>
            <w:r>
              <w:rPr>
                <w:noProof/>
                <w:webHidden/>
              </w:rPr>
              <w:fldChar w:fldCharType="separate"/>
            </w:r>
            <w:r>
              <w:rPr>
                <w:noProof/>
                <w:webHidden/>
              </w:rPr>
              <w:t>220</w:t>
            </w:r>
            <w:r>
              <w:rPr>
                <w:noProof/>
                <w:webHidden/>
              </w:rPr>
              <w:fldChar w:fldCharType="end"/>
            </w:r>
          </w:hyperlink>
        </w:p>
        <w:p w14:paraId="1A32C93C"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69" w:history="1">
            <w:r w:rsidRPr="00282733">
              <w:rPr>
                <w:rStyle w:val="Hyperlink"/>
                <w:noProof/>
              </w:rPr>
              <w:t>5.6.4 RQ4: How Does the Clarity and Enforcement Consistency of Regulatory Frameworks Influence Non-Performing Loan (NPL) Ratios in Nigerian Commercial Banks?</w:t>
            </w:r>
            <w:r>
              <w:rPr>
                <w:noProof/>
                <w:webHidden/>
              </w:rPr>
              <w:tab/>
            </w:r>
            <w:r>
              <w:rPr>
                <w:noProof/>
                <w:webHidden/>
              </w:rPr>
              <w:fldChar w:fldCharType="begin"/>
            </w:r>
            <w:r>
              <w:rPr>
                <w:noProof/>
                <w:webHidden/>
              </w:rPr>
              <w:instrText xml:space="preserve"> PAGEREF _Toc211278969 \h </w:instrText>
            </w:r>
            <w:r>
              <w:rPr>
                <w:noProof/>
                <w:webHidden/>
              </w:rPr>
            </w:r>
            <w:r>
              <w:rPr>
                <w:noProof/>
                <w:webHidden/>
              </w:rPr>
              <w:fldChar w:fldCharType="separate"/>
            </w:r>
            <w:r>
              <w:rPr>
                <w:noProof/>
                <w:webHidden/>
              </w:rPr>
              <w:t>221</w:t>
            </w:r>
            <w:r>
              <w:rPr>
                <w:noProof/>
                <w:webHidden/>
              </w:rPr>
              <w:fldChar w:fldCharType="end"/>
            </w:r>
          </w:hyperlink>
        </w:p>
        <w:p w14:paraId="295EC70F"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70" w:history="1">
            <w:r w:rsidRPr="00282733">
              <w:rPr>
                <w:rStyle w:val="Hyperlink"/>
                <w:noProof/>
              </w:rPr>
              <w:t>5.6.5 Summary Table</w:t>
            </w:r>
            <w:r>
              <w:rPr>
                <w:noProof/>
                <w:webHidden/>
              </w:rPr>
              <w:tab/>
            </w:r>
            <w:r>
              <w:rPr>
                <w:noProof/>
                <w:webHidden/>
              </w:rPr>
              <w:fldChar w:fldCharType="begin"/>
            </w:r>
            <w:r>
              <w:rPr>
                <w:noProof/>
                <w:webHidden/>
              </w:rPr>
              <w:instrText xml:space="preserve"> PAGEREF _Toc211278970 \h </w:instrText>
            </w:r>
            <w:r>
              <w:rPr>
                <w:noProof/>
                <w:webHidden/>
              </w:rPr>
            </w:r>
            <w:r>
              <w:rPr>
                <w:noProof/>
                <w:webHidden/>
              </w:rPr>
              <w:fldChar w:fldCharType="separate"/>
            </w:r>
            <w:r>
              <w:rPr>
                <w:noProof/>
                <w:webHidden/>
              </w:rPr>
              <w:t>221</w:t>
            </w:r>
            <w:r>
              <w:rPr>
                <w:noProof/>
                <w:webHidden/>
              </w:rPr>
              <w:fldChar w:fldCharType="end"/>
            </w:r>
          </w:hyperlink>
        </w:p>
        <w:p w14:paraId="34075022"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71" w:history="1">
            <w:r w:rsidRPr="00282733">
              <w:rPr>
                <w:rStyle w:val="Hyperlink"/>
                <w:noProof/>
              </w:rPr>
              <w:t>5.7 Theoretical and Practical Implications</w:t>
            </w:r>
            <w:r>
              <w:rPr>
                <w:noProof/>
                <w:webHidden/>
              </w:rPr>
              <w:tab/>
            </w:r>
            <w:r>
              <w:rPr>
                <w:noProof/>
                <w:webHidden/>
              </w:rPr>
              <w:fldChar w:fldCharType="begin"/>
            </w:r>
            <w:r>
              <w:rPr>
                <w:noProof/>
                <w:webHidden/>
              </w:rPr>
              <w:instrText xml:space="preserve"> PAGEREF _Toc211278971 \h </w:instrText>
            </w:r>
            <w:r>
              <w:rPr>
                <w:noProof/>
                <w:webHidden/>
              </w:rPr>
            </w:r>
            <w:r>
              <w:rPr>
                <w:noProof/>
                <w:webHidden/>
              </w:rPr>
              <w:fldChar w:fldCharType="separate"/>
            </w:r>
            <w:r>
              <w:rPr>
                <w:noProof/>
                <w:webHidden/>
              </w:rPr>
              <w:t>223</w:t>
            </w:r>
            <w:r>
              <w:rPr>
                <w:noProof/>
                <w:webHidden/>
              </w:rPr>
              <w:fldChar w:fldCharType="end"/>
            </w:r>
          </w:hyperlink>
        </w:p>
        <w:p w14:paraId="1799FF59"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72" w:history="1">
            <w:r w:rsidRPr="00282733">
              <w:rPr>
                <w:rStyle w:val="Hyperlink"/>
                <w:noProof/>
              </w:rPr>
              <w:t>5.7.1 Theoretical Implications</w:t>
            </w:r>
            <w:r>
              <w:rPr>
                <w:noProof/>
                <w:webHidden/>
              </w:rPr>
              <w:tab/>
            </w:r>
            <w:r>
              <w:rPr>
                <w:noProof/>
                <w:webHidden/>
              </w:rPr>
              <w:fldChar w:fldCharType="begin"/>
            </w:r>
            <w:r>
              <w:rPr>
                <w:noProof/>
                <w:webHidden/>
              </w:rPr>
              <w:instrText xml:space="preserve"> PAGEREF _Toc211278972 \h </w:instrText>
            </w:r>
            <w:r>
              <w:rPr>
                <w:noProof/>
                <w:webHidden/>
              </w:rPr>
            </w:r>
            <w:r>
              <w:rPr>
                <w:noProof/>
                <w:webHidden/>
              </w:rPr>
              <w:fldChar w:fldCharType="separate"/>
            </w:r>
            <w:r>
              <w:rPr>
                <w:noProof/>
                <w:webHidden/>
              </w:rPr>
              <w:t>224</w:t>
            </w:r>
            <w:r>
              <w:rPr>
                <w:noProof/>
                <w:webHidden/>
              </w:rPr>
              <w:fldChar w:fldCharType="end"/>
            </w:r>
          </w:hyperlink>
        </w:p>
        <w:p w14:paraId="09E5A864"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73" w:history="1">
            <w:r w:rsidRPr="00282733">
              <w:rPr>
                <w:rStyle w:val="Hyperlink"/>
                <w:noProof/>
              </w:rPr>
              <w:t>5.7.2 Practical Implications</w:t>
            </w:r>
            <w:r>
              <w:rPr>
                <w:noProof/>
                <w:webHidden/>
              </w:rPr>
              <w:tab/>
            </w:r>
            <w:r>
              <w:rPr>
                <w:noProof/>
                <w:webHidden/>
              </w:rPr>
              <w:fldChar w:fldCharType="begin"/>
            </w:r>
            <w:r>
              <w:rPr>
                <w:noProof/>
                <w:webHidden/>
              </w:rPr>
              <w:instrText xml:space="preserve"> PAGEREF _Toc211278973 \h </w:instrText>
            </w:r>
            <w:r>
              <w:rPr>
                <w:noProof/>
                <w:webHidden/>
              </w:rPr>
            </w:r>
            <w:r>
              <w:rPr>
                <w:noProof/>
                <w:webHidden/>
              </w:rPr>
              <w:fldChar w:fldCharType="separate"/>
            </w:r>
            <w:r>
              <w:rPr>
                <w:noProof/>
                <w:webHidden/>
              </w:rPr>
              <w:t>225</w:t>
            </w:r>
            <w:r>
              <w:rPr>
                <w:noProof/>
                <w:webHidden/>
              </w:rPr>
              <w:fldChar w:fldCharType="end"/>
            </w:r>
          </w:hyperlink>
        </w:p>
        <w:p w14:paraId="4A79BA80"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74" w:history="1">
            <w:r w:rsidRPr="00282733">
              <w:rPr>
                <w:rStyle w:val="Hyperlink"/>
                <w:noProof/>
              </w:rPr>
              <w:t>5.8 Limitations and Future Research</w:t>
            </w:r>
            <w:r>
              <w:rPr>
                <w:noProof/>
                <w:webHidden/>
              </w:rPr>
              <w:tab/>
            </w:r>
            <w:r>
              <w:rPr>
                <w:noProof/>
                <w:webHidden/>
              </w:rPr>
              <w:fldChar w:fldCharType="begin"/>
            </w:r>
            <w:r>
              <w:rPr>
                <w:noProof/>
                <w:webHidden/>
              </w:rPr>
              <w:instrText xml:space="preserve"> PAGEREF _Toc211278974 \h </w:instrText>
            </w:r>
            <w:r>
              <w:rPr>
                <w:noProof/>
                <w:webHidden/>
              </w:rPr>
            </w:r>
            <w:r>
              <w:rPr>
                <w:noProof/>
                <w:webHidden/>
              </w:rPr>
              <w:fldChar w:fldCharType="separate"/>
            </w:r>
            <w:r>
              <w:rPr>
                <w:noProof/>
                <w:webHidden/>
              </w:rPr>
              <w:t>227</w:t>
            </w:r>
            <w:r>
              <w:rPr>
                <w:noProof/>
                <w:webHidden/>
              </w:rPr>
              <w:fldChar w:fldCharType="end"/>
            </w:r>
          </w:hyperlink>
        </w:p>
        <w:p w14:paraId="3AF4A6DA"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75" w:history="1">
            <w:r w:rsidRPr="00282733">
              <w:rPr>
                <w:rStyle w:val="Hyperlink"/>
                <w:noProof/>
              </w:rPr>
              <w:t>5.8.1 Future Research Directions</w:t>
            </w:r>
            <w:r>
              <w:rPr>
                <w:noProof/>
                <w:webHidden/>
              </w:rPr>
              <w:tab/>
            </w:r>
            <w:r>
              <w:rPr>
                <w:noProof/>
                <w:webHidden/>
              </w:rPr>
              <w:fldChar w:fldCharType="begin"/>
            </w:r>
            <w:r>
              <w:rPr>
                <w:noProof/>
                <w:webHidden/>
              </w:rPr>
              <w:instrText xml:space="preserve"> PAGEREF _Toc211278975 \h </w:instrText>
            </w:r>
            <w:r>
              <w:rPr>
                <w:noProof/>
                <w:webHidden/>
              </w:rPr>
            </w:r>
            <w:r>
              <w:rPr>
                <w:noProof/>
                <w:webHidden/>
              </w:rPr>
              <w:fldChar w:fldCharType="separate"/>
            </w:r>
            <w:r>
              <w:rPr>
                <w:noProof/>
                <w:webHidden/>
              </w:rPr>
              <w:t>229</w:t>
            </w:r>
            <w:r>
              <w:rPr>
                <w:noProof/>
                <w:webHidden/>
              </w:rPr>
              <w:fldChar w:fldCharType="end"/>
            </w:r>
          </w:hyperlink>
        </w:p>
        <w:p w14:paraId="56B1D7AE" w14:textId="77777777" w:rsidR="00646B26" w:rsidRDefault="00646B26" w:rsidP="00646B26">
          <w:pPr>
            <w:pStyle w:val="TOC1"/>
            <w:tabs>
              <w:tab w:val="right" w:leader="dot" w:pos="9350"/>
            </w:tabs>
            <w:rPr>
              <w:rFonts w:eastAsiaTheme="minorEastAsia" w:cstheme="minorBidi"/>
              <w:b w:val="0"/>
              <w:bCs w:val="0"/>
              <w:caps/>
              <w:noProof/>
              <w:kern w:val="2"/>
              <w:lang w:val="en-NG"/>
              <w14:ligatures w14:val="standardContextual"/>
            </w:rPr>
          </w:pPr>
          <w:hyperlink w:anchor="_Toc211278976" w:history="1">
            <w:r w:rsidRPr="00282733">
              <w:rPr>
                <w:rStyle w:val="Hyperlink"/>
                <w:noProof/>
              </w:rPr>
              <w:t>Chapter 6: Conclusion</w:t>
            </w:r>
            <w:r>
              <w:rPr>
                <w:noProof/>
                <w:webHidden/>
              </w:rPr>
              <w:tab/>
            </w:r>
            <w:r>
              <w:rPr>
                <w:noProof/>
                <w:webHidden/>
              </w:rPr>
              <w:fldChar w:fldCharType="begin"/>
            </w:r>
            <w:r>
              <w:rPr>
                <w:noProof/>
                <w:webHidden/>
              </w:rPr>
              <w:instrText xml:space="preserve"> PAGEREF _Toc211278976 \h </w:instrText>
            </w:r>
            <w:r>
              <w:rPr>
                <w:noProof/>
                <w:webHidden/>
              </w:rPr>
            </w:r>
            <w:r>
              <w:rPr>
                <w:noProof/>
                <w:webHidden/>
              </w:rPr>
              <w:fldChar w:fldCharType="separate"/>
            </w:r>
            <w:r>
              <w:rPr>
                <w:noProof/>
                <w:webHidden/>
              </w:rPr>
              <w:t>231</w:t>
            </w:r>
            <w:r>
              <w:rPr>
                <w:noProof/>
                <w:webHidden/>
              </w:rPr>
              <w:fldChar w:fldCharType="end"/>
            </w:r>
          </w:hyperlink>
        </w:p>
        <w:p w14:paraId="7FAC09EB"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77" w:history="1">
            <w:r w:rsidRPr="00282733">
              <w:rPr>
                <w:rStyle w:val="Hyperlink"/>
                <w:noProof/>
              </w:rPr>
              <w:t>6.1 Summary of Key Findings</w:t>
            </w:r>
            <w:r>
              <w:rPr>
                <w:noProof/>
                <w:webHidden/>
              </w:rPr>
              <w:tab/>
            </w:r>
            <w:r>
              <w:rPr>
                <w:noProof/>
                <w:webHidden/>
              </w:rPr>
              <w:fldChar w:fldCharType="begin"/>
            </w:r>
            <w:r>
              <w:rPr>
                <w:noProof/>
                <w:webHidden/>
              </w:rPr>
              <w:instrText xml:space="preserve"> PAGEREF _Toc211278977 \h </w:instrText>
            </w:r>
            <w:r>
              <w:rPr>
                <w:noProof/>
                <w:webHidden/>
              </w:rPr>
            </w:r>
            <w:r>
              <w:rPr>
                <w:noProof/>
                <w:webHidden/>
              </w:rPr>
              <w:fldChar w:fldCharType="separate"/>
            </w:r>
            <w:r>
              <w:rPr>
                <w:noProof/>
                <w:webHidden/>
              </w:rPr>
              <w:t>231</w:t>
            </w:r>
            <w:r>
              <w:rPr>
                <w:noProof/>
                <w:webHidden/>
              </w:rPr>
              <w:fldChar w:fldCharType="end"/>
            </w:r>
          </w:hyperlink>
        </w:p>
        <w:p w14:paraId="0605892A"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78" w:history="1">
            <w:r w:rsidRPr="00282733">
              <w:rPr>
                <w:rStyle w:val="Hyperlink"/>
                <w:noProof/>
              </w:rPr>
              <w:t>6.2 Contributions to Knowledge and Practice</w:t>
            </w:r>
            <w:r>
              <w:rPr>
                <w:noProof/>
                <w:webHidden/>
              </w:rPr>
              <w:tab/>
            </w:r>
            <w:r>
              <w:rPr>
                <w:noProof/>
                <w:webHidden/>
              </w:rPr>
              <w:fldChar w:fldCharType="begin"/>
            </w:r>
            <w:r>
              <w:rPr>
                <w:noProof/>
                <w:webHidden/>
              </w:rPr>
              <w:instrText xml:space="preserve"> PAGEREF _Toc211278978 \h </w:instrText>
            </w:r>
            <w:r>
              <w:rPr>
                <w:noProof/>
                <w:webHidden/>
              </w:rPr>
            </w:r>
            <w:r>
              <w:rPr>
                <w:noProof/>
                <w:webHidden/>
              </w:rPr>
              <w:fldChar w:fldCharType="separate"/>
            </w:r>
            <w:r>
              <w:rPr>
                <w:noProof/>
                <w:webHidden/>
              </w:rPr>
              <w:t>233</w:t>
            </w:r>
            <w:r>
              <w:rPr>
                <w:noProof/>
                <w:webHidden/>
              </w:rPr>
              <w:fldChar w:fldCharType="end"/>
            </w:r>
          </w:hyperlink>
        </w:p>
        <w:p w14:paraId="1D6BCF6D"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79" w:history="1">
            <w:r w:rsidRPr="00282733">
              <w:rPr>
                <w:rStyle w:val="Hyperlink"/>
                <w:noProof/>
              </w:rPr>
              <w:t>6.2.1 Academic Contributions</w:t>
            </w:r>
            <w:r>
              <w:rPr>
                <w:noProof/>
                <w:webHidden/>
              </w:rPr>
              <w:tab/>
            </w:r>
            <w:r>
              <w:rPr>
                <w:noProof/>
                <w:webHidden/>
              </w:rPr>
              <w:fldChar w:fldCharType="begin"/>
            </w:r>
            <w:r>
              <w:rPr>
                <w:noProof/>
                <w:webHidden/>
              </w:rPr>
              <w:instrText xml:space="preserve"> PAGEREF _Toc211278979 \h </w:instrText>
            </w:r>
            <w:r>
              <w:rPr>
                <w:noProof/>
                <w:webHidden/>
              </w:rPr>
            </w:r>
            <w:r>
              <w:rPr>
                <w:noProof/>
                <w:webHidden/>
              </w:rPr>
              <w:fldChar w:fldCharType="separate"/>
            </w:r>
            <w:r>
              <w:rPr>
                <w:noProof/>
                <w:webHidden/>
              </w:rPr>
              <w:t>234</w:t>
            </w:r>
            <w:r>
              <w:rPr>
                <w:noProof/>
                <w:webHidden/>
              </w:rPr>
              <w:fldChar w:fldCharType="end"/>
            </w:r>
          </w:hyperlink>
        </w:p>
        <w:p w14:paraId="4C0140CB"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80" w:history="1">
            <w:r w:rsidRPr="00282733">
              <w:rPr>
                <w:rStyle w:val="Hyperlink"/>
                <w:noProof/>
              </w:rPr>
              <w:t>6.2.1 Practical Contributions</w:t>
            </w:r>
            <w:r>
              <w:rPr>
                <w:noProof/>
                <w:webHidden/>
              </w:rPr>
              <w:tab/>
            </w:r>
            <w:r>
              <w:rPr>
                <w:noProof/>
                <w:webHidden/>
              </w:rPr>
              <w:fldChar w:fldCharType="begin"/>
            </w:r>
            <w:r>
              <w:rPr>
                <w:noProof/>
                <w:webHidden/>
              </w:rPr>
              <w:instrText xml:space="preserve"> PAGEREF _Toc211278980 \h </w:instrText>
            </w:r>
            <w:r>
              <w:rPr>
                <w:noProof/>
                <w:webHidden/>
              </w:rPr>
            </w:r>
            <w:r>
              <w:rPr>
                <w:noProof/>
                <w:webHidden/>
              </w:rPr>
              <w:fldChar w:fldCharType="separate"/>
            </w:r>
            <w:r>
              <w:rPr>
                <w:noProof/>
                <w:webHidden/>
              </w:rPr>
              <w:t>235</w:t>
            </w:r>
            <w:r>
              <w:rPr>
                <w:noProof/>
                <w:webHidden/>
              </w:rPr>
              <w:fldChar w:fldCharType="end"/>
            </w:r>
          </w:hyperlink>
        </w:p>
        <w:p w14:paraId="671F8E6D"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81" w:history="1">
            <w:r w:rsidRPr="00282733">
              <w:rPr>
                <w:rStyle w:val="Hyperlink"/>
                <w:noProof/>
              </w:rPr>
              <w:t>6.3 Recommendations</w:t>
            </w:r>
            <w:r>
              <w:rPr>
                <w:noProof/>
                <w:webHidden/>
              </w:rPr>
              <w:tab/>
            </w:r>
            <w:r>
              <w:rPr>
                <w:noProof/>
                <w:webHidden/>
              </w:rPr>
              <w:fldChar w:fldCharType="begin"/>
            </w:r>
            <w:r>
              <w:rPr>
                <w:noProof/>
                <w:webHidden/>
              </w:rPr>
              <w:instrText xml:space="preserve"> PAGEREF _Toc211278981 \h </w:instrText>
            </w:r>
            <w:r>
              <w:rPr>
                <w:noProof/>
                <w:webHidden/>
              </w:rPr>
            </w:r>
            <w:r>
              <w:rPr>
                <w:noProof/>
                <w:webHidden/>
              </w:rPr>
              <w:fldChar w:fldCharType="separate"/>
            </w:r>
            <w:r>
              <w:rPr>
                <w:noProof/>
                <w:webHidden/>
              </w:rPr>
              <w:t>236</w:t>
            </w:r>
            <w:r>
              <w:rPr>
                <w:noProof/>
                <w:webHidden/>
              </w:rPr>
              <w:fldChar w:fldCharType="end"/>
            </w:r>
          </w:hyperlink>
        </w:p>
        <w:p w14:paraId="40A7CDE7"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82" w:history="1">
            <w:r w:rsidRPr="00282733">
              <w:rPr>
                <w:rStyle w:val="Hyperlink"/>
                <w:noProof/>
              </w:rPr>
              <w:t>6.3.1 CBN-Led Regulatory Harmonization</w:t>
            </w:r>
            <w:r>
              <w:rPr>
                <w:noProof/>
                <w:webHidden/>
              </w:rPr>
              <w:tab/>
            </w:r>
            <w:r>
              <w:rPr>
                <w:noProof/>
                <w:webHidden/>
              </w:rPr>
              <w:fldChar w:fldCharType="begin"/>
            </w:r>
            <w:r>
              <w:rPr>
                <w:noProof/>
                <w:webHidden/>
              </w:rPr>
              <w:instrText xml:space="preserve"> PAGEREF _Toc211278982 \h </w:instrText>
            </w:r>
            <w:r>
              <w:rPr>
                <w:noProof/>
                <w:webHidden/>
              </w:rPr>
            </w:r>
            <w:r>
              <w:rPr>
                <w:noProof/>
                <w:webHidden/>
              </w:rPr>
              <w:fldChar w:fldCharType="separate"/>
            </w:r>
            <w:r>
              <w:rPr>
                <w:noProof/>
                <w:webHidden/>
              </w:rPr>
              <w:t>236</w:t>
            </w:r>
            <w:r>
              <w:rPr>
                <w:noProof/>
                <w:webHidden/>
              </w:rPr>
              <w:fldChar w:fldCharType="end"/>
            </w:r>
          </w:hyperlink>
        </w:p>
        <w:p w14:paraId="0092FCC0"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83" w:history="1">
            <w:r w:rsidRPr="00282733">
              <w:rPr>
                <w:rStyle w:val="Hyperlink"/>
                <w:noProof/>
              </w:rPr>
              <w:t>6.3.2 Mandatory Expertise Criteria for Board and Management Appointments</w:t>
            </w:r>
            <w:r>
              <w:rPr>
                <w:noProof/>
                <w:webHidden/>
              </w:rPr>
              <w:tab/>
            </w:r>
            <w:r>
              <w:rPr>
                <w:noProof/>
                <w:webHidden/>
              </w:rPr>
              <w:fldChar w:fldCharType="begin"/>
            </w:r>
            <w:r>
              <w:rPr>
                <w:noProof/>
                <w:webHidden/>
              </w:rPr>
              <w:instrText xml:space="preserve"> PAGEREF _Toc211278983 \h </w:instrText>
            </w:r>
            <w:r>
              <w:rPr>
                <w:noProof/>
                <w:webHidden/>
              </w:rPr>
            </w:r>
            <w:r>
              <w:rPr>
                <w:noProof/>
                <w:webHidden/>
              </w:rPr>
              <w:fldChar w:fldCharType="separate"/>
            </w:r>
            <w:r>
              <w:rPr>
                <w:noProof/>
                <w:webHidden/>
              </w:rPr>
              <w:t>237</w:t>
            </w:r>
            <w:r>
              <w:rPr>
                <w:noProof/>
                <w:webHidden/>
              </w:rPr>
              <w:fldChar w:fldCharType="end"/>
            </w:r>
          </w:hyperlink>
        </w:p>
        <w:p w14:paraId="21F6FF7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84" w:history="1">
            <w:r w:rsidRPr="00282733">
              <w:rPr>
                <w:rStyle w:val="Hyperlink"/>
                <w:noProof/>
              </w:rPr>
              <w:t>6.3.3 Enhanced Whistleblowing Mechanisms</w:t>
            </w:r>
            <w:r>
              <w:rPr>
                <w:noProof/>
                <w:webHidden/>
              </w:rPr>
              <w:tab/>
            </w:r>
            <w:r>
              <w:rPr>
                <w:noProof/>
                <w:webHidden/>
              </w:rPr>
              <w:fldChar w:fldCharType="begin"/>
            </w:r>
            <w:r>
              <w:rPr>
                <w:noProof/>
                <w:webHidden/>
              </w:rPr>
              <w:instrText xml:space="preserve"> PAGEREF _Toc211278984 \h </w:instrText>
            </w:r>
            <w:r>
              <w:rPr>
                <w:noProof/>
                <w:webHidden/>
              </w:rPr>
            </w:r>
            <w:r>
              <w:rPr>
                <w:noProof/>
                <w:webHidden/>
              </w:rPr>
              <w:fldChar w:fldCharType="separate"/>
            </w:r>
            <w:r>
              <w:rPr>
                <w:noProof/>
                <w:webHidden/>
              </w:rPr>
              <w:t>237</w:t>
            </w:r>
            <w:r>
              <w:rPr>
                <w:noProof/>
                <w:webHidden/>
              </w:rPr>
              <w:fldChar w:fldCharType="end"/>
            </w:r>
          </w:hyperlink>
        </w:p>
        <w:p w14:paraId="1BB2FDB4"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85" w:history="1">
            <w:r w:rsidRPr="00282733">
              <w:rPr>
                <w:rStyle w:val="Hyperlink"/>
                <w:noProof/>
              </w:rPr>
              <w:t>6.3.4 Mandatory Independent Audit Committees and Regular Governance Audits</w:t>
            </w:r>
            <w:r>
              <w:rPr>
                <w:noProof/>
                <w:webHidden/>
              </w:rPr>
              <w:tab/>
            </w:r>
            <w:r>
              <w:rPr>
                <w:noProof/>
                <w:webHidden/>
              </w:rPr>
              <w:fldChar w:fldCharType="begin"/>
            </w:r>
            <w:r>
              <w:rPr>
                <w:noProof/>
                <w:webHidden/>
              </w:rPr>
              <w:instrText xml:space="preserve"> PAGEREF _Toc211278985 \h </w:instrText>
            </w:r>
            <w:r>
              <w:rPr>
                <w:noProof/>
                <w:webHidden/>
              </w:rPr>
            </w:r>
            <w:r>
              <w:rPr>
                <w:noProof/>
                <w:webHidden/>
              </w:rPr>
              <w:fldChar w:fldCharType="separate"/>
            </w:r>
            <w:r>
              <w:rPr>
                <w:noProof/>
                <w:webHidden/>
              </w:rPr>
              <w:t>238</w:t>
            </w:r>
            <w:r>
              <w:rPr>
                <w:noProof/>
                <w:webHidden/>
              </w:rPr>
              <w:fldChar w:fldCharType="end"/>
            </w:r>
          </w:hyperlink>
        </w:p>
        <w:p w14:paraId="3CBBAB55" w14:textId="77777777" w:rsidR="00646B26" w:rsidRDefault="00646B26" w:rsidP="00646B26">
          <w:pPr>
            <w:pStyle w:val="TOC3"/>
            <w:tabs>
              <w:tab w:val="right" w:leader="dot" w:pos="9350"/>
            </w:tabs>
            <w:rPr>
              <w:rFonts w:eastAsiaTheme="minorEastAsia" w:cstheme="minorBidi"/>
              <w:i/>
              <w:iCs/>
              <w:noProof/>
              <w:kern w:val="2"/>
              <w:sz w:val="24"/>
              <w:szCs w:val="24"/>
              <w:lang w:val="en-NG"/>
              <w14:ligatures w14:val="standardContextual"/>
            </w:rPr>
          </w:pPr>
          <w:hyperlink w:anchor="_Toc211278986" w:history="1">
            <w:r w:rsidRPr="00282733">
              <w:rPr>
                <w:rStyle w:val="Hyperlink"/>
                <w:noProof/>
              </w:rPr>
              <w:t>6.3.5 Performance-Linked Compensation Structures</w:t>
            </w:r>
            <w:r>
              <w:rPr>
                <w:noProof/>
                <w:webHidden/>
              </w:rPr>
              <w:tab/>
            </w:r>
            <w:r>
              <w:rPr>
                <w:noProof/>
                <w:webHidden/>
              </w:rPr>
              <w:fldChar w:fldCharType="begin"/>
            </w:r>
            <w:r>
              <w:rPr>
                <w:noProof/>
                <w:webHidden/>
              </w:rPr>
              <w:instrText xml:space="preserve"> PAGEREF _Toc211278986 \h </w:instrText>
            </w:r>
            <w:r>
              <w:rPr>
                <w:noProof/>
                <w:webHidden/>
              </w:rPr>
            </w:r>
            <w:r>
              <w:rPr>
                <w:noProof/>
                <w:webHidden/>
              </w:rPr>
              <w:fldChar w:fldCharType="separate"/>
            </w:r>
            <w:r>
              <w:rPr>
                <w:noProof/>
                <w:webHidden/>
              </w:rPr>
              <w:t>238</w:t>
            </w:r>
            <w:r>
              <w:rPr>
                <w:noProof/>
                <w:webHidden/>
              </w:rPr>
              <w:fldChar w:fldCharType="end"/>
            </w:r>
          </w:hyperlink>
        </w:p>
        <w:p w14:paraId="06A8C246" w14:textId="77777777" w:rsidR="00646B26" w:rsidRDefault="00646B26" w:rsidP="00646B26">
          <w:pPr>
            <w:pStyle w:val="TOC2"/>
            <w:tabs>
              <w:tab w:val="right" w:leader="dot" w:pos="9350"/>
            </w:tabs>
            <w:rPr>
              <w:rFonts w:eastAsiaTheme="minorEastAsia" w:cstheme="minorBidi"/>
              <w:smallCaps/>
              <w:noProof/>
              <w:kern w:val="2"/>
              <w:sz w:val="24"/>
              <w:szCs w:val="24"/>
              <w:lang w:val="en-NG"/>
              <w14:ligatures w14:val="standardContextual"/>
            </w:rPr>
          </w:pPr>
          <w:hyperlink w:anchor="_Toc211278987" w:history="1">
            <w:r w:rsidRPr="00282733">
              <w:rPr>
                <w:rStyle w:val="Hyperlink"/>
                <w:noProof/>
              </w:rPr>
              <w:t>6.4 Final Reflections and Future Directions</w:t>
            </w:r>
            <w:r>
              <w:rPr>
                <w:noProof/>
                <w:webHidden/>
              </w:rPr>
              <w:tab/>
            </w:r>
            <w:r>
              <w:rPr>
                <w:noProof/>
                <w:webHidden/>
              </w:rPr>
              <w:fldChar w:fldCharType="begin"/>
            </w:r>
            <w:r>
              <w:rPr>
                <w:noProof/>
                <w:webHidden/>
              </w:rPr>
              <w:instrText xml:space="preserve"> PAGEREF _Toc211278987 \h </w:instrText>
            </w:r>
            <w:r>
              <w:rPr>
                <w:noProof/>
                <w:webHidden/>
              </w:rPr>
            </w:r>
            <w:r>
              <w:rPr>
                <w:noProof/>
                <w:webHidden/>
              </w:rPr>
              <w:fldChar w:fldCharType="separate"/>
            </w:r>
            <w:r>
              <w:rPr>
                <w:noProof/>
                <w:webHidden/>
              </w:rPr>
              <w:t>239</w:t>
            </w:r>
            <w:r>
              <w:rPr>
                <w:noProof/>
                <w:webHidden/>
              </w:rPr>
              <w:fldChar w:fldCharType="end"/>
            </w:r>
          </w:hyperlink>
        </w:p>
        <w:p w14:paraId="13319FE5" w14:textId="77777777" w:rsidR="00646B26" w:rsidRDefault="00646B26" w:rsidP="00646B26">
          <w:r>
            <w:rPr>
              <w:b/>
              <w:bCs/>
              <w:noProof/>
            </w:rPr>
            <w:fldChar w:fldCharType="end"/>
          </w:r>
        </w:p>
      </w:sdtContent>
    </w:sdt>
    <w:p w14:paraId="71CFCAF6" w14:textId="77777777" w:rsidR="00646B26" w:rsidRDefault="00646B26" w:rsidP="00646B26">
      <w:pPr>
        <w:spacing w:line="240" w:lineRule="auto"/>
        <w:jc w:val="left"/>
      </w:pPr>
      <w:r>
        <w:br w:type="page"/>
      </w:r>
    </w:p>
    <w:p w14:paraId="4BAA371A" w14:textId="77777777" w:rsidR="00646B26" w:rsidRDefault="00646B26" w:rsidP="00646B26"/>
    <w:tbl>
      <w:tblPr>
        <w:tblW w:w="9962" w:type="dxa"/>
        <w:tblLayout w:type="fixed"/>
        <w:tblLook w:val="04A0" w:firstRow="1" w:lastRow="0" w:firstColumn="1" w:lastColumn="0" w:noHBand="0" w:noVBand="1"/>
      </w:tblPr>
      <w:tblGrid>
        <w:gridCol w:w="4981"/>
        <w:gridCol w:w="4981"/>
      </w:tblGrid>
      <w:tr w:rsidR="00646B26" w14:paraId="0A4882DE" w14:textId="77777777" w:rsidTr="00727D26">
        <w:tc>
          <w:tcPr>
            <w:tcW w:w="9962" w:type="dxa"/>
            <w:gridSpan w:val="2"/>
            <w:tcBorders>
              <w:top w:val="single" w:sz="4" w:space="0" w:color="000000"/>
              <w:left w:val="single" w:sz="4" w:space="0" w:color="000000"/>
              <w:bottom w:val="single" w:sz="4" w:space="0" w:color="000000"/>
              <w:right w:val="single" w:sz="4" w:space="0" w:color="000000"/>
            </w:tcBorders>
          </w:tcPr>
          <w:p w14:paraId="5C10C453" w14:textId="77777777" w:rsidR="00646B26" w:rsidRDefault="00646B26" w:rsidP="00727D26">
            <w:r>
              <w:t>Table of Abbreviations</w:t>
            </w:r>
          </w:p>
        </w:tc>
      </w:tr>
      <w:tr w:rsidR="00646B26" w14:paraId="42C07EBE"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1AD1228B" w14:textId="77777777" w:rsidR="00646B26" w:rsidRDefault="00646B26" w:rsidP="00727D26">
            <w:r>
              <w:t>CG</w:t>
            </w:r>
          </w:p>
        </w:tc>
        <w:tc>
          <w:tcPr>
            <w:tcW w:w="4981" w:type="dxa"/>
            <w:tcBorders>
              <w:top w:val="single" w:sz="4" w:space="0" w:color="000000"/>
              <w:left w:val="single" w:sz="4" w:space="0" w:color="000000"/>
              <w:bottom w:val="single" w:sz="4" w:space="0" w:color="000000"/>
              <w:right w:val="single" w:sz="4" w:space="0" w:color="000000"/>
            </w:tcBorders>
          </w:tcPr>
          <w:p w14:paraId="6426E232" w14:textId="77777777" w:rsidR="00646B26" w:rsidRDefault="00646B26" w:rsidP="00727D26">
            <w:r>
              <w:t xml:space="preserve">Corporate Governance </w:t>
            </w:r>
          </w:p>
        </w:tc>
      </w:tr>
      <w:tr w:rsidR="00646B26" w14:paraId="3080802B"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6DCB0C0C" w14:textId="77777777" w:rsidR="00646B26" w:rsidRDefault="00646B26" w:rsidP="00727D26">
            <w:r>
              <w:t>INED</w:t>
            </w:r>
          </w:p>
        </w:tc>
        <w:tc>
          <w:tcPr>
            <w:tcW w:w="4981" w:type="dxa"/>
            <w:tcBorders>
              <w:top w:val="single" w:sz="4" w:space="0" w:color="000000"/>
              <w:left w:val="single" w:sz="4" w:space="0" w:color="000000"/>
              <w:bottom w:val="single" w:sz="4" w:space="0" w:color="000000"/>
              <w:right w:val="single" w:sz="4" w:space="0" w:color="000000"/>
            </w:tcBorders>
          </w:tcPr>
          <w:p w14:paraId="219A1E13" w14:textId="77777777" w:rsidR="00646B26" w:rsidRDefault="00646B26" w:rsidP="00727D26">
            <w:r>
              <w:t>Independent Non-Executive Director</w:t>
            </w:r>
          </w:p>
        </w:tc>
      </w:tr>
      <w:tr w:rsidR="00646B26" w14:paraId="52D7E4CE"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4CC1AD1D" w14:textId="77777777" w:rsidR="00646B26" w:rsidRDefault="00646B26" w:rsidP="00727D26">
            <w:r>
              <w:t>NED</w:t>
            </w:r>
          </w:p>
        </w:tc>
        <w:tc>
          <w:tcPr>
            <w:tcW w:w="4981" w:type="dxa"/>
            <w:tcBorders>
              <w:top w:val="single" w:sz="4" w:space="0" w:color="000000"/>
              <w:left w:val="single" w:sz="4" w:space="0" w:color="000000"/>
              <w:bottom w:val="single" w:sz="4" w:space="0" w:color="000000"/>
              <w:right w:val="single" w:sz="4" w:space="0" w:color="000000"/>
            </w:tcBorders>
          </w:tcPr>
          <w:p w14:paraId="3D1B13EB" w14:textId="77777777" w:rsidR="00646B26" w:rsidRDefault="00646B26" w:rsidP="00727D26">
            <w:r>
              <w:t xml:space="preserve">Non-Executive Director </w:t>
            </w:r>
          </w:p>
        </w:tc>
      </w:tr>
      <w:tr w:rsidR="00646B26" w14:paraId="749C2023"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3F7182C9" w14:textId="77777777" w:rsidR="00646B26" w:rsidRDefault="00646B26" w:rsidP="00727D26">
            <w:r>
              <w:t>REM.</w:t>
            </w:r>
          </w:p>
        </w:tc>
        <w:tc>
          <w:tcPr>
            <w:tcW w:w="4981" w:type="dxa"/>
            <w:tcBorders>
              <w:top w:val="single" w:sz="4" w:space="0" w:color="000000"/>
              <w:left w:val="single" w:sz="4" w:space="0" w:color="000000"/>
              <w:bottom w:val="single" w:sz="4" w:space="0" w:color="000000"/>
              <w:right w:val="single" w:sz="4" w:space="0" w:color="000000"/>
            </w:tcBorders>
          </w:tcPr>
          <w:p w14:paraId="00B32B98" w14:textId="77777777" w:rsidR="00646B26" w:rsidRDefault="00646B26" w:rsidP="00727D26">
            <w:r>
              <w:t>Remuneration Committee</w:t>
            </w:r>
          </w:p>
        </w:tc>
      </w:tr>
      <w:tr w:rsidR="00646B26" w14:paraId="34606999"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2489C838" w14:textId="77777777" w:rsidR="00646B26" w:rsidRDefault="00646B26" w:rsidP="00727D26">
            <w:r>
              <w:t>NOM.</w:t>
            </w:r>
          </w:p>
        </w:tc>
        <w:tc>
          <w:tcPr>
            <w:tcW w:w="4981" w:type="dxa"/>
            <w:tcBorders>
              <w:top w:val="single" w:sz="4" w:space="0" w:color="000000"/>
              <w:left w:val="single" w:sz="4" w:space="0" w:color="000000"/>
              <w:bottom w:val="single" w:sz="4" w:space="0" w:color="000000"/>
              <w:right w:val="single" w:sz="4" w:space="0" w:color="000000"/>
            </w:tcBorders>
          </w:tcPr>
          <w:p w14:paraId="54D2C1C4" w14:textId="77777777" w:rsidR="00646B26" w:rsidRDefault="00646B26" w:rsidP="00727D26">
            <w:r>
              <w:t>Nomination Committee</w:t>
            </w:r>
          </w:p>
        </w:tc>
      </w:tr>
      <w:tr w:rsidR="00646B26" w14:paraId="6B2646BC"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71BFF3E9" w14:textId="77777777" w:rsidR="00646B26" w:rsidRDefault="00646B26" w:rsidP="00727D26">
            <w:r>
              <w:t>CBN</w:t>
            </w:r>
          </w:p>
        </w:tc>
        <w:tc>
          <w:tcPr>
            <w:tcW w:w="4981" w:type="dxa"/>
            <w:tcBorders>
              <w:top w:val="single" w:sz="4" w:space="0" w:color="000000"/>
              <w:left w:val="single" w:sz="4" w:space="0" w:color="000000"/>
              <w:bottom w:val="single" w:sz="4" w:space="0" w:color="000000"/>
              <w:right w:val="single" w:sz="4" w:space="0" w:color="000000"/>
            </w:tcBorders>
          </w:tcPr>
          <w:p w14:paraId="6BFD2FF9" w14:textId="77777777" w:rsidR="00646B26" w:rsidRDefault="00646B26" w:rsidP="00727D26">
            <w:r>
              <w:t xml:space="preserve">Central Bank of Nigeria </w:t>
            </w:r>
          </w:p>
        </w:tc>
      </w:tr>
      <w:tr w:rsidR="00646B26" w14:paraId="714C9164"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36748E10" w14:textId="77777777" w:rsidR="00646B26" w:rsidRDefault="00646B26" w:rsidP="00727D26">
            <w:r>
              <w:t>NCCG</w:t>
            </w:r>
          </w:p>
        </w:tc>
        <w:tc>
          <w:tcPr>
            <w:tcW w:w="4981" w:type="dxa"/>
            <w:tcBorders>
              <w:top w:val="single" w:sz="4" w:space="0" w:color="000000"/>
              <w:left w:val="single" w:sz="4" w:space="0" w:color="000000"/>
              <w:bottom w:val="single" w:sz="4" w:space="0" w:color="000000"/>
              <w:right w:val="single" w:sz="4" w:space="0" w:color="000000"/>
            </w:tcBorders>
          </w:tcPr>
          <w:p w14:paraId="307AC7B7" w14:textId="77777777" w:rsidR="00646B26" w:rsidRDefault="00646B26" w:rsidP="00727D26">
            <w:r>
              <w:t>Nigerian Code of Corporate Governance</w:t>
            </w:r>
          </w:p>
        </w:tc>
      </w:tr>
      <w:tr w:rsidR="00646B26" w14:paraId="00195248"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2172A855" w14:textId="77777777" w:rsidR="00646B26" w:rsidRDefault="00646B26" w:rsidP="00727D26">
            <w:r>
              <w:t>FRCN</w:t>
            </w:r>
          </w:p>
        </w:tc>
        <w:tc>
          <w:tcPr>
            <w:tcW w:w="4981" w:type="dxa"/>
            <w:tcBorders>
              <w:top w:val="single" w:sz="4" w:space="0" w:color="000000"/>
              <w:left w:val="single" w:sz="4" w:space="0" w:color="000000"/>
              <w:bottom w:val="single" w:sz="4" w:space="0" w:color="000000"/>
              <w:right w:val="single" w:sz="4" w:space="0" w:color="000000"/>
            </w:tcBorders>
          </w:tcPr>
          <w:p w14:paraId="46B09A39" w14:textId="77777777" w:rsidR="00646B26" w:rsidRDefault="00646B26" w:rsidP="00727D26">
            <w:r>
              <w:t xml:space="preserve">Financial Reporting Council of Nigeria </w:t>
            </w:r>
          </w:p>
        </w:tc>
      </w:tr>
      <w:tr w:rsidR="00646B26" w14:paraId="4BAF7E6A"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667631E7" w14:textId="77777777" w:rsidR="00646B26" w:rsidRDefault="00646B26" w:rsidP="00727D26">
            <w:r>
              <w:t>CAMA</w:t>
            </w:r>
          </w:p>
        </w:tc>
        <w:tc>
          <w:tcPr>
            <w:tcW w:w="4981" w:type="dxa"/>
            <w:tcBorders>
              <w:top w:val="single" w:sz="4" w:space="0" w:color="000000"/>
              <w:left w:val="single" w:sz="4" w:space="0" w:color="000000"/>
              <w:bottom w:val="single" w:sz="4" w:space="0" w:color="000000"/>
              <w:right w:val="single" w:sz="4" w:space="0" w:color="000000"/>
            </w:tcBorders>
          </w:tcPr>
          <w:p w14:paraId="5F654907" w14:textId="77777777" w:rsidR="00646B26" w:rsidRDefault="00646B26" w:rsidP="00727D26">
            <w:r>
              <w:t>Companied and Allied Matters Act</w:t>
            </w:r>
          </w:p>
        </w:tc>
      </w:tr>
      <w:tr w:rsidR="00646B26" w14:paraId="3BFC7804"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26917F6D" w14:textId="77777777" w:rsidR="00646B26" w:rsidRDefault="00646B26" w:rsidP="00727D26">
            <w:r>
              <w:t>SEC</w:t>
            </w:r>
          </w:p>
        </w:tc>
        <w:tc>
          <w:tcPr>
            <w:tcW w:w="4981" w:type="dxa"/>
            <w:tcBorders>
              <w:top w:val="single" w:sz="4" w:space="0" w:color="000000"/>
              <w:left w:val="single" w:sz="4" w:space="0" w:color="000000"/>
              <w:bottom w:val="single" w:sz="4" w:space="0" w:color="000000"/>
              <w:right w:val="single" w:sz="4" w:space="0" w:color="000000"/>
            </w:tcBorders>
          </w:tcPr>
          <w:p w14:paraId="36D2470C" w14:textId="77777777" w:rsidR="00646B26" w:rsidRDefault="00646B26" w:rsidP="00727D26">
            <w:r>
              <w:t xml:space="preserve">Securities Exchange Commission </w:t>
            </w:r>
          </w:p>
        </w:tc>
      </w:tr>
      <w:tr w:rsidR="00646B26" w14:paraId="17B4CC0D" w14:textId="77777777" w:rsidTr="00727D26">
        <w:tc>
          <w:tcPr>
            <w:tcW w:w="4981" w:type="dxa"/>
            <w:tcBorders>
              <w:top w:val="single" w:sz="4" w:space="0" w:color="000000"/>
              <w:left w:val="single" w:sz="4" w:space="0" w:color="000000"/>
              <w:bottom w:val="single" w:sz="4" w:space="0" w:color="000000"/>
              <w:right w:val="single" w:sz="4" w:space="0" w:color="000000"/>
            </w:tcBorders>
          </w:tcPr>
          <w:p w14:paraId="5F95176E" w14:textId="77777777" w:rsidR="00646B26" w:rsidRDefault="00646B26" w:rsidP="00727D26">
            <w:r>
              <w:t>DMBs</w:t>
            </w:r>
          </w:p>
        </w:tc>
        <w:tc>
          <w:tcPr>
            <w:tcW w:w="4981" w:type="dxa"/>
            <w:tcBorders>
              <w:top w:val="single" w:sz="4" w:space="0" w:color="000000"/>
              <w:left w:val="single" w:sz="4" w:space="0" w:color="000000"/>
              <w:bottom w:val="single" w:sz="4" w:space="0" w:color="000000"/>
              <w:right w:val="single" w:sz="4" w:space="0" w:color="000000"/>
            </w:tcBorders>
          </w:tcPr>
          <w:p w14:paraId="75B0B8F7" w14:textId="77777777" w:rsidR="00646B26" w:rsidRDefault="00646B26" w:rsidP="00727D26">
            <w:r>
              <w:t>Deposit Money Banks</w:t>
            </w:r>
          </w:p>
        </w:tc>
      </w:tr>
    </w:tbl>
    <w:p w14:paraId="0E04CCFE" w14:textId="77777777" w:rsidR="00646B26" w:rsidRDefault="00646B26" w:rsidP="00646B26"/>
    <w:p w14:paraId="6938DD93" w14:textId="77777777" w:rsidR="00646B26" w:rsidRDefault="00646B26" w:rsidP="00646B26"/>
    <w:p w14:paraId="45993E2C" w14:textId="77777777" w:rsidR="00646B26" w:rsidRDefault="00646B26" w:rsidP="00646B26"/>
    <w:p w14:paraId="22F2FBCC" w14:textId="77777777" w:rsidR="00646B26" w:rsidRDefault="00646B26" w:rsidP="00646B26"/>
    <w:p w14:paraId="5EB28478" w14:textId="77777777" w:rsidR="00646B26" w:rsidRDefault="00646B26" w:rsidP="00646B26"/>
    <w:p w14:paraId="0190D4C0" w14:textId="77777777" w:rsidR="00646B26" w:rsidRDefault="00646B26" w:rsidP="00646B26"/>
    <w:p w14:paraId="2C3E8578" w14:textId="77777777" w:rsidR="00646B26" w:rsidRDefault="00646B26" w:rsidP="00646B26"/>
    <w:p w14:paraId="75931D84" w14:textId="77777777" w:rsidR="00646B26" w:rsidRDefault="00646B26" w:rsidP="00646B26">
      <w:pPr>
        <w:pStyle w:val="Heading1"/>
        <w:rPr>
          <w:rFonts w:ascii="Arial" w:hAnsi="Arial" w:cs="Arial"/>
        </w:rPr>
      </w:pPr>
      <w:bookmarkStart w:id="0" w:name="_Toc203671399"/>
      <w:bookmarkStart w:id="1" w:name="_Toc205059559"/>
      <w:bookmarkStart w:id="2" w:name="_Toc203392013"/>
      <w:bookmarkStart w:id="3" w:name="_Toc205059465"/>
      <w:bookmarkStart w:id="4" w:name="_Toc203671449"/>
      <w:bookmarkStart w:id="5" w:name="_Toc202193586"/>
      <w:bookmarkStart w:id="6" w:name="_Toc203392077"/>
      <w:bookmarkStart w:id="7" w:name="_Toc205059248"/>
      <w:bookmarkStart w:id="8" w:name="_Toc203584745"/>
      <w:bookmarkStart w:id="9" w:name="_Toc211278843"/>
      <w:r>
        <w:lastRenderedPageBreak/>
        <w:t>Chapter One: Introduction</w:t>
      </w:r>
      <w:bookmarkEnd w:id="0"/>
      <w:bookmarkEnd w:id="1"/>
      <w:bookmarkEnd w:id="2"/>
      <w:bookmarkEnd w:id="3"/>
      <w:bookmarkEnd w:id="4"/>
      <w:bookmarkEnd w:id="5"/>
      <w:bookmarkEnd w:id="6"/>
      <w:bookmarkEnd w:id="7"/>
      <w:bookmarkEnd w:id="8"/>
      <w:bookmarkEnd w:id="9"/>
    </w:p>
    <w:p w14:paraId="27E03CE4" w14:textId="77777777" w:rsidR="00646B26" w:rsidRPr="005457F2" w:rsidRDefault="00646B26" w:rsidP="00646B26">
      <w:pPr>
        <w:pStyle w:val="Heading2"/>
      </w:pPr>
      <w:bookmarkStart w:id="10" w:name="_Toc211278844"/>
      <w:r w:rsidRPr="005457F2">
        <w:rPr>
          <w:rStyle w:val="Strong"/>
        </w:rPr>
        <w:t>Executive summary</w:t>
      </w:r>
      <w:bookmarkEnd w:id="10"/>
    </w:p>
    <w:p w14:paraId="608CB026" w14:textId="77777777" w:rsidR="00646B26" w:rsidRPr="00265E71" w:rsidRDefault="00646B26" w:rsidP="00646B26">
      <w:r w:rsidRPr="00265E71">
        <w:t>This research examines corporate governance challenges in Nigeria’s deposit money banking sector, focusing on systemic failures that elevate default risk and undermine financial stability, critical for economic growth. Governance deficiencies, rooted in historical legacies and intensified post-2004 consolidation, manifest as weak accountability and transparency, threatening stakeholder trust and systemic resilience. The research identifies key issues: regulatory multiplicity, unqualified management, inadequate risk management, and ineffective governance structures, which collectively drive bank failures, with 425 recorded since 1988.</w:t>
      </w:r>
    </w:p>
    <w:p w14:paraId="104E79EC" w14:textId="77777777" w:rsidR="00646B26" w:rsidRPr="00265E71" w:rsidRDefault="00646B26" w:rsidP="00646B26">
      <w:r w:rsidRPr="00265E71">
        <w:t>A fragmented regulatory framework—comprising conflicting codes like CAMA 2020, NCCG 2018, CBN Guidelines 2023, and SEC Code 2011—creates ambiguity, enabling banks to evade rigorous standards. Weak enforcement by regulators, such as the CBN and FRCN, exacerbates non-compliance. Unqualified or politically motivated management appointments, often lacking financial expertise, compromise oversight and ethical compliance, while concentrated ownership and the absence of independent nomination committees in 61% of banks entrench management self-interest. Inadequate risk management, evidenced by non-performing loans reaching 20% in 2017 against a 5% threshold, further heightens default risk. Audit committees and boards, critical for transparency, lack independence, undermining financial reporting accuracy.</w:t>
      </w:r>
    </w:p>
    <w:p w14:paraId="2DA81D97" w14:textId="77777777" w:rsidR="00646B26" w:rsidRDefault="00646B26" w:rsidP="00646B26">
      <w:r w:rsidRPr="00265E71">
        <w:t xml:space="preserve">This research evaluates these governance failures’ impact on default risk. It advocates for a harmonized regulatory framework, independent nomination committees, performance-linked </w:t>
      </w:r>
      <w:r w:rsidRPr="00265E71">
        <w:lastRenderedPageBreak/>
        <w:t xml:space="preserve">compensation, and robust whistleblowing mechanisms to enhance accountability and transparency. </w:t>
      </w:r>
    </w:p>
    <w:p w14:paraId="2583EEF1" w14:textId="77777777" w:rsidR="00646B26" w:rsidRPr="00265E71" w:rsidRDefault="00646B26" w:rsidP="00646B26">
      <w:r>
        <w:t>A</w:t>
      </w:r>
      <w:r w:rsidRPr="00265E71">
        <w:t>ddressing these challenges, the research aims to restore stakeholder confidence, reduce default risk, and strengthen Nigeria’s banking sector, aligning it with global standards. Its significance lies in filling a research gap with context-specific insights, informing policy reforms, and safeguarding an industry pivotal to Nigeria’s economy, paving the way for sustainable governance solutions based on 2024 data. The 2009–2010 Nigerian banking crisis saw non-performing loan (NPL) ratios exceed 35% across the sector, though institutional variation ranged from 8% to 62% amid uniform macroeconomic pressures. This disparity underscores that internal governance factors, rather than external economic cycles alone, significantly contribute to concentrated credit losses. In addressing this, the Central Bank of Nigeria (CBN) introduced targeted reforms: Basel II implementation (2011), the Corporate Governance Code for Banks (2014), and IFRS-9 standards (2018). These initiatives emphasize three core governance indices: disclosure, practice, and compliance. However, empirical evidence on their collective or individual effects on NPL ratios remains limited, representing a key gap in understanding reform efficacy within Nigeria's post-crisis banking landscape.</w:t>
      </w:r>
    </w:p>
    <w:p w14:paraId="51725929" w14:textId="77777777" w:rsidR="00646B26" w:rsidRPr="00265E71" w:rsidRDefault="00646B26" w:rsidP="00646B26">
      <w:r w:rsidRPr="00265E71">
        <w:t xml:space="preserve">This research bridges that gap by quantifying each index as a continuous governance variable in a balanced panel dataset spanning 2009–2024 for ten leading deposit money banks. Aligned with RQ1 and OB1, the analysis estimates the marginal NPL sensitivity to each index, evaluates structural shifts following the 2014 code's mandatory enforcement, and prioritizes indices by impact magnitude, controlling for bank size, capital adequacy, and macroeconomic factors. The </w:t>
      </w:r>
      <w:r w:rsidRPr="00265E71">
        <w:lastRenderedPageBreak/>
        <w:t>primary hypothesis (H1) posits that enhanced governance indices substantially lower NPL ratios, with practice yielding the most pronounced marginal benefit.</w:t>
      </w:r>
    </w:p>
    <w:p w14:paraId="2AD349EB" w14:textId="77777777" w:rsidR="00646B26" w:rsidRPr="00265E71" w:rsidRDefault="00646B26" w:rsidP="00646B26">
      <w:r w:rsidRPr="00265E71">
        <w:t>The study advances knowledge in four ways. First, it offers emerging-market insights showing that behavioural governance indices, beyond mere structural forms, shape credit risk outcomes. Second, split-regime models reveal that disclosure gains potency under enforceable mandates. Third, practice emerges as the most resilient NPL mitigator, supporting stewardship theory's emphasis on cultural elements over capital metrics. Fourth, a governance-focused policy framework shifts regulatory emphasis from aggregate capital ratios to index-specific behavioural indicators.</w:t>
      </w:r>
    </w:p>
    <w:p w14:paraId="06C795EA" w14:textId="77777777" w:rsidR="00646B26" w:rsidRDefault="00646B26" w:rsidP="00646B26">
      <w:pPr>
        <w:pStyle w:val="Heading4"/>
        <w:spacing w:before="0" w:after="283"/>
        <w:rPr>
          <w:rFonts w:ascii="Arial" w:eastAsia="Times New Roman" w:hAnsi="Arial" w:cs="Arial"/>
        </w:rPr>
      </w:pPr>
      <w:r>
        <w:rPr>
          <w:rFonts w:ascii="Arial" w:eastAsia="Times New Roman" w:hAnsi="Arial" w:cs="Arial"/>
        </w:rPr>
        <w:t>1.1 Corporate Governance Challenges in Nigeria’s Deposit Money Banking Sector</w:t>
      </w:r>
    </w:p>
    <w:p w14:paraId="31CEE7CF" w14:textId="77777777" w:rsidR="00646B26" w:rsidRDefault="00646B26" w:rsidP="00646B26">
      <w:r w:rsidRPr="005457F2">
        <w:t xml:space="preserve">Corporate governance in Nigeria’s deposit money banking sector faces systemic challenges that undermine accountability, transparency, and financial stability, elevating bank default risks and threatening economic growth (King &amp; Levine, 1993). These issues, rooted in historical legacies, persist in the post-2004 consolidation era, with cases like Oceanic Bank revealing insider dealings and financial misrepresentations tied to agency problems (Sanusi, 2009). Pre-colonial systems relied on customary laws, while colonial frameworks like the Companies Ordinance of 1912 imposed misaligned foreign. The historical legacy of Nigeria’s banking sector, spanning pre-colonial indigenous governance, colonial frameworks like the Companies Ordinance of 1912, and post-independence adaptations such as the Companies Act of 1968 and CAMA 2020, has fostered a fragmented governance system. </w:t>
      </w:r>
    </w:p>
    <w:p w14:paraId="699FB3B5" w14:textId="77777777" w:rsidR="00646B26" w:rsidRDefault="00646B26" w:rsidP="00646B26">
      <w:r w:rsidRPr="005457F2">
        <w:t xml:space="preserve">This legacy, marked by government ownership pre-1986 and politically motivated board appointments, directly contributes to current issues like weak accountability, unqualified </w:t>
      </w:r>
      <w:r w:rsidRPr="005457F2">
        <w:lastRenderedPageBreak/>
        <w:t xml:space="preserve">management, and regulatory ambiguity, amplifying default risk in the post-2004 consolidation era (Elias, 2024; </w:t>
      </w:r>
      <w:proofErr w:type="spellStart"/>
      <w:r w:rsidRPr="005457F2">
        <w:t>Chinweoda</w:t>
      </w:r>
      <w:proofErr w:type="spellEnd"/>
      <w:r w:rsidRPr="005457F2">
        <w:t xml:space="preserve"> et al., 2020; Sanusi, 2014).Risk management failures, with NPLs reaching 20% in 2017 against a 5% threshold, reflect lax lending and weak controls, </w:t>
      </w:r>
      <w:proofErr w:type="spellStart"/>
      <w:r w:rsidRPr="005457F2">
        <w:t>fueling</w:t>
      </w:r>
      <w:proofErr w:type="spellEnd"/>
      <w:r w:rsidRPr="005457F2">
        <w:t xml:space="preserve"> distress in banks like Intercontinental Bank (Adegboye, 2020). </w:t>
      </w:r>
    </w:p>
    <w:p w14:paraId="2EBE19D8" w14:textId="77777777" w:rsidR="00646B26" w:rsidRDefault="00646B26" w:rsidP="00646B26">
      <w:r w:rsidRPr="005457F2">
        <w:t>This contrasts with Basel III’s robust risk frameworks (BCBS, 2010). Fraud concealment, enabled by weak whistleblowing, persisted in the 2009 crisis, unlike the EU’s protected reporting channels (</w:t>
      </w:r>
      <w:proofErr w:type="spellStart"/>
      <w:r w:rsidRPr="005457F2">
        <w:t>Olojede</w:t>
      </w:r>
      <w:proofErr w:type="spellEnd"/>
      <w:r w:rsidRPr="005457F2">
        <w:t xml:space="preserve"> et al., 2020; EU, 2019). These deficiencies erode trust, trigger deposit withdrawals, and destabilize Nigeria’s economy, where banks are vital (</w:t>
      </w:r>
      <w:proofErr w:type="spellStart"/>
      <w:r w:rsidRPr="005457F2">
        <w:t>Siyanbola</w:t>
      </w:r>
      <w:proofErr w:type="spellEnd"/>
      <w:r w:rsidRPr="005457F2">
        <w:t xml:space="preserve">, 2019). The 2009 crisis, requiring a $3.9 billion CBN intervention, highlighted systemic risks </w:t>
      </w:r>
      <w:proofErr w:type="spellStart"/>
      <w:r w:rsidRPr="005457F2">
        <w:t>fromweak</w:t>
      </w:r>
      <w:proofErr w:type="spellEnd"/>
      <w:r w:rsidRPr="005457F2">
        <w:t xml:space="preserve"> oversight and insider dealings (Sanusi, 2009). Globally, OECD principles emphasize independent boards and risk management, areas where Nigeria lags (OECD, 2015). </w:t>
      </w:r>
    </w:p>
    <w:p w14:paraId="4DF24D4F" w14:textId="77777777" w:rsidR="00646B26" w:rsidRPr="005457F2" w:rsidRDefault="00646B26" w:rsidP="00646B26">
      <w:r w:rsidRPr="005457F2">
        <w:t>This research investigates these issues in the Nigerian deposit money banking system, examining corporate governance indices (disclosure, practice, and compliance) against NPL ratios over 2009–2024 (RQ1), the mediating role of financial-reporting integrity in the association between audit-committee independence and NPL ratios in 2024 (RQ2), management qualifications (measured by banking experience and governance training from 2024 data) and NPL ratios (RQ3), and the clarity and enforcement consistency of regulatory frameworks (from 2024 questionnaire and interviews) and NPL ratios (RQ4). It aims to propose harmonized regulations, independent committees, and qualified management to align with global standards and reduce default risk (</w:t>
      </w:r>
      <w:proofErr w:type="spellStart"/>
      <w:r w:rsidRPr="005457F2">
        <w:t>Efunniyi</w:t>
      </w:r>
      <w:proofErr w:type="spellEnd"/>
      <w:r w:rsidRPr="005457F2">
        <w:t xml:space="preserve"> et al., 2024). By addressing historical legacies, regulatory conflicts, and governance gaps, it seeks to enhance financial stability and fill research gaps in Nigeria’s banking sector (Osita et al., 2019).</w:t>
      </w:r>
    </w:p>
    <w:p w14:paraId="638CA15F" w14:textId="77777777" w:rsidR="00646B26" w:rsidRDefault="00646B26" w:rsidP="00646B26">
      <w:pPr>
        <w:pStyle w:val="Heading4"/>
        <w:spacing w:before="0" w:after="283"/>
        <w:rPr>
          <w:rFonts w:ascii="Arial" w:eastAsia="Times New Roman" w:hAnsi="Arial" w:cs="Arial"/>
        </w:rPr>
      </w:pPr>
      <w:r>
        <w:rPr>
          <w:rFonts w:ascii="Arial" w:eastAsia="Times New Roman" w:hAnsi="Arial" w:cs="Arial"/>
        </w:rPr>
        <w:lastRenderedPageBreak/>
        <w:t>1.1.1 Corporate Governance Issues: Emphasis on Transparency and Accountability</w:t>
      </w:r>
    </w:p>
    <w:p w14:paraId="251792E7" w14:textId="77777777" w:rsidR="00646B26" w:rsidRPr="00181C11" w:rsidRDefault="00646B26" w:rsidP="00646B26">
      <w:r w:rsidRPr="00181C11">
        <w:rPr>
          <w:highlight w:val="yellow"/>
        </w:rPr>
        <w:t>Corporate governance in Nigeria’s deposit money banking sector is pivotal for ensuring financial stability, yet it faces systemic challenges that undermine transparency and accountability—two essential pillars for fostering trust and safeguarding stakeholder interests. Transparency ensures stakeholders have access to accurate, timely, and comprehensive information about a bank’s financial and operational performance, while accountability holds management and boards responsible for their actions, aligning their interests with those of shareholders and other stakeholders (Solomon, J., 2020; Healy &amp; Palepu, 2001). In Nigeria, these principles are consistently eroded by deficiencies in board oversight, disclosure practices, stakeholder communication, audit controls, and executive compensation practices, leading to reduced investor trust, heightened regulatory scrutiny, and reputational damage, all of which contribute to heightened default risk. This chapter examines these issues within the Nigerian context, drawing on historical legacies, regulatory challenges, and specific cases like Oceanic Bank to highlight their impact, and proposes measures to strengthen governance and mitigate the risk of bank failures.</w:t>
      </w:r>
    </w:p>
    <w:p w14:paraId="146B7625" w14:textId="77777777" w:rsidR="00646B26" w:rsidRPr="00181C11" w:rsidRDefault="00646B26" w:rsidP="00646B26">
      <w:r w:rsidRPr="00181C11">
        <w:t xml:space="preserve">The board of directors, as the cornerstone of corporate governance, is responsible for overseeing management, setting strategic direction, and ensuring accountability to shareholders (Aguilera &amp; Ruiz Castillo, 2025; OECD, 2023). However, in Nigeria’s banking sector, boards often lack the independence and effectiveness needed to </w:t>
      </w:r>
      <w:proofErr w:type="spellStart"/>
      <w:r w:rsidRPr="00181C11">
        <w:t>fulfill</w:t>
      </w:r>
      <w:proofErr w:type="spellEnd"/>
      <w:r w:rsidRPr="00181C11">
        <w:t xml:space="preserve"> these roles. Historical government interference, particularly before 1986, and post-independence political appointments have fostered a culture of cronyism, with boards frequently populated by unqualified or politically motivated members (</w:t>
      </w:r>
      <w:proofErr w:type="spellStart"/>
      <w:r w:rsidRPr="00181C11">
        <w:t>Chinweoda</w:t>
      </w:r>
      <w:proofErr w:type="spellEnd"/>
      <w:r w:rsidRPr="00181C11">
        <w:t xml:space="preserve">, U. O., et al., 2020; Nwoko, U., et al., 2022). At Oceanic Bank, for example, the </w:t>
      </w:r>
      <w:r w:rsidRPr="00181C11">
        <w:lastRenderedPageBreak/>
        <w:t xml:space="preserve">presence of family members such as Mrs. Ibru and Mr. </w:t>
      </w:r>
      <w:proofErr w:type="spellStart"/>
      <w:r w:rsidRPr="00181C11">
        <w:t>Oboden</w:t>
      </w:r>
      <w:proofErr w:type="spellEnd"/>
      <w:r w:rsidRPr="00181C11">
        <w:t xml:space="preserve"> Ibru on the board enabled insider loans, with over 75% of non-performing loans in 2009 linked to Ibru family-controlled companies, reflecting a severe lack of independent oversight (Sanusi, 2009). Compounding this issue, 61% of Nigerian banks lack independent nomination committees, allowing concentrated ownership to dominate appointments and prioritize management’s self-interest over stakeholders, as seen in the collapses of Intercontinental Bank and Bank PHB (</w:t>
      </w:r>
      <w:proofErr w:type="spellStart"/>
      <w:r w:rsidRPr="00181C11">
        <w:t>Ogbechie</w:t>
      </w:r>
      <w:proofErr w:type="spellEnd"/>
      <w:r w:rsidRPr="00181C11">
        <w:t>, 2016; Owolabi, 2013). This lack of independence undermines the board’s ability to hold management accountable, leading to financial mismanagement and increased default risk.</w:t>
      </w:r>
    </w:p>
    <w:p w14:paraId="79A03531" w14:textId="77777777" w:rsidR="00646B26" w:rsidRPr="00181C11" w:rsidRDefault="00646B26" w:rsidP="00646B26">
      <w:r w:rsidRPr="00181C11">
        <w:rPr>
          <w:highlight w:val="yellow"/>
        </w:rPr>
        <w:t>Transparent disclosure and reporting practices are vital for stakeholders to assess a bank’s financial health, yet Nigerian banks frequently engage in financial misstatements and fail to provide timely information. Many banks deviate from proper accounting standards, exploiting regulatory multiplicity to adopt less stringent codes, which distorts their financial position (</w:t>
      </w:r>
      <w:proofErr w:type="spellStart"/>
      <w:r w:rsidRPr="00181C11">
        <w:rPr>
          <w:highlight w:val="yellow"/>
        </w:rPr>
        <w:t>Babajibe</w:t>
      </w:r>
      <w:proofErr w:type="spellEnd"/>
      <w:r w:rsidRPr="00181C11">
        <w:rPr>
          <w:highlight w:val="yellow"/>
        </w:rPr>
        <w:t xml:space="preserve"> et al., 2020; Osemeke, L., &amp; Adegbite, 2016). During the 2009 banking crisis, for instance, weak oversight allowed banks like Oceanic Bank to conceal non-performing loans through inadequate reporting, delaying stakeholder awareness of financial distress (</w:t>
      </w:r>
      <w:proofErr w:type="spellStart"/>
      <w:r w:rsidRPr="00181C11">
        <w:rPr>
          <w:highlight w:val="yellow"/>
        </w:rPr>
        <w:t>Olojede</w:t>
      </w:r>
      <w:proofErr w:type="spellEnd"/>
      <w:r w:rsidRPr="00181C11">
        <w:rPr>
          <w:highlight w:val="yellow"/>
        </w:rPr>
        <w:t xml:space="preserve">, P., et al., 2020). While the shift of Audit Committee reports from voluntary to mandatory has aimed to improve transparency, their effectiveness is often compromised when committees </w:t>
      </w:r>
      <w:proofErr w:type="spellStart"/>
      <w:r w:rsidRPr="00181C11">
        <w:rPr>
          <w:highlight w:val="yellow"/>
        </w:rPr>
        <w:t>lackindependence</w:t>
      </w:r>
      <w:proofErr w:type="spellEnd"/>
      <w:r w:rsidRPr="00181C11">
        <w:rPr>
          <w:highlight w:val="yellow"/>
        </w:rPr>
        <w:t>, functioning at the behest of majority shareholders or management (Healy &amp; Palepu, 2001; Adegbite, 2014). This opacity erodes investor confidence and increases the risk of bank failures, as stakeholders cannot accurately gauge the bank’s stability (Ugochukwu, 2000).</w:t>
      </w:r>
    </w:p>
    <w:p w14:paraId="12258B25" w14:textId="77777777" w:rsidR="00646B26" w:rsidRPr="005457F2" w:rsidRDefault="00646B26" w:rsidP="00646B26">
      <w:r w:rsidRPr="005457F2">
        <w:t>Effective governance also requires robust stakeholder communication and the protection of rights, particularly for minority shareholders, but Nigerian banks often exhibit opaque decision-</w:t>
      </w:r>
      <w:r w:rsidRPr="005457F2">
        <w:lastRenderedPageBreak/>
        <w:t>making and neglect these groups. Management frequently prioritizes its own interests over those of shareholders, a classic agency problem exacerbated by weak board oversight (Osemeke, L., &amp; Adegbite, 2016). In the case of Oceanic Bank, decisions on insider loans and asset transfers to shell companies were made without transparent communication to shareholders, marginalizing minority voices and eroding trust (Sanusi, 2009). Regulatory multiplicity further complicates this issue, as conflicting codes—such as the NCCG’s “Apply and Explain” flexibility versus the CBN’s stricter mandates—create ambiguity in enforcing shareholder rights (Abdulmalik, S. O., &amp; Ahmad, A. C., 2020). The absence of robust whistleblowing mechanisms, a key factor in the 2009 crisis, also stifles stakeholders’ ability to report misconduct, further entrenching opacity in decision-making and undermining accountability (</w:t>
      </w:r>
      <w:proofErr w:type="spellStart"/>
      <w:r w:rsidRPr="005457F2">
        <w:t>Olojede</w:t>
      </w:r>
      <w:proofErr w:type="spellEnd"/>
      <w:r w:rsidRPr="005457F2">
        <w:t>, P., et al., 2020).</w:t>
      </w:r>
    </w:p>
    <w:p w14:paraId="4557C4F6" w14:textId="77777777" w:rsidR="00646B26" w:rsidRPr="005457F2" w:rsidRDefault="00646B26" w:rsidP="00646B26">
      <w:r w:rsidRPr="005457F2">
        <w:rPr>
          <w:highlight w:val="yellow"/>
        </w:rPr>
        <w:t>Audit-committee independence and internal controls are critical for ensuring transparency in financial reporting and detecting mismanagement, but in Nigeria, these mechanisms are often weak and subject to external auditor conflicts. Audit-committee independence is undermined by majority shareholder influence on CAMA Section 359(4)’s mandate for equal representation of directors and shareholders (Adegbite,</w:t>
      </w:r>
      <w:proofErr w:type="gramStart"/>
      <w:r w:rsidRPr="005457F2">
        <w:rPr>
          <w:highlight w:val="yellow"/>
        </w:rPr>
        <w:t>2014)(</w:t>
      </w:r>
      <w:proofErr w:type="gramEnd"/>
      <w:r w:rsidRPr="005457F2">
        <w:rPr>
          <w:highlight w:val="yellow"/>
        </w:rPr>
        <w:t>see figure 2 below). During the 2009 crisis, audit committees failed to rigorously review financial statements, allowing fraud and financial impropriety to go undetected (</w:t>
      </w:r>
      <w:proofErr w:type="spellStart"/>
      <w:r w:rsidRPr="005457F2">
        <w:rPr>
          <w:highlight w:val="yellow"/>
        </w:rPr>
        <w:t>Olojede</w:t>
      </w:r>
      <w:proofErr w:type="spellEnd"/>
      <w:r w:rsidRPr="005457F2">
        <w:rPr>
          <w:highlight w:val="yellow"/>
        </w:rPr>
        <w:t xml:space="preserve">, P., et al., 2020). External auditor </w:t>
      </w:r>
      <w:proofErr w:type="spellStart"/>
      <w:proofErr w:type="gramStart"/>
      <w:r w:rsidRPr="005457F2">
        <w:rPr>
          <w:highlight w:val="yellow"/>
        </w:rPr>
        <w:t>conflicts,similar</w:t>
      </w:r>
      <w:proofErr w:type="spellEnd"/>
      <w:proofErr w:type="gramEnd"/>
      <w:r w:rsidRPr="005457F2">
        <w:rPr>
          <w:highlight w:val="yellow"/>
        </w:rPr>
        <w:t xml:space="preserve"> to those seen in global cases like Enron where auditors faced constraints in investigating </w:t>
      </w:r>
      <w:proofErr w:type="spellStart"/>
      <w:r w:rsidRPr="005457F2">
        <w:rPr>
          <w:highlight w:val="yellow"/>
        </w:rPr>
        <w:t>companyaffairs</w:t>
      </w:r>
      <w:proofErr w:type="spellEnd"/>
      <w:r w:rsidRPr="005457F2">
        <w:rPr>
          <w:highlight w:val="yellow"/>
        </w:rPr>
        <w:t xml:space="preserve">, are also prevalent in Nigeria, weakening the oversight of internal controls and allowing financial misstatements to persist (Mallin, 2010; Rezaee et al., 2003; Hossain, M., &amp; Hou, Y., 2020). These deficiencies increase default risk by obscuring the true financial health of banks, particularly </w:t>
      </w:r>
      <w:r w:rsidRPr="005457F2">
        <w:rPr>
          <w:highlight w:val="yellow"/>
        </w:rPr>
        <w:lastRenderedPageBreak/>
        <w:t>where financial-reporting integrity does not mediate the effect of audit-committee independence on NPL ratios.</w:t>
      </w:r>
    </w:p>
    <w:p w14:paraId="532BE5E3" w14:textId="77777777" w:rsidR="00646B26" w:rsidRPr="005457F2" w:rsidRDefault="00646B26" w:rsidP="00646B26">
      <w:r w:rsidRPr="005457F2">
        <w:t>Executive compensation structures, intended to align management’s interests with those of shareholders, often foster misaligned incentives and lack transparency in Nigeria’s banking sector. Regulatory multiplicity creates discrepancies in remuneration policies, with codes like the SEC Code of 2011 requiring shareholder approval for compensation, while the NCCG allows more flexibility, leading to inconsistent practices (Osemeke, L., &amp; Adegbite,</w:t>
      </w:r>
      <w:proofErr w:type="gramStart"/>
      <w:r w:rsidRPr="005457F2">
        <w:t>2016)(</w:t>
      </w:r>
      <w:proofErr w:type="gramEnd"/>
      <w:r w:rsidRPr="005457F2">
        <w:t>See Figure 2 below). At Oceanic Bank, undisclosed and excessive compensation to executives tied to the Ibru family facilitated insider dealings, prioritizing personal gain over shareholder interests (Sanusi, 2009). Such non-disclosure obscures accountability, as stakeholders cannot assess whether incentives drive ethical performance, while the lack of performance-linked compensation allows executives to face little consequence for mismanagement, further increasing the risk of financial distress (Al-Shaer, H., et al., 2022; Salehi, M., et al., 2023).</w:t>
      </w:r>
    </w:p>
    <w:p w14:paraId="561F0B1B" w14:textId="77777777" w:rsidR="00646B26" w:rsidRPr="005457F2" w:rsidRDefault="00646B26" w:rsidP="00646B26">
      <w:r w:rsidRPr="005457F2">
        <w:t>These governance issues have profound consequences for transparency and accountability in Nigeria’s banking sector. Opaque decision-making, financial misstatements, and non-disclosure of compensation reduce investor trust, leaving them unable to make informed decisions, as evidenced by mass deposit withdrawals following the 2009 crisis (Ugochukwu, 2000). Regulatory scrutiny intensifies as agencies like the Central Bank of Nigeria (CBN) and the Financial Reporting Council of Nigeria (FRCN) struggle to enforce compliance amidst conflicting codes, with weak enforcement mechanisms failing to deter governance failures (Nwoke, U., et al., 2023; Adegbite, 2012). Reputational damage follows, as public backlash against governance lapses—</w:t>
      </w:r>
      <w:proofErr w:type="gramStart"/>
      <w:r w:rsidRPr="005457F2">
        <w:t>similar to</w:t>
      </w:r>
      <w:proofErr w:type="gramEnd"/>
      <w:r w:rsidRPr="005457F2">
        <w:t xml:space="preserve"> global cases like United Airlines in 2017—erodes stakeholder confidence and impacts banks’ </w:t>
      </w:r>
      <w:r w:rsidRPr="005457F2">
        <w:lastRenderedPageBreak/>
        <w:t xml:space="preserve">market standing (Shepardson, 2017). </w:t>
      </w:r>
      <w:proofErr w:type="spellStart"/>
      <w:proofErr w:type="gramStart"/>
      <w:r w:rsidRPr="005457F2">
        <w:t>Collectively,these</w:t>
      </w:r>
      <w:proofErr w:type="spellEnd"/>
      <w:proofErr w:type="gramEnd"/>
      <w:r w:rsidRPr="005457F2">
        <w:t xml:space="preserve"> issues heighten default risk, with 425 bank failures since 1988 underscoring the systemic consequences of governance deficiencies (Udo, B.,</w:t>
      </w:r>
      <w:proofErr w:type="gramStart"/>
      <w:r w:rsidRPr="005457F2">
        <w:t>2020)(</w:t>
      </w:r>
      <w:proofErr w:type="gramEnd"/>
      <w:r w:rsidRPr="005457F2">
        <w:t>see Figure 1 below).</w:t>
      </w:r>
    </w:p>
    <w:p w14:paraId="7FF9FC3F" w14:textId="77777777" w:rsidR="00646B26" w:rsidRPr="005457F2" w:rsidRDefault="00646B26" w:rsidP="00646B26">
      <w:r w:rsidRPr="005457F2">
        <w:t>Addressing these challenges requires targeted measures to strengthen transparency and accountability. Boards must be made more independent by mandating nomination committees to ensure diverse, qualified, and impartial members, reducing the influence of concentrated ownership (</w:t>
      </w:r>
      <w:proofErr w:type="spellStart"/>
      <w:r w:rsidRPr="005457F2">
        <w:t>Ogbechie</w:t>
      </w:r>
      <w:proofErr w:type="spellEnd"/>
      <w:r w:rsidRPr="005457F2">
        <w:t>, 2016; Fariha et al., 2022). Stricter enforcement of timely and accurate financial reporting, with audit committees empowered to operate independently, is essential to improve disclosure standards (Healy &amp; Palepu, 2001; Al-Shaer, H., et al., 2022). Robust whistleblowing mechanisms and independent external audits can enhance internal controls, detecting and preventing financial impropriety (</w:t>
      </w:r>
      <w:proofErr w:type="spellStart"/>
      <w:r w:rsidRPr="005457F2">
        <w:t>Olojede</w:t>
      </w:r>
      <w:proofErr w:type="spellEnd"/>
      <w:r w:rsidRPr="005457F2">
        <w:t xml:space="preserve">, P., et al., 2020; Rezaee et al., 2003). Aligning executive compensation with performance, coupled with mandatory disclosure of remuneration policies, ensures incentives drive ethical </w:t>
      </w:r>
      <w:proofErr w:type="spellStart"/>
      <w:r w:rsidRPr="005457F2">
        <w:t>behavior</w:t>
      </w:r>
      <w:proofErr w:type="spellEnd"/>
      <w:r w:rsidRPr="005457F2">
        <w:t xml:space="preserve"> and enhance transparency (Salehi, M., et al., 2023). Continuous monitoring through regular governance audits, stakeholder feedback, and regulatory harmonization is vital to sustain these reforms, aligning Nigeria’s banking sector with global best practices (Herbert, W. E., &amp; </w:t>
      </w:r>
      <w:proofErr w:type="spellStart"/>
      <w:r w:rsidRPr="005457F2">
        <w:t>Agwor</w:t>
      </w:r>
      <w:proofErr w:type="spellEnd"/>
      <w:r w:rsidRPr="005457F2">
        <w:t xml:space="preserve">, T. C., 2021; </w:t>
      </w:r>
      <w:proofErr w:type="spellStart"/>
      <w:r w:rsidRPr="005457F2">
        <w:t>Beekes</w:t>
      </w:r>
      <w:proofErr w:type="spellEnd"/>
      <w:r w:rsidRPr="005457F2">
        <w:t xml:space="preserve"> &amp; Brown, 2006).</w:t>
      </w:r>
    </w:p>
    <w:p w14:paraId="344EFD3D" w14:textId="77777777" w:rsidR="00646B26" w:rsidRDefault="00646B26" w:rsidP="00646B26">
      <w:r w:rsidRPr="005457F2">
        <w:t xml:space="preserve">In conclusion, transparency and accountability are indispensable for effective corporate governance in Nigeria’s deposit money banking sector, yet they are consistently undermined by systemic issues in board oversight, disclosure practices, stakeholder communication, audit controls, and executive compensation. These deficiencies, rooted in historical legacies and exacerbated by regulatory multiplicity, have led to reduced investor trust, heightened regulatory </w:t>
      </w:r>
      <w:r w:rsidRPr="005457F2">
        <w:lastRenderedPageBreak/>
        <w:t xml:space="preserve">scrutiny, and reputational damage, contributing to 425 bank failures since 1988 and persistent default risk (Udo, B., 2020; </w:t>
      </w:r>
      <w:proofErr w:type="spellStart"/>
      <w:r w:rsidRPr="005457F2">
        <w:t>Kafidipe</w:t>
      </w:r>
      <w:proofErr w:type="spellEnd"/>
      <w:r w:rsidRPr="005457F2">
        <w:t>, 2021). Cases like Oceanic Bank illustrate how these governance failures—lacking independent oversight, concealing financial distress, and misaligning incentives—threaten financial stability and stakeholder confidence.</w:t>
      </w:r>
    </w:p>
    <w:p w14:paraId="5555ECD8" w14:textId="77777777" w:rsidR="00646B26" w:rsidRPr="005457F2" w:rsidRDefault="00646B26" w:rsidP="00646B26">
      <w:r w:rsidRPr="005457F2">
        <w:t>Implementing</w:t>
      </w:r>
      <w:r>
        <w:t xml:space="preserve"> </w:t>
      </w:r>
      <w:r w:rsidRPr="005457F2">
        <w:t xml:space="preserve">measures such as strengthening board independence, improving disclosure standards, enhancing internal controls, and aligning compensation with performance is critical to restoring trust and mitigating default risk. Ongoing monitoring and regulatory harmonization will ensure these reforms are sustainable, aligning Nigeria’s banking governance with global standards and supporting its role in economic growth (King &amp; Levine, 1993; </w:t>
      </w:r>
      <w:proofErr w:type="spellStart"/>
      <w:r w:rsidRPr="005457F2">
        <w:t>Siyanbola</w:t>
      </w:r>
      <w:proofErr w:type="spellEnd"/>
      <w:r w:rsidRPr="005457F2">
        <w:t>, 2019). This chapter sets the stage for further empirical analysis of these issues, as outlined in the research’s objectives and research questions.</w:t>
      </w:r>
    </w:p>
    <w:p w14:paraId="5C6BF295" w14:textId="77777777" w:rsidR="00646B26" w:rsidRDefault="00646B26" w:rsidP="00646B26">
      <w:pPr>
        <w:pStyle w:val="Heading4"/>
        <w:spacing w:before="0" w:after="283"/>
        <w:rPr>
          <w:rFonts w:ascii="Arial" w:eastAsia="Times New Roman" w:hAnsi="Arial" w:cs="Arial"/>
        </w:rPr>
      </w:pPr>
      <w:r>
        <w:rPr>
          <w:rFonts w:ascii="Arial" w:eastAsia="Times New Roman" w:hAnsi="Arial" w:cs="Arial"/>
        </w:rPr>
        <w:t>1.1.2 Default Risk and Nigerian Banks</w:t>
      </w:r>
    </w:p>
    <w:p w14:paraId="34462F59" w14:textId="77777777" w:rsidR="00646B26" w:rsidRPr="005457F2" w:rsidRDefault="00646B26" w:rsidP="00646B26">
      <w:r w:rsidRPr="005457F2">
        <w:t xml:space="preserve">The Nigerian banking sector, particularly deposit money banks (DMBs), has faced recurrent defaults, exposing critical weaknesses in corporate governance, risk management, and regulatory oversight. These failures have destabilized the financial system, eroded stakeholder confidence, and required substantial government interventions. The causes of bank defaults </w:t>
      </w:r>
      <w:proofErr w:type="spellStart"/>
      <w:r w:rsidRPr="005457F2">
        <w:t>inNigeria</w:t>
      </w:r>
      <w:proofErr w:type="spellEnd"/>
      <w:r w:rsidRPr="005457F2">
        <w:t xml:space="preserve"> are multifaceted, stemming from a complex interplay of institutional, economic, political, supervisory, and regulatory inadequacies, as identified by Ogunleye (2002). A primary driver is weak corporate governance, marked by inadequate board oversight, lack of transparency, and poor management practices. The Central Bank of Nigeria (CBN) has highlighted inefficient, incompetent, and unstable management as a key factor in collapses, such as that of Savannah Bank, once a top 10 financial institution.</w:t>
      </w:r>
    </w:p>
    <w:p w14:paraId="03932E6C" w14:textId="77777777" w:rsidR="00646B26" w:rsidRDefault="00646B26" w:rsidP="00646B26">
      <w:r w:rsidRPr="005457F2">
        <w:lastRenderedPageBreak/>
        <w:t xml:space="preserve">Governance failures often involve violations of best practices, including insider loans, unlawful credits, and transactions with shell companies controlled by bank insiders, amplifying moral hazard problems. Agency issues further heighten the risk of default. The principle-agent problem, first articulated by Adam Smith (1776), reveals how managers may prioritize self-interest over the institution’s survival, especially in banks with concentrated ownership structures. </w:t>
      </w:r>
    </w:p>
    <w:p w14:paraId="4068847B" w14:textId="77777777" w:rsidR="00646B26" w:rsidRPr="005457F2" w:rsidRDefault="00646B26" w:rsidP="00646B26">
      <w:r w:rsidRPr="005457F2">
        <w:t>Fernando et al. (2019) note that companies with concentrated ownership show a higher correlation with default than those with distributed ownership, as managers misuse depositors’ funds through special purpose vehicles (SPVs) for unjust enrichment (Abubakar, 2011). This contributes to elevated non-performing loan (NPL) ratios, which reached 37% in 2009—far above the global average of 6.6% (Nwosu, 2020)—reflecting poor risk assessment and lending practices. Economic and market dynamics also play a role. Informational asymmetries in loan markets lead to adverse selection, where high interest rates attract riskier borrowers, reducing the quality of loan portfolios and bank earnings (Stiglitz, 1987; Bertrand et al., 2011; Mayer &amp; Mereno, 2003). In competitive environments, banks may lower interest rates to attract customers, inadvertently drawing in poor-quality borrowers and further weakening loan portfolios (</w:t>
      </w:r>
      <w:proofErr w:type="spellStart"/>
      <w:r w:rsidRPr="005457F2">
        <w:t>Admati</w:t>
      </w:r>
      <w:proofErr w:type="spellEnd"/>
      <w:r w:rsidRPr="005457F2">
        <w:t xml:space="preserve"> &amp; Hellwig, 2013). These factors, combined with a lack of financial expertise on boards and inadequate risk management, create a fertile ground for default.</w:t>
      </w:r>
    </w:p>
    <w:p w14:paraId="04AF32B6" w14:textId="77777777" w:rsidR="00646B26" w:rsidRDefault="00646B26" w:rsidP="00646B26">
      <w:r w:rsidRPr="005457F2">
        <w:t xml:space="preserve">Several high-profile cases illustrate the severity of bank defaults in Nigeria. Savannah Bank’s collapse, as noted by the CBN, was driven by managerial incompetence and instability, </w:t>
      </w:r>
      <w:proofErr w:type="spellStart"/>
      <w:r w:rsidRPr="005457F2">
        <w:t>markinga</w:t>
      </w:r>
      <w:proofErr w:type="spellEnd"/>
      <w:r w:rsidRPr="005457F2">
        <w:t xml:space="preserve"> significant loss for a once-prominent institution. In 2009, five major banks—</w:t>
      </w:r>
      <w:proofErr w:type="spellStart"/>
      <w:r w:rsidRPr="005457F2">
        <w:t>Afribank</w:t>
      </w:r>
      <w:proofErr w:type="spellEnd"/>
      <w:r w:rsidRPr="005457F2">
        <w:t xml:space="preserve">, </w:t>
      </w:r>
      <w:proofErr w:type="spellStart"/>
      <w:r w:rsidRPr="005457F2">
        <w:t>Finbank</w:t>
      </w:r>
      <w:proofErr w:type="spellEnd"/>
      <w:r w:rsidRPr="005457F2">
        <w:t xml:space="preserve">, Intercontinental Bank, Oceanic Bank, and Union Bank—holding 30% of Nigeria’s deposits, faced imminent failure. The CBN intervened with a $3.9 billion injection to stabilize these institutions, </w:t>
      </w:r>
      <w:r w:rsidRPr="005457F2">
        <w:lastRenderedPageBreak/>
        <w:t xml:space="preserve">underscoring the systemic risk posed by their distress. </w:t>
      </w:r>
      <w:proofErr w:type="spellStart"/>
      <w:r w:rsidRPr="005457F2">
        <w:t>Afribank</w:t>
      </w:r>
      <w:proofErr w:type="spellEnd"/>
      <w:r w:rsidRPr="005457F2">
        <w:t xml:space="preserve">, one of Africa’s largest banks, saw its value plummet from $65 billion to a debt of N141 billion ($900,000), highlighting the scale of mismanagement and financial deterioration. The case of Oceanic Bank is particularly revealing. </w:t>
      </w:r>
    </w:p>
    <w:p w14:paraId="5039234B" w14:textId="77777777" w:rsidR="00646B26" w:rsidRPr="005457F2" w:rsidRDefault="00646B26" w:rsidP="00646B26">
      <w:r w:rsidRPr="005457F2">
        <w:t xml:space="preserve">Mrs. Ibru and Mr. </w:t>
      </w:r>
      <w:proofErr w:type="spellStart"/>
      <w:r w:rsidRPr="005457F2">
        <w:t>Oboden</w:t>
      </w:r>
      <w:proofErr w:type="spellEnd"/>
      <w:r w:rsidRPr="005457F2">
        <w:t xml:space="preserve"> Ibru, board members, were implicated in governance violations, with 75% of the bank’s non-performing loans tied to enterprises they owned or controlled (Sanusi, 2009). Insider lending, unlawful credits, and asset acquisitions by family-owned shell companies violated corporate governance principles, while the CEO, Mrs. Ibru, awarded procurement contracts to her own shell companies on </w:t>
      </w:r>
      <w:proofErr w:type="spellStart"/>
      <w:r w:rsidRPr="005457F2">
        <w:t>favorable</w:t>
      </w:r>
      <w:proofErr w:type="spellEnd"/>
      <w:r w:rsidRPr="005457F2">
        <w:t xml:space="preserve"> terms. CBN Governor Sanusi (2009) emphasized that “weak corporate governance…at financial institutions were the root of the banking sector that almost collapsed in 2009,” a view supported by the Nigerian Deposit Insurance Corporation (NDIC), which executed insolvency activities on 425 financial institutions between 1988 and 2020 (Udo, 2020).</w:t>
      </w:r>
    </w:p>
    <w:p w14:paraId="3B0BD069" w14:textId="77777777" w:rsidR="00646B26" w:rsidRDefault="00646B26" w:rsidP="00646B26">
      <w:r w:rsidRPr="005457F2">
        <w:t xml:space="preserve">The repercussions of bank defaults in Nigeria extend beyond individual institutions, threatening financial stability and stakeholder interests. High levels of non-performing loan (NPL) ratios, peaking at 37% in 2009, eroded bank capital and liquidity, undermining their ability to meet depositor demands and </w:t>
      </w:r>
      <w:proofErr w:type="spellStart"/>
      <w:r w:rsidRPr="005457F2">
        <w:t>fulfill</w:t>
      </w:r>
      <w:proofErr w:type="spellEnd"/>
      <w:r w:rsidRPr="005457F2">
        <w:t xml:space="preserve"> lending roles (Nwosu, 2020). This loss of confidence among depositors, shareholders, and creditors destabilized the financial system, with ripple effects on the broader economy. The moral hazard problem, evident in cases like Oceanic Bank, saw depositors’ funds misused, shifting risk to taxpayers and necessitating costly bailouts, such as the $3.9 billion CBN intervention in 2009. </w:t>
      </w:r>
    </w:p>
    <w:p w14:paraId="4F470FA8" w14:textId="77777777" w:rsidR="00646B26" w:rsidRDefault="00646B26" w:rsidP="00646B26">
      <w:r w:rsidRPr="005457F2">
        <w:t xml:space="preserve">Lack of transparency, including falsification of financial statements, further compounded the issue. This information asymmetry prevented stakeholders from making informed decisions, </w:t>
      </w:r>
      <w:r w:rsidRPr="005457F2">
        <w:lastRenderedPageBreak/>
        <w:t xml:space="preserve">masking the true financial health of banks </w:t>
      </w:r>
      <w:proofErr w:type="spellStart"/>
      <w:r w:rsidRPr="005457F2">
        <w:t>anddelaying</w:t>
      </w:r>
      <w:proofErr w:type="spellEnd"/>
      <w:r w:rsidRPr="005457F2">
        <w:t xml:space="preserve"> corrective action (Abubakar, 2011). The social burden was significant, as bank failures disrupted access to credit, hindered economic growth, and eroded public trust in the banking sector. Moreover, the prevalence of concentrated ownership and weak board oversight amplified agency conflicts, with managers prioritizing personal gain over sustainable growth, further jeopardizing depositors and the economy at large.</w:t>
      </w:r>
    </w:p>
    <w:p w14:paraId="74306CC1" w14:textId="77777777" w:rsidR="00646B26" w:rsidRPr="005457F2" w:rsidRDefault="00646B26" w:rsidP="00646B26"/>
    <w:p w14:paraId="00C92852" w14:textId="77777777" w:rsidR="00646B26" w:rsidRDefault="00646B26" w:rsidP="00646B26">
      <w:r w:rsidRPr="005457F2">
        <w:t>In response to these crises, the Nigerian government and the CBN have implemented several measures to bolster stability and governance in deposit money banks. In 2006, a consolidation strategy aimed to strengthen banks by merging weaker institutions, while in 2009, the CBN mandated a minimum capital base of 25 billion naira ($162 million) for insured banks (</w:t>
      </w:r>
      <w:proofErr w:type="spellStart"/>
      <w:r w:rsidRPr="005457F2">
        <w:t>Onaolapo</w:t>
      </w:r>
      <w:proofErr w:type="spellEnd"/>
      <w:r w:rsidRPr="005457F2">
        <w:t xml:space="preserve"> et al., 2019). These efforts sought to enhance resilience and liquidity, though challenges persisted. The CBN’s 2009 intervention, injecting $3.9 billion into ten banks and dismissing eight managing directors, addressed immediate liquidity crises but also exposed deep-seated governance failures (</w:t>
      </w:r>
      <w:proofErr w:type="spellStart"/>
      <w:r w:rsidRPr="005457F2">
        <w:t>Fadare</w:t>
      </w:r>
      <w:proofErr w:type="spellEnd"/>
      <w:r w:rsidRPr="005457F2">
        <w:t xml:space="preserve">, 2011). Regulatory actions extended to enforcement, with the CBN removing 178 bank executives and blacklisting 75 for weak governance practices tied to agency issues (Jimoh &amp; </w:t>
      </w:r>
      <w:proofErr w:type="spellStart"/>
      <w:r w:rsidRPr="005457F2">
        <w:t>Iyoha</w:t>
      </w:r>
      <w:proofErr w:type="spellEnd"/>
      <w:r w:rsidRPr="005457F2">
        <w:t xml:space="preserve">, 2012). The NDIC played a critical role, managing insolvency for 425 institutions between 1988 and 2020, highlighting the scale of the challenge (Udo, 2020). </w:t>
      </w:r>
    </w:p>
    <w:p w14:paraId="401C7D2C" w14:textId="77777777" w:rsidR="00646B26" w:rsidRPr="005457F2" w:rsidRDefault="00646B26" w:rsidP="00646B26">
      <w:r w:rsidRPr="005457F2">
        <w:t xml:space="preserve">Deposit insurance </w:t>
      </w:r>
      <w:proofErr w:type="spellStart"/>
      <w:r w:rsidRPr="005457F2">
        <w:t>andprudential</w:t>
      </w:r>
      <w:proofErr w:type="spellEnd"/>
      <w:r w:rsidRPr="005457F2">
        <w:t xml:space="preserve"> regulations, such as capital adequacy requirements and risk-based deposit insurance premiums, were introduced to protect depositors and curb risky </w:t>
      </w:r>
      <w:proofErr w:type="spellStart"/>
      <w:r w:rsidRPr="005457F2">
        <w:t>behavior</w:t>
      </w:r>
      <w:proofErr w:type="spellEnd"/>
      <w:r w:rsidRPr="005457F2">
        <w:t xml:space="preserve"> by bank owners reliant on government guarantees (</w:t>
      </w:r>
      <w:proofErr w:type="spellStart"/>
      <w:r w:rsidRPr="005457F2">
        <w:t>Demirguc</w:t>
      </w:r>
      <w:proofErr w:type="spellEnd"/>
      <w:r w:rsidRPr="005457F2">
        <w:t xml:space="preserve">-Kunt &amp; Huizinga, 2010; World Bank, 2019). Despite these measures, regulatory multiplicity and inconsistent enforcement remain obstacles. Post-consolidation, many </w:t>
      </w:r>
      <w:proofErr w:type="spellStart"/>
      <w:r w:rsidRPr="005457F2">
        <w:t>banksgrew</w:t>
      </w:r>
      <w:proofErr w:type="spellEnd"/>
      <w:r w:rsidRPr="005457F2">
        <w:t xml:space="preserve"> in size but suffered from </w:t>
      </w:r>
      <w:r w:rsidRPr="005457F2">
        <w:lastRenderedPageBreak/>
        <w:t xml:space="preserve">poor management, ill-functioning board committees, and a lack of expertise, undermining governance mechanisms (Abubakar, 2011). The CBN and scholars like Kasum (2014) stress that corporate governance and agency issues were leading contributors to the 2009 </w:t>
      </w:r>
      <w:proofErr w:type="spellStart"/>
      <w:proofErr w:type="gramStart"/>
      <w:r w:rsidRPr="005457F2">
        <w:t>crisis,necessitating</w:t>
      </w:r>
      <w:proofErr w:type="spellEnd"/>
      <w:proofErr w:type="gramEnd"/>
      <w:r w:rsidRPr="005457F2">
        <w:t xml:space="preserve"> ongoing monitoring and evaluation to ensure the effectiveness of these reforms in protecting depositors and promoting sustainability.</w:t>
      </w:r>
    </w:p>
    <w:p w14:paraId="1FFAE158" w14:textId="77777777" w:rsidR="00646B26" w:rsidRPr="005457F2" w:rsidRDefault="00646B26" w:rsidP="00646B26">
      <w:r w:rsidRPr="005457F2">
        <w:t xml:space="preserve">The recurring defaults in Nigerian deposit money banks highlight the urgent need for a comprehensive approach to corporate governance and regulation. Weak governance, agency conflicts, and inadequate risk management have </w:t>
      </w:r>
      <w:proofErr w:type="spellStart"/>
      <w:r w:rsidRPr="005457F2">
        <w:t>fueled</w:t>
      </w:r>
      <w:proofErr w:type="spellEnd"/>
      <w:r w:rsidRPr="005457F2">
        <w:t xml:space="preserve"> systemic instability, with high non-performing loan (NPL) ratios and moral hazard problems posing ongoing threats. While consolidation, capital requirements, and regulatory interventions have provided temporary relief, the persistence of supervisory gaps and the lack of board expertise demand further reform. Addressing these challenges requires strengthening board oversight, enhancing transparency, and aligning regulatory frameworks to mitigate risk, protect stakeholders, and ensure the long-term stability of Nigeria’s banking sector. This research contributes to these efforts by examining corporate governance practices to propose actionable reforms that enhance financial stability in Nigeria’s banking sector.</w:t>
      </w:r>
    </w:p>
    <w:p w14:paraId="76A3C289" w14:textId="77777777" w:rsidR="00646B26" w:rsidRDefault="00646B26" w:rsidP="00646B26">
      <w:pPr>
        <w:pStyle w:val="Heading4"/>
        <w:spacing w:before="0" w:after="283"/>
        <w:rPr>
          <w:rFonts w:ascii="Arial" w:eastAsia="Times New Roman" w:hAnsi="Arial" w:cs="Arial"/>
        </w:rPr>
      </w:pPr>
      <w:r>
        <w:rPr>
          <w:rFonts w:ascii="Arial" w:eastAsia="Times New Roman" w:hAnsi="Arial" w:cs="Arial"/>
        </w:rPr>
        <w:t>1.1.3 Issues of Financial Regulatory Multiplicity in Nigeria</w:t>
      </w:r>
    </w:p>
    <w:p w14:paraId="036AEC3F" w14:textId="77777777" w:rsidR="00646B26" w:rsidRPr="00181C11" w:rsidRDefault="00646B26" w:rsidP="00646B26">
      <w:r w:rsidRPr="00181C11">
        <w:t xml:space="preserve">Regulatory multiplicity in corporate governance pertains to the presence of various codes of conduct that govern the </w:t>
      </w:r>
      <w:proofErr w:type="spellStart"/>
      <w:r w:rsidRPr="00181C11">
        <w:t>behaviors</w:t>
      </w:r>
      <w:proofErr w:type="spellEnd"/>
      <w:r w:rsidRPr="00181C11">
        <w:t xml:space="preserve"> and responsibilities of stakeholders within an industry (John, J. 2023, Ofo, 2013; </w:t>
      </w:r>
      <w:proofErr w:type="spellStart"/>
      <w:r w:rsidRPr="00181C11">
        <w:t>Agebite</w:t>
      </w:r>
      <w:proofErr w:type="spellEnd"/>
      <w:r w:rsidRPr="00181C11">
        <w:t xml:space="preserve">, 2014). There is an imperative for enhanced clarity regarding the definition and implementation of corporate governance codes, which serve to delineate the expected conduct of employees in particular situations (Brooks, 1989). This issue is especially </w:t>
      </w:r>
      <w:r w:rsidRPr="00181C11">
        <w:lastRenderedPageBreak/>
        <w:t>evident in Nigeria, where conflicting legal frameworks undermine the autonomy of the Board of Directors and the Audit Committee. Such conflict arises from the ownership structures of firms and contributes to inadequate accounting and internal governance practices, as well as overlapping and conflicting rules and responsibilities (Abdulmalik, 2020).</w:t>
      </w:r>
    </w:p>
    <w:p w14:paraId="37F5E4B6" w14:textId="77777777" w:rsidR="00646B26" w:rsidRPr="00181C11" w:rsidRDefault="00646B26" w:rsidP="00646B26">
      <w:r w:rsidRPr="00181C11">
        <w:t xml:space="preserve">Moreover, the state of corporate governance in Nigeria is still developing, given that the nation has only been sovereign for 64 years. Approximately </w:t>
      </w:r>
      <w:proofErr w:type="spellStart"/>
      <w:r w:rsidRPr="00181C11">
        <w:t>fouty</w:t>
      </w:r>
      <w:proofErr w:type="spellEnd"/>
      <w:r w:rsidRPr="00181C11">
        <w:t xml:space="preserve"> percent of listed companies demonstrate a lack of understanding regarding the principles of corporate governance, a situation that can be traced back to the pre-colonial period in Nigeria (</w:t>
      </w:r>
      <w:proofErr w:type="spellStart"/>
      <w:r w:rsidRPr="00181C11">
        <w:t>Nwaukwa</w:t>
      </w:r>
      <w:proofErr w:type="spellEnd"/>
      <w:r w:rsidRPr="00181C11">
        <w:t xml:space="preserve">, N. N., 2024; </w:t>
      </w:r>
      <w:proofErr w:type="spellStart"/>
      <w:r w:rsidRPr="00181C11">
        <w:t>Oromaraghako</w:t>
      </w:r>
      <w:proofErr w:type="spellEnd"/>
      <w:r w:rsidRPr="00181C11">
        <w:t>, P. B. O. et al., 2021; Wilson, 2006). This highlights the critical need for comprehensive reforms in regulatory frameworks to enhance the effectiveness of corporate governance in the country.</w:t>
      </w:r>
    </w:p>
    <w:p w14:paraId="6F53D9F4" w14:textId="77777777" w:rsidR="00646B26" w:rsidRPr="00181C11" w:rsidRDefault="00646B26" w:rsidP="00646B26">
      <w:r w:rsidRPr="00181C11">
        <w:t xml:space="preserve">To effectively address the unique characteristics of a country, including cultural and political ideologies, it is important for countries to have corporate governance regulations that cater to their specific needs and reflect their colonial influences (Senaratne &amp; Gunaratne, 2008; Lu et al., 2009; </w:t>
      </w:r>
      <w:proofErr w:type="spellStart"/>
      <w:r w:rsidRPr="00181C11">
        <w:t>Ahunwan</w:t>
      </w:r>
      <w:proofErr w:type="spellEnd"/>
      <w:r w:rsidRPr="00181C11">
        <w:t xml:space="preserve"> 2002; </w:t>
      </w:r>
      <w:proofErr w:type="spellStart"/>
      <w:r w:rsidRPr="00181C11">
        <w:t>Adebite</w:t>
      </w:r>
      <w:proofErr w:type="spellEnd"/>
      <w:r w:rsidRPr="00181C11">
        <w:t xml:space="preserve"> and Nakajima 2011; </w:t>
      </w:r>
      <w:proofErr w:type="spellStart"/>
      <w:r w:rsidRPr="00181C11">
        <w:t>Okike</w:t>
      </w:r>
      <w:proofErr w:type="spellEnd"/>
      <w:r w:rsidRPr="00181C11">
        <w:t xml:space="preserve"> &amp; Adegbite, 2012). Governments regulate companies and companies are held legally accountable through their directors to shareholders and stakeholders through the concept of the 'corporate social contract' (Brooks, 1989). Cultural peculiarities and colonial influence have resulted in a lack of </w:t>
      </w:r>
      <w:proofErr w:type="spellStart"/>
      <w:r w:rsidRPr="00181C11">
        <w:t>objectiveregulations</w:t>
      </w:r>
      <w:proofErr w:type="spellEnd"/>
      <w:r w:rsidRPr="00181C11">
        <w:t xml:space="preserve"> in the Nigerian context, where banks are unable to facilitate the development of effective legislation in the baking industry (Ugochukwu, 2000).</w:t>
      </w:r>
    </w:p>
    <w:p w14:paraId="7EDD5C8C" w14:textId="77777777" w:rsidR="00646B26" w:rsidRPr="00181C11" w:rsidRDefault="00646B26" w:rsidP="00646B26">
      <w:r w:rsidRPr="00181C11">
        <w:t xml:space="preserve">Despite the increasing recognition of the need for effective corporate governance regulations, there is a lack of literature on the implications of regulatory multiplicity at the national level </w:t>
      </w:r>
      <w:r w:rsidRPr="00181C11">
        <w:lastRenderedPageBreak/>
        <w:t>(</w:t>
      </w:r>
      <w:proofErr w:type="spellStart"/>
      <w:r w:rsidRPr="00181C11">
        <w:t>Adgebite</w:t>
      </w:r>
      <w:proofErr w:type="spellEnd"/>
      <w:r w:rsidRPr="00181C11">
        <w:t xml:space="preserve">, 2012; </w:t>
      </w:r>
      <w:proofErr w:type="spellStart"/>
      <w:r w:rsidRPr="00181C11">
        <w:t>Adebite</w:t>
      </w:r>
      <w:proofErr w:type="spellEnd"/>
      <w:r w:rsidRPr="00181C11">
        <w:t>, 2014). On one hand, soft law promotes autonomy by encouraging voluntary compliance with good governance practices (See Figure 1.1 above), while on the other hand, statutes carry a legal burden of responsibility for non-compliance (Adegbite, 2012; Adegbite, 2014) (See Figure 1.1 above). The argument for a statutory system of corporate governance in Nigeria is reinforced by the frequent failures of listed companies, linked to inadequate enforcement of regulations by regulatory agencies in addition to the saturation of regulations (Nwoke. et al 2023, Tayo-</w:t>
      </w:r>
      <w:proofErr w:type="spellStart"/>
      <w:r w:rsidRPr="00181C11">
        <w:t>Tiwo</w:t>
      </w:r>
      <w:proofErr w:type="spellEnd"/>
      <w:r w:rsidRPr="00181C11">
        <w:t>, A 2020). This position is substantiated by Wilson (2006), emphasizing the crucial role of strict to fundamental principles of corporate governance.</w:t>
      </w:r>
    </w:p>
    <w:p w14:paraId="0D347141" w14:textId="77777777" w:rsidR="00646B26" w:rsidRPr="00181C11" w:rsidRDefault="00646B26" w:rsidP="00646B26">
      <w:r w:rsidRPr="00181C11">
        <w:t>The argument for an effective statutory system of corporate governance in Nigeria is further supported by the position of the Organization for Economic Cooperation and Development (OECD). The OECD posits that, in countries with weak judicial systems, such as Nigeria (Abdulmalik, 2020), independent regulatory enforcement may be more effective than judicial enforcement (Nwoke. et al 2023, Oman, 2001). This highlights the importance of regulatory agencies in promoting compliance with corporate governance principles and ensuring the accountability and transparency of listed companies. The issues of regulatory multiplicity continue to evolve with the development of new codes of conduct or revisions to existing regulations, exacerbating the proliferation of codes within Nigeria (Tayo-</w:t>
      </w:r>
      <w:proofErr w:type="spellStart"/>
      <w:r w:rsidRPr="00181C11">
        <w:t>Tiwo</w:t>
      </w:r>
      <w:proofErr w:type="spellEnd"/>
      <w:r w:rsidRPr="00181C11">
        <w:t xml:space="preserve">, A 2020, Abdulmalik 2020, </w:t>
      </w:r>
      <w:proofErr w:type="spellStart"/>
      <w:r w:rsidRPr="00181C11">
        <w:t>Adebite</w:t>
      </w:r>
      <w:proofErr w:type="spellEnd"/>
      <w:r w:rsidRPr="00181C11">
        <w:t>, 2014).</w:t>
      </w:r>
    </w:p>
    <w:p w14:paraId="2FE990F9" w14:textId="77777777" w:rsidR="00646B26" w:rsidRPr="00181C11" w:rsidRDefault="00646B26" w:rsidP="00646B26">
      <w:r w:rsidRPr="00181C11">
        <w:t xml:space="preserve">However, the existence of multiple codes within a single country can address the specific needs of different firms and industries (Engle 2007, </w:t>
      </w:r>
      <w:proofErr w:type="spellStart"/>
      <w:r w:rsidRPr="00181C11">
        <w:t>Moghalu</w:t>
      </w:r>
      <w:proofErr w:type="spellEnd"/>
      <w:r w:rsidRPr="00181C11">
        <w:t xml:space="preserve"> 2011). Despite its potential benefits, this approach to corporate governance is also met with controversy (See Figure 1.1 above). Some argue that multiple self-regulatory codes increase investor confidence (Macey and O’Hara, 2003, </w:t>
      </w:r>
      <w:r w:rsidRPr="00181C11">
        <w:lastRenderedPageBreak/>
        <w:t>BCBS, 2005, BCBS 2006; Hoffmann, 1998), while others argue that it creates an environment of uncertainty and lack of cohesion among firms (</w:t>
      </w:r>
      <w:proofErr w:type="spellStart"/>
      <w:r w:rsidRPr="00181C11">
        <w:t>Osemeke</w:t>
      </w:r>
      <w:proofErr w:type="spellEnd"/>
      <w:r w:rsidRPr="00181C11">
        <w:t xml:space="preserve">, L. et al 2016, </w:t>
      </w:r>
      <w:proofErr w:type="spellStart"/>
      <w:r w:rsidRPr="00181C11">
        <w:t>Agebite</w:t>
      </w:r>
      <w:proofErr w:type="spellEnd"/>
      <w:r w:rsidRPr="00181C11">
        <w:t>, 2014). Additionally, this uncertainty of applicable code can lead to weak enforcement and difficulty in distinguishing between firms that comply with good govern (Tayo-</w:t>
      </w:r>
      <w:proofErr w:type="spellStart"/>
      <w:r w:rsidRPr="00181C11">
        <w:t>Tiwo</w:t>
      </w:r>
      <w:proofErr w:type="spellEnd"/>
      <w:r w:rsidRPr="00181C11">
        <w:t xml:space="preserve">, A 2020, Abdulmalik 2020, </w:t>
      </w:r>
      <w:proofErr w:type="spellStart"/>
      <w:r w:rsidRPr="00181C11">
        <w:t>Adebite</w:t>
      </w:r>
      <w:proofErr w:type="spellEnd"/>
      <w:r w:rsidRPr="00181C11">
        <w:t>, 2014).</w:t>
      </w:r>
    </w:p>
    <w:p w14:paraId="2E6B6970" w14:textId="77777777" w:rsidR="00646B26" w:rsidRPr="005457F2" w:rsidRDefault="00646B26" w:rsidP="00646B26">
      <w:r w:rsidRPr="005457F2">
        <w:rPr>
          <w:highlight w:val="yellow"/>
        </w:rPr>
        <w:t>The persistence of conflicting regulatory frameworks not only disrupts the day-to-day operations of Nigerian deposit money banks but also poses systemic risks to their long-term stability and resilience. Addressing these challenges forms a key focus of this research, particularly in exploring how governance mechanisms—such as audit-committee independence (and its mediation by financial-reporting integrity as perceived by bank insiders in 2024) and regulatory clarity and enforcement consistency—influence the risk of bank default within the context of regulatory multiplicity in the Nigerian deposit money banking industry. These governance structures are vital tools for mitigating agency problems and reinforcing internal controls, which remain crucial within a financial sector characterized by overlapping and occasionally contradictory regulatory requirements (See Figure 1.2 below).</w:t>
      </w:r>
    </w:p>
    <w:p w14:paraId="69B8C461" w14:textId="77777777" w:rsidR="00646B26" w:rsidRDefault="00646B26" w:rsidP="00646B26">
      <w:pPr>
        <w:rPr>
          <w:rStyle w:val="Strong"/>
          <w:rFonts w:ascii="Arial" w:hAnsi="Arial" w:cs="Arial"/>
          <w:b w:val="0"/>
        </w:rPr>
      </w:pPr>
    </w:p>
    <w:p w14:paraId="70529D25" w14:textId="77777777" w:rsidR="00646B26" w:rsidRDefault="00646B26" w:rsidP="00646B26">
      <w:pPr>
        <w:sectPr w:rsidR="00646B26" w:rsidSect="00646B26">
          <w:footerReference w:type="default" r:id="rId5"/>
          <w:footerReference w:type="first" r:id="rId6"/>
          <w:pgSz w:w="12240" w:h="15840"/>
          <w:pgMar w:top="1440" w:right="1440" w:bottom="1440" w:left="1440" w:header="0" w:footer="0" w:gutter="0"/>
          <w:cols w:space="720"/>
          <w:formProt w:val="0"/>
          <w:docGrid w:linePitch="326"/>
        </w:sectPr>
      </w:pPr>
      <w:r>
        <w:t> </w:t>
      </w:r>
    </w:p>
    <w:p w14:paraId="2C638177" w14:textId="77777777" w:rsidR="00646B26" w:rsidRDefault="00646B26" w:rsidP="00646B26">
      <w:pPr>
        <w:pStyle w:val="BodyText"/>
        <w:sectPr w:rsidR="00646B26" w:rsidSect="00646B26">
          <w:footerReference w:type="even" r:id="rId7"/>
          <w:footerReference w:type="default" r:id="rId8"/>
          <w:footerReference w:type="first" r:id="rId9"/>
          <w:pgSz w:w="15840" w:h="12240" w:orient="landscape"/>
          <w:pgMar w:top="1134" w:right="1134" w:bottom="1134" w:left="1134" w:header="0" w:footer="0" w:gutter="0"/>
          <w:cols w:space="720"/>
          <w:formProt w:val="0"/>
          <w:docGrid w:linePitch="326"/>
        </w:sectPr>
      </w:pPr>
      <w:r>
        <w:rPr>
          <w:noProof/>
        </w:rPr>
        <w:lastRenderedPageBreak/>
        <mc:AlternateContent>
          <mc:Choice Requires="wps">
            <w:drawing>
              <wp:anchor distT="0" distB="0" distL="0" distR="0" simplePos="0" relativeHeight="251659264" behindDoc="1" locked="0" layoutInCell="0" allowOverlap="1" wp14:anchorId="077C7301" wp14:editId="4C549872">
                <wp:simplePos x="0" y="0"/>
                <wp:positionH relativeFrom="margin">
                  <wp:posOffset>-304165</wp:posOffset>
                </wp:positionH>
                <wp:positionV relativeFrom="paragraph">
                  <wp:posOffset>-318770</wp:posOffset>
                </wp:positionV>
                <wp:extent cx="9310370" cy="181610"/>
                <wp:effectExtent l="0" t="0" r="0" b="0"/>
                <wp:wrapNone/>
                <wp:docPr id="3" name="Text Box 1"/>
                <wp:cNvGraphicFramePr/>
                <a:graphic xmlns:a="http://schemas.openxmlformats.org/drawingml/2006/main">
                  <a:graphicData uri="http://schemas.microsoft.com/office/word/2010/wordprocessingShape">
                    <wps:wsp>
                      <wps:cNvSpPr/>
                      <wps:spPr>
                        <a:xfrm>
                          <a:off x="0" y="0"/>
                          <a:ext cx="9310320" cy="181440"/>
                        </a:xfrm>
                        <a:prstGeom prst="rect">
                          <a:avLst/>
                        </a:prstGeom>
                        <a:noFill/>
                        <a:ln w="0">
                          <a:noFill/>
                        </a:ln>
                      </wps:spPr>
                      <wps:style>
                        <a:lnRef idx="0">
                          <a:scrgbClr r="0" g="0" b="0"/>
                        </a:lnRef>
                        <a:fillRef idx="0">
                          <a:scrgbClr r="0" g="0" b="0"/>
                        </a:fillRef>
                        <a:effectRef idx="0">
                          <a:scrgbClr r="0" g="0" b="0"/>
                        </a:effectRef>
                        <a:fontRef idx="minor"/>
                      </wps:style>
                      <wps:txbx>
                        <w:txbxContent>
                          <w:p w14:paraId="0E7A4B63" w14:textId="77777777" w:rsidR="00646B26" w:rsidRDefault="00646B26" w:rsidP="00646B26">
                            <w:pPr>
                              <w:pStyle w:val="TableContents"/>
                              <w:rPr>
                                <w:color w:val="000000"/>
                              </w:rPr>
                            </w:pPr>
                            <w:r>
                              <w:rPr>
                                <w:color w:val="000000"/>
                              </w:rPr>
                              <w:t xml:space="preserve">Figure 1.1 Regulatory multiplicity governing Money Deposit Banks (DMBs) in Nigeria: Corporate governance mechanisms 2025 </w:t>
                            </w:r>
                          </w:p>
                        </w:txbxContent>
                      </wps:txbx>
                      <wps:bodyPr lIns="0" tIns="0" rIns="0" bIns="0" anchor="t">
                        <a:spAutoFit/>
                      </wps:bodyPr>
                    </wps:wsp>
                  </a:graphicData>
                </a:graphic>
              </wp:anchor>
            </w:drawing>
          </mc:Choice>
          <mc:Fallback>
            <w:pict>
              <v:rect w14:anchorId="077C7301" id="Text Box 1" o:spid="_x0000_s1026" style="position:absolute;left:0;text-align:left;margin-left:-23.95pt;margin-top:-25.1pt;width:733.1pt;height:14.3pt;z-index:-25165721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" o:allowincell="f" filled="f" stroked="f" strokeweight="0">
                <v:textbox style="mso-fit-shape-to-text:t" inset="0,0,0,0">
                  <w:txbxContent>
                    <w:p w14:paraId="0E7A4B63" w14:textId="77777777" w:rsidR="00646B26" w:rsidRDefault="00646B26" w:rsidP="00646B26">
                      <w:pPr>
                        <w:pStyle w:val="TableContents"/>
                        <w:rPr>
                          <w:color w:val="000000"/>
                        </w:rPr>
                      </w:pPr>
                      <w:r>
                        <w:rPr>
                          <w:color w:val="000000"/>
                        </w:rPr>
                        <w:t xml:space="preserve">Figure 1.1 Regulatory multiplicity governing Money Deposit Banks (DMBs) in Nigeria: Corporate governance mechanisms 2025 </w:t>
                      </w:r>
                    </w:p>
                  </w:txbxContent>
                </v:textbox>
                <w10:wrap anchorx="margin"/>
              </v:rect>
            </w:pict>
          </mc:Fallback>
        </mc:AlternateContent>
      </w:r>
      <w:r>
        <w:rPr>
          <w:noProof/>
        </w:rPr>
        <w:drawing>
          <wp:anchor distT="0" distB="0" distL="0" distR="0" simplePos="0" relativeHeight="251660288" behindDoc="0" locked="0" layoutInCell="0" allowOverlap="1" wp14:anchorId="64693843" wp14:editId="33A03CEE">
            <wp:simplePos x="0" y="0"/>
            <wp:positionH relativeFrom="column">
              <wp:align>center</wp:align>
            </wp:positionH>
            <wp:positionV relativeFrom="paragraph">
              <wp:posOffset>635</wp:posOffset>
            </wp:positionV>
            <wp:extent cx="8618220" cy="490410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0"/>
                    <a:stretch>
                      <a:fillRect/>
                    </a:stretch>
                  </pic:blipFill>
                  <pic:spPr bwMode="auto">
                    <a:xfrm>
                      <a:off x="0" y="0"/>
                      <a:ext cx="8618220" cy="4904105"/>
                    </a:xfrm>
                    <a:prstGeom prst="rect">
                      <a:avLst/>
                    </a:prstGeom>
                    <a:noFill/>
                  </pic:spPr>
                </pic:pic>
              </a:graphicData>
            </a:graphic>
          </wp:anchor>
        </w:drawing>
      </w:r>
      <w:r>
        <w:rPr>
          <w:noProof/>
        </w:rPr>
        <mc:AlternateContent>
          <mc:Choice Requires="wps">
            <w:drawing>
              <wp:anchor distT="635" distB="0" distL="0" distR="0" simplePos="0" relativeHeight="251661312" behindDoc="0" locked="0" layoutInCell="1" allowOverlap="1" wp14:anchorId="254E4117" wp14:editId="4623E5E6">
                <wp:simplePos x="0" y="0"/>
                <wp:positionH relativeFrom="column">
                  <wp:posOffset>-160655</wp:posOffset>
                </wp:positionH>
                <wp:positionV relativeFrom="paragraph">
                  <wp:posOffset>5181600</wp:posOffset>
                </wp:positionV>
                <wp:extent cx="8962390" cy="1420495"/>
                <wp:effectExtent l="0" t="635" r="0" b="0"/>
                <wp:wrapNone/>
                <wp:docPr id="5" name="Text Box 5"/>
                <wp:cNvGraphicFramePr/>
                <a:graphic xmlns:a="http://schemas.openxmlformats.org/drawingml/2006/main">
                  <a:graphicData uri="http://schemas.microsoft.com/office/word/2010/wordprocessingShape">
                    <wps:wsp>
                      <wps:cNvSpPr/>
                      <wps:spPr>
                        <a:xfrm>
                          <a:off x="0" y="0"/>
                          <a:ext cx="8962560" cy="1420560"/>
                        </a:xfrm>
                        <a:prstGeom prst="rect">
                          <a:avLst/>
                        </a:prstGeom>
                        <a:noFill/>
                        <a:ln w="6480">
                          <a:noFill/>
                        </a:ln>
                      </wps:spPr>
                      <wps:style>
                        <a:lnRef idx="0">
                          <a:scrgbClr r="0" g="0" b="0"/>
                        </a:lnRef>
                        <a:fillRef idx="0">
                          <a:scrgbClr r="0" g="0" b="0"/>
                        </a:fillRef>
                        <a:effectRef idx="0">
                          <a:scrgbClr r="0" g="0" b="0"/>
                        </a:effectRef>
                        <a:fontRef idx="minor"/>
                      </wps:style>
                      <wps:txbx>
                        <w:txbxContent>
                          <w:p w14:paraId="04AAC419" w14:textId="77777777" w:rsidR="00646B26" w:rsidRDefault="00646B26" w:rsidP="00646B26">
                            <w:pPr>
                              <w:pStyle w:val="TableContents"/>
                              <w:rPr>
                                <w:color w:val="000000"/>
                              </w:rPr>
                            </w:pPr>
                            <w:r>
                              <w:rPr>
                                <w:color w:val="000000"/>
                              </w:rPr>
                              <w:t>Note: This flow chart illustrates the governance mechanisms (board composition, CEO Tenure, remuneration policy, board committee composition, enforcement approach) across four codes (CAMA 2020, NCCG 2018, CBM CG Guidelines 2023, SEC Code 2011), highlighting conflicts that contribute to Regulatory ambiguity. Adapted from Central Bank of Nigeria (2023), Financial Reporting Council of Nigeria (2018), Companies and allied matters act (2020), and Securities and Exchange Commission (2011)</w:t>
                            </w:r>
                          </w:p>
                        </w:txbxContent>
                      </wps:txbx>
                      <wps:bodyPr anchor="t">
                        <a:noAutofit/>
                      </wps:bodyPr>
                    </wps:wsp>
                  </a:graphicData>
                </a:graphic>
              </wp:anchor>
            </w:drawing>
          </mc:Choice>
          <mc:Fallback>
            <w:pict>
              <v:rect w14:anchorId="254E4117" id="Text Box 5" o:spid="_x0000_s1027" style="position:absolute;left:0;text-align:left;margin-left:-12.65pt;margin-top:408pt;width:705.7pt;height:111.85pt;z-index:251661312;visibility:visible;mso-wrap-style:square;mso-wrap-distance-left:0;mso-wrap-distance-top:.05pt;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" filled="f" stroked="f" strokeweight=".18mm">
                <v:textbox>
                  <w:txbxContent>
                    <w:p w14:paraId="04AAC419" w14:textId="77777777" w:rsidR="00646B26" w:rsidRDefault="00646B26" w:rsidP="00646B26">
                      <w:pPr>
                        <w:pStyle w:val="TableContents"/>
                        <w:rPr>
                          <w:color w:val="000000"/>
                        </w:rPr>
                      </w:pPr>
                      <w:r>
                        <w:rPr>
                          <w:color w:val="000000"/>
                        </w:rPr>
                        <w:t>Note: This flow chart illustrates the governance mechanisms (board composition, CEO Tenure, remuneration policy, board committee composition, enforcement approach) across four codes (CAMA 2020, NCCG 2018, CBM CG Guidelines 2023, SEC Code 2011), highlighting conflicts that contribute to Regulatory ambiguity. Adapted from Central Bank of Nigeria (2023), Financial Reporting Council of Nigeria (2018), Companies and allied matters act (2020), and Securities and Exchange Commission (2011)</w:t>
                      </w:r>
                    </w:p>
                  </w:txbxContent>
                </v:textbox>
              </v:rect>
            </w:pict>
          </mc:Fallback>
        </mc:AlternateContent>
      </w:r>
    </w:p>
    <w:p w14:paraId="006A70CD" w14:textId="77777777" w:rsidR="00646B26" w:rsidRPr="005457F2" w:rsidRDefault="00646B26" w:rsidP="00646B26">
      <w:pPr>
        <w:sectPr w:rsidR="00646B26" w:rsidRPr="005457F2" w:rsidSect="00646B26">
          <w:footerReference w:type="even" r:id="rId11"/>
          <w:footerReference w:type="default" r:id="rId12"/>
          <w:footerReference w:type="first" r:id="rId13"/>
          <w:pgSz w:w="12240" w:h="15840"/>
          <w:pgMar w:top="1134" w:right="1134" w:bottom="1134" w:left="1134" w:header="0" w:footer="0" w:gutter="0"/>
          <w:cols w:space="720"/>
          <w:formProt w:val="0"/>
          <w:docGrid w:linePitch="326"/>
        </w:sectPr>
      </w:pPr>
      <w:r w:rsidRPr="005457F2">
        <w:lastRenderedPageBreak/>
        <w:t>The persistence of conflicting regulatory frameworks not only disrupts the day-to-day operations of Nigerian deposit money banks but also poses systemic risks to their long-term stability and resilience. Addressing these challenges forms a key focus of this research, particularly in exploring how governance mechanisms—such as audit committee independence and regulatory clarity and enforcement consistency—influence the risk of bank default within the context of regulatory multiplicity in the Nigerian deposit money banking industry. These governance structures are vital tools for mitigating agency problems and reinforcing internal controls, which remain crucial within a financial sector characterized by overlapping and occasionally contradictory regulatory requirements (See Figure 1.2 below).</w:t>
      </w:r>
    </w:p>
    <w:tbl>
      <w:tblPr>
        <w:tblpPr w:leftFromText="180" w:rightFromText="180" w:vertAnchor="text" w:horzAnchor="margin" w:tblpY="457"/>
        <w:tblW w:w="13556" w:type="dxa"/>
        <w:tblLayout w:type="fixed"/>
        <w:tblCellMar>
          <w:top w:w="28" w:type="dxa"/>
          <w:left w:w="28" w:type="dxa"/>
          <w:bottom w:w="28" w:type="dxa"/>
          <w:right w:w="28" w:type="dxa"/>
        </w:tblCellMar>
        <w:tblLook w:val="04A0" w:firstRow="1" w:lastRow="0" w:firstColumn="1" w:lastColumn="0" w:noHBand="0" w:noVBand="1"/>
      </w:tblPr>
      <w:tblGrid>
        <w:gridCol w:w="1858"/>
        <w:gridCol w:w="1109"/>
        <w:gridCol w:w="2607"/>
        <w:gridCol w:w="1728"/>
        <w:gridCol w:w="2131"/>
        <w:gridCol w:w="1974"/>
        <w:gridCol w:w="2149"/>
      </w:tblGrid>
      <w:tr w:rsidR="00646B26" w14:paraId="400BB707" w14:textId="77777777" w:rsidTr="00727D26">
        <w:tc>
          <w:tcPr>
            <w:tcW w:w="1858" w:type="dxa"/>
            <w:tcBorders>
              <w:top w:val="single" w:sz="6" w:space="0" w:color="333639"/>
              <w:left w:val="single" w:sz="6" w:space="0" w:color="333639"/>
              <w:bottom w:val="single" w:sz="6" w:space="0" w:color="333639"/>
              <w:right w:val="single" w:sz="6" w:space="0" w:color="333639"/>
            </w:tcBorders>
            <w:vAlign w:val="center"/>
          </w:tcPr>
          <w:p w14:paraId="0E760F4A" w14:textId="77777777" w:rsidR="00646B26" w:rsidRDefault="00646B26" w:rsidP="00727D26">
            <w:pPr>
              <w:pStyle w:val="TableContents"/>
            </w:pPr>
            <w:r>
              <w:lastRenderedPageBreak/>
              <w:t>Code/Regulation</w:t>
            </w:r>
          </w:p>
        </w:tc>
        <w:tc>
          <w:tcPr>
            <w:tcW w:w="1109" w:type="dxa"/>
            <w:tcBorders>
              <w:top w:val="single" w:sz="6" w:space="0" w:color="333639"/>
              <w:left w:val="single" w:sz="6" w:space="0" w:color="333639"/>
              <w:bottom w:val="single" w:sz="6" w:space="0" w:color="333639"/>
              <w:right w:val="single" w:sz="6" w:space="0" w:color="333639"/>
            </w:tcBorders>
            <w:vAlign w:val="center"/>
          </w:tcPr>
          <w:p w14:paraId="623540CE" w14:textId="77777777" w:rsidR="00646B26" w:rsidRDefault="00646B26" w:rsidP="00727D26">
            <w:pPr>
              <w:pStyle w:val="TableContents"/>
            </w:pPr>
            <w:r>
              <w:t>Regulator</w:t>
            </w:r>
          </w:p>
        </w:tc>
        <w:tc>
          <w:tcPr>
            <w:tcW w:w="2607" w:type="dxa"/>
            <w:tcBorders>
              <w:top w:val="single" w:sz="6" w:space="0" w:color="333639"/>
              <w:left w:val="single" w:sz="6" w:space="0" w:color="333639"/>
              <w:bottom w:val="single" w:sz="6" w:space="0" w:color="333639"/>
              <w:right w:val="single" w:sz="6" w:space="0" w:color="333639"/>
            </w:tcBorders>
            <w:vAlign w:val="center"/>
          </w:tcPr>
          <w:p w14:paraId="300409A6" w14:textId="77777777" w:rsidR="00646B26" w:rsidRDefault="00646B26" w:rsidP="00727D26">
            <w:pPr>
              <w:pStyle w:val="TableContents"/>
            </w:pPr>
            <w:r>
              <w:t>Board Composition</w:t>
            </w:r>
          </w:p>
        </w:tc>
        <w:tc>
          <w:tcPr>
            <w:tcW w:w="1728" w:type="dxa"/>
            <w:tcBorders>
              <w:top w:val="single" w:sz="6" w:space="0" w:color="333639"/>
              <w:left w:val="single" w:sz="6" w:space="0" w:color="333639"/>
              <w:bottom w:val="single" w:sz="6" w:space="0" w:color="333639"/>
              <w:right w:val="single" w:sz="6" w:space="0" w:color="333639"/>
            </w:tcBorders>
            <w:vAlign w:val="center"/>
          </w:tcPr>
          <w:p w14:paraId="25F2E944" w14:textId="77777777" w:rsidR="00646B26" w:rsidRDefault="00646B26" w:rsidP="00727D26">
            <w:pPr>
              <w:pStyle w:val="TableContents"/>
            </w:pPr>
            <w:r>
              <w:t>CEO Tenure</w:t>
            </w:r>
          </w:p>
        </w:tc>
        <w:tc>
          <w:tcPr>
            <w:tcW w:w="2131" w:type="dxa"/>
            <w:tcBorders>
              <w:top w:val="single" w:sz="6" w:space="0" w:color="333639"/>
              <w:left w:val="single" w:sz="6" w:space="0" w:color="333639"/>
              <w:bottom w:val="single" w:sz="6" w:space="0" w:color="333639"/>
              <w:right w:val="single" w:sz="6" w:space="0" w:color="333639"/>
            </w:tcBorders>
            <w:vAlign w:val="center"/>
          </w:tcPr>
          <w:p w14:paraId="72EBA5E0" w14:textId="77777777" w:rsidR="00646B26" w:rsidRDefault="00646B26" w:rsidP="00727D26">
            <w:pPr>
              <w:pStyle w:val="TableContents"/>
            </w:pPr>
            <w:r>
              <w:t>Remuneration Policy</w:t>
            </w:r>
          </w:p>
        </w:tc>
        <w:tc>
          <w:tcPr>
            <w:tcW w:w="1974" w:type="dxa"/>
            <w:tcBorders>
              <w:top w:val="single" w:sz="6" w:space="0" w:color="333639"/>
              <w:left w:val="single" w:sz="6" w:space="0" w:color="333639"/>
              <w:bottom w:val="single" w:sz="6" w:space="0" w:color="333639"/>
              <w:right w:val="single" w:sz="6" w:space="0" w:color="333639"/>
            </w:tcBorders>
            <w:vAlign w:val="center"/>
          </w:tcPr>
          <w:p w14:paraId="554769DA" w14:textId="77777777" w:rsidR="00646B26" w:rsidRDefault="00646B26" w:rsidP="00727D26">
            <w:pPr>
              <w:pStyle w:val="TableContents"/>
            </w:pPr>
            <w:r>
              <w:t>Board Committee Composition</w:t>
            </w:r>
          </w:p>
        </w:tc>
        <w:tc>
          <w:tcPr>
            <w:tcW w:w="2149" w:type="dxa"/>
            <w:tcBorders>
              <w:top w:val="single" w:sz="6" w:space="0" w:color="333639"/>
              <w:left w:val="single" w:sz="6" w:space="0" w:color="333639"/>
              <w:bottom w:val="single" w:sz="6" w:space="0" w:color="333639"/>
              <w:right w:val="single" w:sz="6" w:space="0" w:color="333639"/>
            </w:tcBorders>
            <w:vAlign w:val="center"/>
          </w:tcPr>
          <w:p w14:paraId="2FB4A431" w14:textId="77777777" w:rsidR="00646B26" w:rsidRDefault="00646B26" w:rsidP="00727D26">
            <w:pPr>
              <w:pStyle w:val="TableContents"/>
            </w:pPr>
            <w:r>
              <w:t>Enforcement Approach</w:t>
            </w:r>
          </w:p>
        </w:tc>
      </w:tr>
      <w:tr w:rsidR="00646B26" w14:paraId="2FCF7982" w14:textId="77777777" w:rsidTr="00727D26">
        <w:tc>
          <w:tcPr>
            <w:tcW w:w="1858" w:type="dxa"/>
            <w:tcBorders>
              <w:top w:val="single" w:sz="6" w:space="0" w:color="333639"/>
              <w:left w:val="single" w:sz="6" w:space="0" w:color="333639"/>
              <w:bottom w:val="single" w:sz="6" w:space="0" w:color="333639"/>
              <w:right w:val="single" w:sz="6" w:space="0" w:color="333639"/>
            </w:tcBorders>
            <w:vAlign w:val="center"/>
          </w:tcPr>
          <w:p w14:paraId="1C796F79" w14:textId="77777777" w:rsidR="00646B26" w:rsidRDefault="00646B26" w:rsidP="00727D26">
            <w:pPr>
              <w:pStyle w:val="TableContents"/>
            </w:pPr>
            <w:r>
              <w:t>CAMA 2020</w:t>
            </w:r>
          </w:p>
        </w:tc>
        <w:tc>
          <w:tcPr>
            <w:tcW w:w="1109" w:type="dxa"/>
            <w:tcBorders>
              <w:top w:val="single" w:sz="6" w:space="0" w:color="333639"/>
              <w:left w:val="single" w:sz="6" w:space="0" w:color="333639"/>
              <w:bottom w:val="single" w:sz="6" w:space="0" w:color="333639"/>
              <w:right w:val="single" w:sz="6" w:space="0" w:color="333639"/>
            </w:tcBorders>
            <w:vAlign w:val="center"/>
          </w:tcPr>
          <w:p w14:paraId="79B625F5" w14:textId="77777777" w:rsidR="00646B26" w:rsidRDefault="00646B26" w:rsidP="00727D26">
            <w:pPr>
              <w:pStyle w:val="TableContents"/>
            </w:pPr>
            <w:r>
              <w:t>CAC</w:t>
            </w:r>
          </w:p>
        </w:tc>
        <w:tc>
          <w:tcPr>
            <w:tcW w:w="2607" w:type="dxa"/>
            <w:tcBorders>
              <w:top w:val="single" w:sz="6" w:space="0" w:color="333639"/>
              <w:left w:val="single" w:sz="6" w:space="0" w:color="333639"/>
              <w:bottom w:val="single" w:sz="6" w:space="0" w:color="333639"/>
              <w:right w:val="single" w:sz="6" w:space="0" w:color="333639"/>
            </w:tcBorders>
            <w:vAlign w:val="center"/>
          </w:tcPr>
          <w:p w14:paraId="5BDB2043" w14:textId="77777777" w:rsidR="00646B26" w:rsidRDefault="00646B26" w:rsidP="00727D26">
            <w:pPr>
              <w:pStyle w:val="TableContents"/>
            </w:pPr>
            <w:r>
              <w:t>≥2 directors; public companies need ≥1/3 INEDs (Sect. 275).</w:t>
            </w:r>
          </w:p>
        </w:tc>
        <w:tc>
          <w:tcPr>
            <w:tcW w:w="1728" w:type="dxa"/>
            <w:tcBorders>
              <w:top w:val="single" w:sz="6" w:space="0" w:color="333639"/>
              <w:left w:val="single" w:sz="6" w:space="0" w:color="333639"/>
              <w:bottom w:val="single" w:sz="6" w:space="0" w:color="333639"/>
              <w:right w:val="single" w:sz="6" w:space="0" w:color="333639"/>
            </w:tcBorders>
            <w:vAlign w:val="center"/>
          </w:tcPr>
          <w:p w14:paraId="007198B7" w14:textId="77777777" w:rsidR="00646B26" w:rsidRDefault="00646B26" w:rsidP="00727D26">
            <w:pPr>
              <w:pStyle w:val="TableContents"/>
            </w:pPr>
            <w:r>
              <w:t>Not specified.</w:t>
            </w:r>
          </w:p>
        </w:tc>
        <w:tc>
          <w:tcPr>
            <w:tcW w:w="2131" w:type="dxa"/>
            <w:tcBorders>
              <w:top w:val="single" w:sz="6" w:space="0" w:color="333639"/>
              <w:left w:val="single" w:sz="6" w:space="0" w:color="333639"/>
              <w:bottom w:val="single" w:sz="6" w:space="0" w:color="333639"/>
              <w:right w:val="single" w:sz="6" w:space="0" w:color="333639"/>
            </w:tcBorders>
            <w:vAlign w:val="center"/>
          </w:tcPr>
          <w:p w14:paraId="20FC46F3" w14:textId="77777777" w:rsidR="00646B26" w:rsidRDefault="00646B26" w:rsidP="00727D26">
            <w:pPr>
              <w:pStyle w:val="TableContents"/>
            </w:pPr>
            <w:r>
              <w:t>Set by shareholders at AGM (Sect. 267); disclosed in reports (Sect. 238).</w:t>
            </w:r>
          </w:p>
        </w:tc>
        <w:tc>
          <w:tcPr>
            <w:tcW w:w="1974" w:type="dxa"/>
            <w:tcBorders>
              <w:top w:val="single" w:sz="6" w:space="0" w:color="333639"/>
              <w:left w:val="single" w:sz="6" w:space="0" w:color="333639"/>
              <w:bottom w:val="single" w:sz="6" w:space="0" w:color="333639"/>
              <w:right w:val="single" w:sz="6" w:space="0" w:color="333639"/>
            </w:tcBorders>
            <w:vAlign w:val="center"/>
          </w:tcPr>
          <w:p w14:paraId="093AA10A" w14:textId="77777777" w:rsidR="00646B26" w:rsidRDefault="00646B26" w:rsidP="00727D26">
            <w:pPr>
              <w:pStyle w:val="TableContents"/>
            </w:pPr>
            <w:r>
              <w:t>Audit committee mandatory (dir. + shareholders) (Sect. 404).</w:t>
            </w:r>
          </w:p>
        </w:tc>
        <w:tc>
          <w:tcPr>
            <w:tcW w:w="2149" w:type="dxa"/>
            <w:tcBorders>
              <w:top w:val="single" w:sz="6" w:space="0" w:color="333639"/>
              <w:left w:val="single" w:sz="6" w:space="0" w:color="333639"/>
              <w:bottom w:val="single" w:sz="6" w:space="0" w:color="333639"/>
              <w:right w:val="single" w:sz="6" w:space="0" w:color="333639"/>
            </w:tcBorders>
            <w:vAlign w:val="center"/>
          </w:tcPr>
          <w:p w14:paraId="2940A38F" w14:textId="77777777" w:rsidR="00646B26" w:rsidRDefault="00646B26" w:rsidP="00727D26">
            <w:pPr>
              <w:pStyle w:val="TableContents"/>
            </w:pPr>
            <w:r>
              <w:t>Legal enforcement; fines (e.g., Sect. 417); court interventions (Sect. 344).</w:t>
            </w:r>
          </w:p>
        </w:tc>
      </w:tr>
      <w:tr w:rsidR="00646B26" w14:paraId="0B5BCA2C" w14:textId="77777777" w:rsidTr="00727D26">
        <w:trPr>
          <w:trHeight w:val="1317"/>
        </w:trPr>
        <w:tc>
          <w:tcPr>
            <w:tcW w:w="1858" w:type="dxa"/>
            <w:tcBorders>
              <w:top w:val="single" w:sz="6" w:space="0" w:color="333639"/>
              <w:left w:val="single" w:sz="6" w:space="0" w:color="333639"/>
              <w:bottom w:val="single" w:sz="6" w:space="0" w:color="333639"/>
              <w:right w:val="single" w:sz="6" w:space="0" w:color="333639"/>
            </w:tcBorders>
            <w:vAlign w:val="center"/>
          </w:tcPr>
          <w:p w14:paraId="4575362C" w14:textId="77777777" w:rsidR="00646B26" w:rsidRDefault="00646B26" w:rsidP="00727D26">
            <w:pPr>
              <w:pStyle w:val="TableContents"/>
            </w:pPr>
            <w:r>
              <w:t>NCCG 2018</w:t>
            </w:r>
          </w:p>
        </w:tc>
        <w:tc>
          <w:tcPr>
            <w:tcW w:w="1109" w:type="dxa"/>
            <w:tcBorders>
              <w:top w:val="single" w:sz="6" w:space="0" w:color="333639"/>
              <w:left w:val="single" w:sz="6" w:space="0" w:color="333639"/>
              <w:bottom w:val="single" w:sz="6" w:space="0" w:color="333639"/>
              <w:right w:val="single" w:sz="6" w:space="0" w:color="333639"/>
            </w:tcBorders>
            <w:vAlign w:val="center"/>
          </w:tcPr>
          <w:p w14:paraId="3CAC122F" w14:textId="77777777" w:rsidR="00646B26" w:rsidRDefault="00646B26" w:rsidP="00727D26">
            <w:pPr>
              <w:pStyle w:val="TableContents"/>
            </w:pPr>
            <w:r>
              <w:t>FRCN</w:t>
            </w:r>
          </w:p>
        </w:tc>
        <w:tc>
          <w:tcPr>
            <w:tcW w:w="2607" w:type="dxa"/>
            <w:tcBorders>
              <w:top w:val="single" w:sz="6" w:space="0" w:color="333639"/>
              <w:left w:val="single" w:sz="6" w:space="0" w:color="333639"/>
              <w:bottom w:val="single" w:sz="6" w:space="0" w:color="333639"/>
              <w:right w:val="single" w:sz="6" w:space="0" w:color="333639"/>
            </w:tcBorders>
            <w:vAlign w:val="center"/>
          </w:tcPr>
          <w:p w14:paraId="30426F4A" w14:textId="77777777" w:rsidR="00646B26" w:rsidRDefault="00646B26" w:rsidP="00727D26">
            <w:pPr>
              <w:pStyle w:val="TableContents"/>
            </w:pPr>
            <w:r>
              <w:t>Majority NEDs, most INEDs; diversity emphasized (Princ. 2-3).</w:t>
            </w:r>
          </w:p>
        </w:tc>
        <w:tc>
          <w:tcPr>
            <w:tcW w:w="1728" w:type="dxa"/>
            <w:tcBorders>
              <w:top w:val="single" w:sz="6" w:space="0" w:color="333639"/>
              <w:left w:val="single" w:sz="6" w:space="0" w:color="333639"/>
              <w:bottom w:val="single" w:sz="6" w:space="0" w:color="333639"/>
              <w:right w:val="single" w:sz="6" w:space="0" w:color="333639"/>
            </w:tcBorders>
            <w:vAlign w:val="center"/>
          </w:tcPr>
          <w:p w14:paraId="7FB43808" w14:textId="77777777" w:rsidR="00646B26" w:rsidRDefault="00646B26" w:rsidP="00727D26">
            <w:pPr>
              <w:pStyle w:val="TableContents"/>
            </w:pPr>
            <w:r>
              <w:t>Board discretion; INEDs max 3 terms (3 yrs each) (Princ. 7).</w:t>
            </w:r>
          </w:p>
        </w:tc>
        <w:tc>
          <w:tcPr>
            <w:tcW w:w="2131" w:type="dxa"/>
            <w:tcBorders>
              <w:top w:val="single" w:sz="6" w:space="0" w:color="333639"/>
              <w:left w:val="single" w:sz="6" w:space="0" w:color="333639"/>
              <w:bottom w:val="single" w:sz="6" w:space="0" w:color="333639"/>
              <w:right w:val="single" w:sz="6" w:space="0" w:color="333639"/>
            </w:tcBorders>
            <w:vAlign w:val="center"/>
          </w:tcPr>
          <w:p w14:paraId="3FD6760E" w14:textId="77777777" w:rsidR="00646B26" w:rsidRDefault="00646B26" w:rsidP="00727D26">
            <w:pPr>
              <w:pStyle w:val="TableContents"/>
            </w:pPr>
            <w:r>
              <w:t>Long-term aligned; disclosed; Rem. committee (NED-chaired) (Princ. 17, 9).</w:t>
            </w:r>
          </w:p>
        </w:tc>
        <w:tc>
          <w:tcPr>
            <w:tcW w:w="1974" w:type="dxa"/>
            <w:tcBorders>
              <w:top w:val="single" w:sz="6" w:space="0" w:color="333639"/>
              <w:left w:val="single" w:sz="6" w:space="0" w:color="333639"/>
              <w:bottom w:val="single" w:sz="6" w:space="0" w:color="333639"/>
              <w:right w:val="single" w:sz="6" w:space="0" w:color="333639"/>
            </w:tcBorders>
            <w:vAlign w:val="center"/>
          </w:tcPr>
          <w:p w14:paraId="217BC730" w14:textId="77777777" w:rsidR="00646B26" w:rsidRDefault="00646B26" w:rsidP="00727D26">
            <w:pPr>
              <w:pStyle w:val="TableContents"/>
            </w:pPr>
            <w:r>
              <w:t>Audit, Risk, Nom., Rem.; NED-chaired (Princ. 8).</w:t>
            </w:r>
          </w:p>
        </w:tc>
        <w:tc>
          <w:tcPr>
            <w:tcW w:w="2149" w:type="dxa"/>
            <w:tcBorders>
              <w:top w:val="single" w:sz="6" w:space="0" w:color="333639"/>
              <w:left w:val="single" w:sz="6" w:space="0" w:color="333639"/>
              <w:bottom w:val="single" w:sz="6" w:space="0" w:color="333639"/>
              <w:right w:val="single" w:sz="6" w:space="0" w:color="333639"/>
            </w:tcBorders>
            <w:vAlign w:val="center"/>
          </w:tcPr>
          <w:p w14:paraId="24953695" w14:textId="77777777" w:rsidR="00646B26" w:rsidRDefault="00646B26" w:rsidP="00727D26">
            <w:pPr>
              <w:pStyle w:val="TableContents"/>
            </w:pPr>
            <w:r>
              <w:t>“Apply and Explain”; FRCN monitors; CBN enforces for banks (Princ. 28).</w:t>
            </w:r>
          </w:p>
        </w:tc>
      </w:tr>
      <w:tr w:rsidR="00646B26" w14:paraId="2F61C03F" w14:textId="77777777" w:rsidTr="00727D26">
        <w:tc>
          <w:tcPr>
            <w:tcW w:w="1858" w:type="dxa"/>
            <w:tcBorders>
              <w:top w:val="single" w:sz="6" w:space="0" w:color="333639"/>
              <w:left w:val="single" w:sz="6" w:space="0" w:color="333639"/>
              <w:bottom w:val="single" w:sz="6" w:space="0" w:color="333639"/>
              <w:right w:val="single" w:sz="6" w:space="0" w:color="333639"/>
            </w:tcBorders>
            <w:vAlign w:val="center"/>
          </w:tcPr>
          <w:p w14:paraId="5B67BDDE" w14:textId="77777777" w:rsidR="00646B26" w:rsidRDefault="00646B26" w:rsidP="00727D26">
            <w:pPr>
              <w:pStyle w:val="TableContents"/>
            </w:pPr>
            <w:r>
              <w:t>CBN CG Guidelines 2023</w:t>
            </w:r>
          </w:p>
        </w:tc>
        <w:tc>
          <w:tcPr>
            <w:tcW w:w="1109" w:type="dxa"/>
            <w:tcBorders>
              <w:top w:val="single" w:sz="6" w:space="0" w:color="333639"/>
              <w:left w:val="single" w:sz="6" w:space="0" w:color="333639"/>
              <w:bottom w:val="single" w:sz="6" w:space="0" w:color="333639"/>
              <w:right w:val="single" w:sz="6" w:space="0" w:color="333639"/>
            </w:tcBorders>
            <w:vAlign w:val="center"/>
          </w:tcPr>
          <w:p w14:paraId="35EBDD38" w14:textId="77777777" w:rsidR="00646B26" w:rsidRDefault="00646B26" w:rsidP="00727D26">
            <w:pPr>
              <w:pStyle w:val="TableContents"/>
            </w:pPr>
            <w:r>
              <w:t>CBN</w:t>
            </w:r>
          </w:p>
        </w:tc>
        <w:tc>
          <w:tcPr>
            <w:tcW w:w="2607" w:type="dxa"/>
            <w:tcBorders>
              <w:top w:val="single" w:sz="6" w:space="0" w:color="333639"/>
              <w:left w:val="single" w:sz="6" w:space="0" w:color="333639"/>
              <w:bottom w:val="single" w:sz="6" w:space="0" w:color="333639"/>
              <w:right w:val="single" w:sz="6" w:space="0" w:color="333639"/>
            </w:tcBorders>
            <w:vAlign w:val="center"/>
          </w:tcPr>
          <w:p w14:paraId="34927294" w14:textId="77777777" w:rsidR="00646B26" w:rsidRDefault="00646B26" w:rsidP="00727D26">
            <w:pPr>
              <w:pStyle w:val="TableContents"/>
            </w:pPr>
            <w:r>
              <w:t>7-15 directors (CMNIBs), 7-13 (PSBs); NEDs &gt; EDs; ≥3 INEDs (intl./natl.); 2 fintech/ICT NEDs; ≤2 family members (Sect. 4).</w:t>
            </w:r>
          </w:p>
        </w:tc>
        <w:tc>
          <w:tcPr>
            <w:tcW w:w="1728" w:type="dxa"/>
            <w:tcBorders>
              <w:top w:val="single" w:sz="6" w:space="0" w:color="333639"/>
              <w:left w:val="single" w:sz="6" w:space="0" w:color="333639"/>
              <w:bottom w:val="single" w:sz="6" w:space="0" w:color="333639"/>
              <w:right w:val="single" w:sz="6" w:space="0" w:color="333639"/>
            </w:tcBorders>
            <w:vAlign w:val="center"/>
          </w:tcPr>
          <w:p w14:paraId="71426B4F" w14:textId="77777777" w:rsidR="00646B26" w:rsidRDefault="00646B26" w:rsidP="00727D26">
            <w:pPr>
              <w:pStyle w:val="TableContents"/>
            </w:pPr>
            <w:r>
              <w:t>MD/CEO max 12 yrs, 24-yr cap total; 2-yr cooling-off (Sect. 8.1, 7.1).</w:t>
            </w:r>
          </w:p>
        </w:tc>
        <w:tc>
          <w:tcPr>
            <w:tcW w:w="2131" w:type="dxa"/>
            <w:tcBorders>
              <w:top w:val="single" w:sz="6" w:space="0" w:color="333639"/>
              <w:left w:val="single" w:sz="6" w:space="0" w:color="333639"/>
              <w:bottom w:val="single" w:sz="6" w:space="0" w:color="333639"/>
              <w:right w:val="single" w:sz="6" w:space="0" w:color="333639"/>
            </w:tcBorders>
            <w:vAlign w:val="center"/>
          </w:tcPr>
          <w:p w14:paraId="1C1BA3D9" w14:textId="77777777" w:rsidR="00646B26" w:rsidRDefault="00646B26" w:rsidP="00727D26">
            <w:pPr>
              <w:pStyle w:val="TableContents"/>
            </w:pPr>
            <w:proofErr w:type="gramStart"/>
            <w:r>
              <w:t>Perf.-</w:t>
            </w:r>
            <w:proofErr w:type="gramEnd"/>
            <w:r>
              <w:t>linked for EDs; NEDs fees only; disclosed (Sect. 11).</w:t>
            </w:r>
          </w:p>
        </w:tc>
        <w:tc>
          <w:tcPr>
            <w:tcW w:w="1974" w:type="dxa"/>
            <w:tcBorders>
              <w:top w:val="single" w:sz="6" w:space="0" w:color="333639"/>
              <w:left w:val="single" w:sz="6" w:space="0" w:color="333639"/>
              <w:bottom w:val="single" w:sz="6" w:space="0" w:color="333639"/>
              <w:right w:val="single" w:sz="6" w:space="0" w:color="333639"/>
            </w:tcBorders>
            <w:vAlign w:val="center"/>
          </w:tcPr>
          <w:p w14:paraId="6B696FC1" w14:textId="77777777" w:rsidR="00646B26" w:rsidRDefault="00646B26" w:rsidP="00727D26">
            <w:pPr>
              <w:pStyle w:val="TableContents"/>
            </w:pPr>
            <w:r>
              <w:t>Audit, Risk, Nom., Rem., Credit, ICT INED-chaired (Audit, Nom.) (Sect. 7).</w:t>
            </w:r>
          </w:p>
        </w:tc>
        <w:tc>
          <w:tcPr>
            <w:tcW w:w="2149" w:type="dxa"/>
            <w:tcBorders>
              <w:top w:val="single" w:sz="6" w:space="0" w:color="333639"/>
              <w:left w:val="single" w:sz="6" w:space="0" w:color="333639"/>
              <w:bottom w:val="single" w:sz="6" w:space="0" w:color="333639"/>
              <w:right w:val="single" w:sz="6" w:space="0" w:color="333639"/>
            </w:tcBorders>
            <w:vAlign w:val="center"/>
          </w:tcPr>
          <w:p w14:paraId="46F13A98" w14:textId="77777777" w:rsidR="00646B26" w:rsidRDefault="00646B26" w:rsidP="00727D26">
            <w:pPr>
              <w:pStyle w:val="TableContents"/>
            </w:pPr>
            <w:r>
              <w:t>Mandatory; fines, board dissolution (e.g., 2024 cases); risk-based supervision (BOFIA 2020).</w:t>
            </w:r>
          </w:p>
        </w:tc>
      </w:tr>
      <w:tr w:rsidR="00646B26" w14:paraId="7AA60546" w14:textId="77777777" w:rsidTr="00727D26">
        <w:trPr>
          <w:trHeight w:val="1305"/>
        </w:trPr>
        <w:tc>
          <w:tcPr>
            <w:tcW w:w="1858" w:type="dxa"/>
            <w:tcBorders>
              <w:top w:val="single" w:sz="6" w:space="0" w:color="333639"/>
              <w:left w:val="single" w:sz="6" w:space="0" w:color="333639"/>
              <w:bottom w:val="single" w:sz="6" w:space="0" w:color="333639"/>
              <w:right w:val="single" w:sz="6" w:space="0" w:color="333639"/>
            </w:tcBorders>
            <w:vAlign w:val="center"/>
          </w:tcPr>
          <w:p w14:paraId="5419015C" w14:textId="77777777" w:rsidR="00646B26" w:rsidRDefault="00646B26" w:rsidP="00727D26">
            <w:pPr>
              <w:pStyle w:val="TableContents"/>
            </w:pPr>
            <w:r>
              <w:t>SEC Code 2011</w:t>
            </w:r>
          </w:p>
        </w:tc>
        <w:tc>
          <w:tcPr>
            <w:tcW w:w="1109" w:type="dxa"/>
            <w:tcBorders>
              <w:top w:val="single" w:sz="6" w:space="0" w:color="333639"/>
              <w:left w:val="single" w:sz="6" w:space="0" w:color="333639"/>
              <w:bottom w:val="single" w:sz="6" w:space="0" w:color="333639"/>
              <w:right w:val="single" w:sz="6" w:space="0" w:color="333639"/>
            </w:tcBorders>
            <w:vAlign w:val="center"/>
          </w:tcPr>
          <w:p w14:paraId="5E560368" w14:textId="77777777" w:rsidR="00646B26" w:rsidRDefault="00646B26" w:rsidP="00727D26">
            <w:pPr>
              <w:pStyle w:val="TableContents"/>
            </w:pPr>
            <w:r>
              <w:t>SEC</w:t>
            </w:r>
          </w:p>
        </w:tc>
        <w:tc>
          <w:tcPr>
            <w:tcW w:w="2607" w:type="dxa"/>
            <w:tcBorders>
              <w:top w:val="single" w:sz="6" w:space="0" w:color="333639"/>
              <w:left w:val="single" w:sz="6" w:space="0" w:color="333639"/>
              <w:bottom w:val="single" w:sz="6" w:space="0" w:color="333639"/>
              <w:right w:val="single" w:sz="6" w:space="0" w:color="333639"/>
            </w:tcBorders>
            <w:vAlign w:val="center"/>
          </w:tcPr>
          <w:p w14:paraId="24CD9695" w14:textId="77777777" w:rsidR="00646B26" w:rsidRDefault="00646B26" w:rsidP="00727D26">
            <w:pPr>
              <w:pStyle w:val="TableContents"/>
            </w:pPr>
            <w:r>
              <w:t>≥1 INED; ≤2 family members; separate Chairman/CEO (Sect. 5).</w:t>
            </w:r>
          </w:p>
        </w:tc>
        <w:tc>
          <w:tcPr>
            <w:tcW w:w="1728" w:type="dxa"/>
            <w:tcBorders>
              <w:top w:val="single" w:sz="6" w:space="0" w:color="333639"/>
              <w:left w:val="single" w:sz="6" w:space="0" w:color="333639"/>
              <w:bottom w:val="single" w:sz="6" w:space="0" w:color="333639"/>
              <w:right w:val="single" w:sz="6" w:space="0" w:color="333639"/>
            </w:tcBorders>
            <w:vAlign w:val="center"/>
          </w:tcPr>
          <w:p w14:paraId="7E1697E2" w14:textId="77777777" w:rsidR="00646B26" w:rsidRDefault="00646B26" w:rsidP="00727D26">
            <w:pPr>
              <w:pStyle w:val="TableContents"/>
            </w:pPr>
            <w:r>
              <w:t>Not specified; succession planning encouraged (Sect. 7).</w:t>
            </w:r>
          </w:p>
        </w:tc>
        <w:tc>
          <w:tcPr>
            <w:tcW w:w="2131" w:type="dxa"/>
            <w:tcBorders>
              <w:top w:val="single" w:sz="6" w:space="0" w:color="333639"/>
              <w:left w:val="single" w:sz="6" w:space="0" w:color="333639"/>
              <w:bottom w:val="single" w:sz="6" w:space="0" w:color="333639"/>
              <w:right w:val="single" w:sz="6" w:space="0" w:color="333639"/>
            </w:tcBorders>
            <w:vAlign w:val="center"/>
          </w:tcPr>
          <w:p w14:paraId="43CDBD6D" w14:textId="77777777" w:rsidR="00646B26" w:rsidRDefault="00646B26" w:rsidP="00727D26">
            <w:pPr>
              <w:pStyle w:val="TableContents"/>
            </w:pPr>
            <w:r>
              <w:t>Shareholder approval; Rem. committee (NEDs) (Sect. 14).</w:t>
            </w:r>
          </w:p>
        </w:tc>
        <w:tc>
          <w:tcPr>
            <w:tcW w:w="1974" w:type="dxa"/>
            <w:tcBorders>
              <w:top w:val="single" w:sz="6" w:space="0" w:color="333639"/>
              <w:left w:val="single" w:sz="6" w:space="0" w:color="333639"/>
              <w:bottom w:val="single" w:sz="6" w:space="0" w:color="333639"/>
              <w:right w:val="single" w:sz="6" w:space="0" w:color="333639"/>
            </w:tcBorders>
            <w:vAlign w:val="center"/>
          </w:tcPr>
          <w:p w14:paraId="46E8CFE5" w14:textId="77777777" w:rsidR="00646B26" w:rsidRDefault="00646B26" w:rsidP="00727D26">
            <w:pPr>
              <w:pStyle w:val="TableContents"/>
            </w:pPr>
            <w:r>
              <w:t>Audit (per CAMA), Nom., Rem.; NED-chaired (Sect. 9).</w:t>
            </w:r>
          </w:p>
        </w:tc>
        <w:tc>
          <w:tcPr>
            <w:tcW w:w="2149" w:type="dxa"/>
            <w:tcBorders>
              <w:top w:val="single" w:sz="6" w:space="0" w:color="333639"/>
              <w:left w:val="single" w:sz="6" w:space="0" w:color="333639"/>
              <w:bottom w:val="single" w:sz="6" w:space="0" w:color="333639"/>
              <w:right w:val="single" w:sz="6" w:space="0" w:color="333639"/>
            </w:tcBorders>
            <w:vAlign w:val="center"/>
          </w:tcPr>
          <w:p w14:paraId="6C7C611A" w14:textId="77777777" w:rsidR="00646B26" w:rsidRDefault="00646B26" w:rsidP="00727D26">
            <w:pPr>
              <w:pStyle w:val="TableContents"/>
            </w:pPr>
            <w:r>
              <w:t>Fines, delisting; SEC monitors; overlaps with CBN.</w:t>
            </w:r>
          </w:p>
        </w:tc>
      </w:tr>
    </w:tbl>
    <w:p w14:paraId="4E253EBF" w14:textId="77777777" w:rsidR="00646B26" w:rsidRDefault="00646B26" w:rsidP="00646B26">
      <w:pPr>
        <w:pStyle w:val="Caption"/>
        <w:rPr>
          <w:rFonts w:ascii="Arial" w:hAnsi="Arial" w:cs="Arial"/>
        </w:rPr>
      </w:pPr>
      <w:bookmarkStart w:id="11" w:name="_Toc203668383"/>
      <w:r>
        <w:t xml:space="preserve">Table </w:t>
      </w:r>
      <w:r>
        <w:fldChar w:fldCharType="begin"/>
      </w:r>
      <w:r>
        <w:instrText xml:space="preserve"> SEQ Table \* ARABIC </w:instrText>
      </w:r>
      <w:r>
        <w:fldChar w:fldCharType="separate"/>
      </w:r>
      <w:r>
        <w:t>1</w:t>
      </w:r>
      <w:r>
        <w:fldChar w:fldCharType="end"/>
      </w:r>
      <w:r>
        <w:t>: Corporate Governance Codes for Money Deposit Banks in Nigeria (2025)</w:t>
      </w:r>
      <w:bookmarkEnd w:id="11"/>
    </w:p>
    <w:p w14:paraId="05E50A05" w14:textId="77777777" w:rsidR="00646B26" w:rsidRDefault="00646B26" w:rsidP="00646B26"/>
    <w:p w14:paraId="3EBE131F" w14:textId="77777777" w:rsidR="00646B26" w:rsidRDefault="00646B26" w:rsidP="00646B26">
      <w:pPr>
        <w:sectPr w:rsidR="00646B26" w:rsidSect="00646B26">
          <w:footerReference w:type="even" r:id="rId14"/>
          <w:footerReference w:type="default" r:id="rId15"/>
          <w:footerReference w:type="first" r:id="rId16"/>
          <w:pgSz w:w="15840" w:h="12240" w:orient="landscape"/>
          <w:pgMar w:top="1134" w:right="1134" w:bottom="1134" w:left="1134" w:header="0" w:footer="0" w:gutter="0"/>
          <w:cols w:space="720"/>
          <w:formProt w:val="0"/>
          <w:docGrid w:linePitch="326"/>
        </w:sectPr>
      </w:pPr>
      <w:r>
        <w:t>Note: This table summarizes governance mechanisms across four codes (CAMA 2020, NCCG 2018, CBN CG Guidelines 2023, SEC Code 2011), highlighting conflicts in CEO tenure and enforcement approaches. Adapted from Central Bank of Nigeria (2023), Financial Reporting Council of Nigeria (2018), Companies and Allied Matters Act (2020), and Securities and Exchange Commission (2011)</w:t>
      </w:r>
    </w:p>
    <w:p w14:paraId="1CF053AC" w14:textId="77777777" w:rsidR="00646B26" w:rsidRDefault="00646B26" w:rsidP="00646B26">
      <w:pPr>
        <w:pStyle w:val="Heading4"/>
        <w:spacing w:before="0" w:after="283"/>
        <w:rPr>
          <w:rFonts w:eastAsia="Times New Roman" w:cs="Times New Roman"/>
        </w:rPr>
      </w:pPr>
      <w:r>
        <w:rPr>
          <w:rFonts w:eastAsia="Times New Roman" w:cs="Times New Roman"/>
        </w:rPr>
        <w:lastRenderedPageBreak/>
        <w:t>1.1.4: Bank governance challenges in Nigeria</w:t>
      </w:r>
    </w:p>
    <w:p w14:paraId="4AC6A4EE" w14:textId="77777777" w:rsidR="00646B26" w:rsidRDefault="00646B26" w:rsidP="00646B26">
      <w:pPr>
        <w:pStyle w:val="BodyText"/>
        <w:spacing w:line="480" w:lineRule="auto"/>
      </w:pPr>
      <w:r>
        <w:t>The historical evolution of corporate governance in Nigeria, particularly within the deposit money banking sector, is deeply intertwined with its pre-colonial and colonial legacies, highlighting a complex legal and institutional heritage that continues to shape its current challenges (Brennan, N. M., &amp; Solomon, J., 2008). Pre-colonial Nigeria consisted of distinct regional governance systems, such as those of the Hausa-Fulani, Yoruba, and Igbo, which operated through customary laws, monarchies, and communal structures. These frameworks, though informal by Western standards, were legitimate and effective systems for regulating trade, resolving disputes, and allocating resources (Altin, M., 2024; Elias, T. O., 2024). Businesses during this era were often family-owned or organized through community-based guilds, lacking the formal corporate governance structures seen today.</w:t>
      </w:r>
    </w:p>
    <w:p w14:paraId="41B2282F" w14:textId="77777777" w:rsidR="00646B26" w:rsidRDefault="00646B26" w:rsidP="00646B26">
      <w:pPr>
        <w:pStyle w:val="BodyText"/>
        <w:spacing w:line="480" w:lineRule="auto"/>
      </w:pPr>
      <w:r>
        <w:t>The colonial period (1861–1960) marked significant changes to Nigeria’s governance systems. British colonial administrators imposed foreign legal frameworks, such as the Companies Ordinance of 1912, modeled on the UK Companies Act (Agamah, M., 2024). These provisions were tailored to serve colonial enterprises like the Royal Niger Company and were exploitative in intent, prioritizing the colonial government’s agenda over the developmental needs of local businesses (Elias, T. O., 2024). They introduced Western corporate concepts, including limited liability and boards, but failed to integrate the socio-economic realities of Nigeria, disregarding indigenous governance systems and embedding a rigid legal template that persisted post-independence (Adegbite et al., 2012).</w:t>
      </w:r>
    </w:p>
    <w:p w14:paraId="6ABC783A" w14:textId="77777777" w:rsidR="00646B26" w:rsidRDefault="00646B26" w:rsidP="00646B26">
      <w:pPr>
        <w:pStyle w:val="BodyText"/>
        <w:spacing w:line="480" w:lineRule="auto"/>
      </w:pPr>
      <w:r>
        <w:t xml:space="preserve">Following independence in 1960, Nigeria inherited this colonial legal infrastructure, which presented significant challenges in developing a governance system aligned with its economic and institutional realities (Elias, T. O., 2024). Instead of replacing colonial laws entirely, policymakers amended and expanded the existing framework, as seen in the Companies Act of 1968 (later replaced by the </w:t>
      </w:r>
      <w:r>
        <w:lastRenderedPageBreak/>
        <w:t xml:space="preserve">Companies and Allied Matters Act, 2020, or CAMA). These adaptations aimed to modernize the governance structure to support a growing economy and attract foreign investment. However, gaps in institutional capacity and the necessity for legal continuity limited progress, impeding the creation of a cohesive governance model suited to the Nigerian context (Udo, 2020). </w:t>
      </w:r>
    </w:p>
    <w:p w14:paraId="5B5D2B26" w14:textId="77777777" w:rsidR="00646B26" w:rsidRDefault="00646B26" w:rsidP="00646B26">
      <w:pPr>
        <w:pStyle w:val="BodyText"/>
        <w:spacing w:line="480" w:lineRule="auto"/>
      </w:pPr>
      <w:r>
        <w:t>As Nigeria’s economy grew, particularly in sectors like oil, telecommunications, and banking, regulatory bodies such as the Central Bank of Nigeria (CBN), the Securities and Exchange Commission (SEC), and the Nigerian Communications Commission (NCC) emerged. These institutions sought to address sector-specific issues by introducing additional governance codes. However, rather than replacing the colonial legal foundation, newer frameworks were layered on top, resulting in conflicting and overlapping regulations. For example, Section 279 of CAMA outlines general director duties, which can conflict with the more detailed governance requirements of the CBN Code, creating ambiguity for banks operating under these intersecting guidelines (Osemeke &amp; Adegbite, 2016).</w:t>
      </w:r>
    </w:p>
    <w:p w14:paraId="204D4818" w14:textId="77777777" w:rsidR="00646B26" w:rsidRDefault="00646B26" w:rsidP="00646B26">
      <w:pPr>
        <w:pStyle w:val="BodyText"/>
        <w:spacing w:line="480" w:lineRule="auto"/>
      </w:pPr>
      <w:r>
        <w:t>This history of regulatory multiplicity contributes to ongoing governance challenges in the Nigerian deposit money banking system (Babajide, Abiola Ayopo, et al., 2020). Cases of fraud and mismanagement have highlighted the inadequacies of current governance structures. Despite regulatory instruments such as the CBN Act, the Banks and Other Financial Institutions Act (BOFIA), and the Nigeria Deposit Insurance Corporation (NDIC) Act, enforcement remains weak (Nwoke, U., et al., 2023). The CBN Act of 2007 grants the Central Bank autonomy to oversee financial institutions, while BOFIA ensures regulatory powers over banking operations (Obadire, A. M., et al., 2022). However, enforcement of these laws is undermined by institutional weaknesses, such as outdated sanctions and resource constraints, as noted in the ROSC (2004) report (Azoro et al., 2022).</w:t>
      </w:r>
    </w:p>
    <w:p w14:paraId="4FD37ACA" w14:textId="77777777" w:rsidR="00646B26" w:rsidRDefault="00646B26" w:rsidP="00646B26">
      <w:pPr>
        <w:pStyle w:val="BodyText"/>
        <w:spacing w:line="480" w:lineRule="auto"/>
      </w:pPr>
      <w:r>
        <w:lastRenderedPageBreak/>
        <w:t xml:space="preserve"> The conflicts between regulatory frameworks exacerbate governance challenges for Nigerian deposit money banks. For example, while the CBN Code explicitly prohibits family members from simultaneously occupying key board positions such as Chairman and CEO, the SEC Code (2011) does not impose similar limitations, creating regulatory inconsistencies. This misalignment fosters opportunities for regulatory arbitrage, enabling banks to selectively comply with mandatory codes like the CBN’s while neglecting voluntary recommendations from the SEC. Consequently, such contradictions weaken the impact of governance reforms and undermine institutional accountability within the banking sector (Osemeke &amp; Adegbite, 2016).</w:t>
      </w:r>
    </w:p>
    <w:p w14:paraId="7F1A6874" w14:textId="77777777" w:rsidR="00646B26" w:rsidRDefault="00646B26" w:rsidP="00646B26">
      <w:pPr>
        <w:pStyle w:val="BodyText"/>
        <w:spacing w:line="480" w:lineRule="auto"/>
      </w:pPr>
      <w:r>
        <w:t>The relationship between board structure and organizational performance in the Nigerian deposit money banking industry further complicates reform efforts. Globally, empirical studies have yielded mixed findings on whether board size and complexity correlate with organizational performance. While some studies indicate no significant relationship (Romano et al., 2012; Al Hawary, 2011), others suggest varying outcomes based on institutional and cultural contexts (Adams &amp; Mehran, 2003; Trabelsi, 2010). In Nigeria, governance obstacles such as concentrated ownership and unqualified board members further undermine the potential for effective oversight, even when formal governance frameworks are in place.</w:t>
      </w:r>
    </w:p>
    <w:p w14:paraId="33261883" w14:textId="77777777" w:rsidR="00646B26" w:rsidRDefault="00646B26" w:rsidP="00646B26">
      <w:pPr>
        <w:pStyle w:val="BodyText"/>
        <w:spacing w:line="480" w:lineRule="auto"/>
      </w:pPr>
      <w:r>
        <w:t>Enforcement gaps across regulatory institutions amplify these challenges. Reports such as the ROSC (2004) indicate that the CBN lacks sufficient capacity to ensure compliance with financial reporting standards, while the SEC struggles with effective oversight within the capital markets. These structural deficiencies have allowed instances of governance failure, such as mismanagement and financial impropriety, to persist in the banking sector, eroding trust and stability (Nwoke, U., 2023).</w:t>
      </w:r>
    </w:p>
    <w:p w14:paraId="5787227E" w14:textId="77777777" w:rsidR="00646B26" w:rsidRPr="005457F2" w:rsidRDefault="00646B26" w:rsidP="00646B26">
      <w:r w:rsidRPr="005457F2">
        <w:lastRenderedPageBreak/>
        <w:t>To address these critical issues, it is imperative to unify and harmonize Nigeria’s regulatory frameworks while bolstering enforcement capabilities. Streamlining governance codes would reduce ambiguities and foster coherence in regulatory oversight (Osemeke &amp; Adegbite, 2016). Furthermore, research into the connection between board composition and performance in Nigerian deposit money banks could offer evidence-based insights into effective governance practices. Strengthening institutional capacity and aligning governance practices with the local context are essential to improving transparency, accountability, and overall governance outcomes in the financial sector. Corporate governance challenges in Nigeria’s deposit money banking industry are deeply rooted in the historical legacy of colonial legal systems, compounded by regulatory overlaps and institutional inefficiencies. While reforms have been introduced to improve governance structures, the persistence of conflicting regulations and weak enforcement undermines their effectiveness. A consistent and localized approach to governance, coupled with stronger regulatory enforcement, is vital to ensuring the long-term sustainability and resilience of Nigerian deposit money banks</w:t>
      </w:r>
      <w:r w:rsidRPr="005457F2">
        <w:rPr>
          <w:highlight w:val="yellow"/>
        </w:rPr>
        <w:t>. This research particularly examines how governance mechanisms, such as audit-committee independence (mediated by financial-reporting integrity as perceived by bank insiders in 2024) and management qualifications (measured by banking experience and governance training from 2024 data), interact with the clarity and enforcement consistency of regulatory frameworks to influence non-performing loan (NPL) ratios, providing insights into mitigating default risk in the context of Nigeria’s fragmented regulatory environment.</w:t>
      </w:r>
    </w:p>
    <w:p w14:paraId="764331DC" w14:textId="77777777" w:rsidR="00646B26" w:rsidRDefault="00646B26" w:rsidP="00646B26"/>
    <w:p w14:paraId="0ADCA8F4" w14:textId="77777777" w:rsidR="00646B26" w:rsidRDefault="00646B26" w:rsidP="00646B26">
      <w:pPr>
        <w:rPr>
          <w:rFonts w:ascii="Arial" w:hAnsi="Arial" w:cs="Arial"/>
        </w:rPr>
      </w:pPr>
      <w:r>
        <w:br w:type="page"/>
      </w:r>
    </w:p>
    <w:p w14:paraId="4E4A5EFF" w14:textId="77777777" w:rsidR="00646B26" w:rsidRDefault="00646B26" w:rsidP="00646B26">
      <w:pPr>
        <w:pStyle w:val="Heading2"/>
        <w:spacing w:before="0"/>
      </w:pPr>
      <w:bookmarkStart w:id="12" w:name="_Toc203584752"/>
      <w:bookmarkStart w:id="13" w:name="_Toc203671406"/>
      <w:bookmarkStart w:id="14" w:name="_Toc203392020"/>
      <w:bookmarkStart w:id="15" w:name="_Toc202193593"/>
      <w:bookmarkStart w:id="16" w:name="_Toc205059566"/>
      <w:bookmarkStart w:id="17" w:name="_Toc205059255"/>
      <w:bookmarkStart w:id="18" w:name="_Toc203392084"/>
      <w:bookmarkStart w:id="19" w:name="_Toc205059472"/>
      <w:bookmarkStart w:id="20" w:name="_Toc203671456"/>
      <w:bookmarkStart w:id="21" w:name="_Toc211278845"/>
      <w:r>
        <w:lastRenderedPageBreak/>
        <w:t>1</w:t>
      </w:r>
      <w:bookmarkEnd w:id="12"/>
      <w:bookmarkEnd w:id="13"/>
      <w:bookmarkEnd w:id="14"/>
      <w:bookmarkEnd w:id="15"/>
      <w:bookmarkEnd w:id="16"/>
      <w:bookmarkEnd w:id="17"/>
      <w:bookmarkEnd w:id="18"/>
      <w:bookmarkEnd w:id="19"/>
      <w:bookmarkEnd w:id="20"/>
      <w:r>
        <w:rPr>
          <w:rFonts w:eastAsia="Times New Roman" w:cs="Times New Roman"/>
        </w:rPr>
        <w:t>.2: Problem Question</w:t>
      </w:r>
      <w:bookmarkEnd w:id="21"/>
    </w:p>
    <w:p w14:paraId="162B4BFC" w14:textId="77777777" w:rsidR="00646B26" w:rsidRDefault="00646B26" w:rsidP="00646B26">
      <w:r w:rsidRPr="005457F2">
        <w:t xml:space="preserve">The Nigerian deposit money banking sector faces profound corporate governance challenges, rooted in a complex historical legacy and intensified by systemic governance failures in the post-consolidation era, which collectively elevate the risk of bank defaults and threaten the stability of a sector vital to Nigeria’s economic growth. Historically, pre-colonial Nigeria relied on indigenous systems—such as those of the Hausa-Fulani, Yoruba, and Igbo—where customary laws, monarchies, and communal structures governed trade and economic activity within family-based guilds (Elias, T. O., 2024; Altin, M., 2024). The colonial era (1861–1960) disrupted this, with British administrators imposing foreign legal frameworks like the Companies Ordinance of 1912, </w:t>
      </w:r>
      <w:proofErr w:type="spellStart"/>
      <w:r w:rsidRPr="005457F2">
        <w:t>modeled</w:t>
      </w:r>
      <w:proofErr w:type="spellEnd"/>
      <w:r w:rsidRPr="005457F2">
        <w:t xml:space="preserve"> on the UK Companies Act, to serve colonial interests, neglecting local realities (</w:t>
      </w:r>
      <w:proofErr w:type="spellStart"/>
      <w:r w:rsidRPr="005457F2">
        <w:t>Agamah</w:t>
      </w:r>
      <w:proofErr w:type="spellEnd"/>
      <w:r w:rsidRPr="005457F2">
        <w:t xml:space="preserve">, M., 2024; Adegbite et al., 2012). </w:t>
      </w:r>
    </w:p>
    <w:p w14:paraId="160EB2E1" w14:textId="77777777" w:rsidR="00646B26" w:rsidRPr="005457F2" w:rsidRDefault="00646B26" w:rsidP="00646B26">
      <w:r w:rsidRPr="005457F2">
        <w:t>Post-independence in 1960, Nigeria inherited this misaligned system, and policymakers layered adaptations—such as the Companies Act of 1968 and the Companies and Allied Matters Act (CAMA) 2020—struggling against limited institutional capacity to align governance with Nigeria’s unique context (Udo, 2020). The government’s pre-1986 role as owner and regulator of banks bred conflicts of interest, a legacy persisting despite the Structural Adjustment Programme (SAP) of 1986–1993, which divested state shares, leaving fiscal irresponsibility and politically motivated board appointments (</w:t>
      </w:r>
      <w:proofErr w:type="spellStart"/>
      <w:r w:rsidRPr="005457F2">
        <w:t>Chinweoda</w:t>
      </w:r>
      <w:proofErr w:type="spellEnd"/>
      <w:r w:rsidRPr="005457F2">
        <w:t>, U. O., et al., 2020; Ugochukwu, 2000). The 2004 banking consolidation, reducing banks from 89 to 24 to strengthen the sector, aimed to address these historical weaknesses but instead exposed and amplified pervasive governance failures that continue to undermine the industry (</w:t>
      </w:r>
      <w:proofErr w:type="spellStart"/>
      <w:r w:rsidRPr="005457F2">
        <w:t>Kafidipe</w:t>
      </w:r>
      <w:proofErr w:type="spellEnd"/>
      <w:r w:rsidRPr="005457F2">
        <w:t>, 2021).</w:t>
      </w:r>
    </w:p>
    <w:p w14:paraId="4CF11B48" w14:textId="77777777" w:rsidR="00646B26" w:rsidRDefault="00646B26" w:rsidP="00646B26">
      <w:r w:rsidRPr="005457F2">
        <w:t xml:space="preserve">In the post-consolidation era, corporate governance breakdowns proliferate, undermining accountability and transparency across multiple dimensions. Boards of directors lack independence, with former CBN Governor Sanusi Lamido Sanusi noting chairmen and CEOs exert overbearing </w:t>
      </w:r>
      <w:r w:rsidRPr="005457F2">
        <w:lastRenderedPageBreak/>
        <w:t xml:space="preserve">influence, directors display weak ethical standards, and board committees remain inefficient or dormant (Sanusi, 2014). Audit-committee independence, critical for transparent reporting, is often swayed by majority shareholders and management despite CAMA Section 359(4)’s mandate for equal representation, leading to unreviewed financial statements and weakened financial-reporting integrity (Adegbite, 2014). Risk management failures are rampant, with banks extending credit without proper checks, resulting in non-performing loan (NPL) ratios reaching twenty percent in 2017 against a five percent regulatory threshold, </w:t>
      </w:r>
      <w:proofErr w:type="spellStart"/>
      <w:r w:rsidRPr="005457F2">
        <w:t>fueling</w:t>
      </w:r>
      <w:proofErr w:type="spellEnd"/>
      <w:r w:rsidRPr="005457F2">
        <w:t xml:space="preserve"> distress in banks like Intercontinental Bank, </w:t>
      </w:r>
      <w:proofErr w:type="spellStart"/>
      <w:r w:rsidRPr="005457F2">
        <w:t>Finbank</w:t>
      </w:r>
      <w:proofErr w:type="spellEnd"/>
      <w:r w:rsidRPr="005457F2">
        <w:t xml:space="preserve">, and Bank PHB (Adegboye, 2020; </w:t>
      </w:r>
      <w:proofErr w:type="spellStart"/>
      <w:r w:rsidRPr="005457F2">
        <w:t>Adeusi</w:t>
      </w:r>
      <w:proofErr w:type="spellEnd"/>
      <w:r w:rsidRPr="005457F2">
        <w:t xml:space="preserve"> et al., 2013; Owolabi, 2013).</w:t>
      </w:r>
    </w:p>
    <w:p w14:paraId="58B0862D" w14:textId="77777777" w:rsidR="00646B26" w:rsidRPr="005457F2" w:rsidRDefault="00646B26" w:rsidP="00646B26">
      <w:r w:rsidRPr="005457F2">
        <w:t>Fraud concealment erodes trust, as the absence of robust whistleblowing mechanisms allows conflicts of interest and financial impropriety to go undetected, a key factor in the 2009 banking crisis (</w:t>
      </w:r>
      <w:proofErr w:type="spellStart"/>
      <w:r w:rsidRPr="005457F2">
        <w:t>Olojede</w:t>
      </w:r>
      <w:proofErr w:type="spellEnd"/>
      <w:r w:rsidRPr="005457F2">
        <w:t>, P., et al., 2020). Nomination committee issues further weaken governance, with sixty-one percent of banks lacking independent nomination committees, enabling concentrated ownership to dominate appointments and entrench management’s self-interest over stakeholders (</w:t>
      </w:r>
      <w:proofErr w:type="spellStart"/>
      <w:r w:rsidRPr="005457F2">
        <w:t>Ogbechie</w:t>
      </w:r>
      <w:proofErr w:type="spellEnd"/>
      <w:r w:rsidRPr="005457F2">
        <w:t>, 2016; Osemeke, L. &amp; Adegbite, 2016).</w:t>
      </w:r>
    </w:p>
    <w:p w14:paraId="07185134" w14:textId="77777777" w:rsidR="00646B26" w:rsidRDefault="00646B26" w:rsidP="00646B26">
      <w:r w:rsidRPr="005457F2">
        <w:t xml:space="preserve">Management qualifications represent a critical governance failure, deeply undermining the sector’s integrity and stability. The prevalence of unqualified or politically motivated appointments to executive and board roles, a legacy of historical government interference, persists in the post-consolidation era, weakening strategic oversight, ethical compliance, and operational competence (Nwoko, U., et al., 2022). In cases like Oceanic Bank, poor management qualifications contributed to catastrophic governance lapses, where over seventy-five percent of NPLs in 2009 were tied to insider loans and unauthorized credits to companies controlled by the Ibru family, facilitated by leadership lacking the expertise or independence to challenge such practices (Sanusi, 2009). </w:t>
      </w:r>
    </w:p>
    <w:p w14:paraId="4AEFFE19" w14:textId="77777777" w:rsidR="00646B26" w:rsidRPr="005457F2" w:rsidRDefault="00646B26" w:rsidP="00646B26">
      <w:r w:rsidRPr="005457F2">
        <w:lastRenderedPageBreak/>
        <w:t xml:space="preserve">Politically influenced appointments, often prioritizing connections over merit, result in executives and directors ill-equipped to navigate complex financial systems, implement robust risk controls, or uphold accounting standards, exacerbating financial misreporting and agency problems (Nwoko, U., et al., 2022; Osemeke, L. &amp; Adegbite, 2016). The absence of stringent qualification criteria—such as financial expertise, governance training, or proven leadership experience—allows unqualified managers to occupy critical roles, undermining decision-making and strategic planning, as seen in the collapses of Intercontinental Bank, </w:t>
      </w:r>
      <w:proofErr w:type="spellStart"/>
      <w:r w:rsidRPr="005457F2">
        <w:t>Finbank</w:t>
      </w:r>
      <w:proofErr w:type="spellEnd"/>
      <w:r w:rsidRPr="005457F2">
        <w:t xml:space="preserve">, and Bank PHB, where mismanagement by underqualified leadership </w:t>
      </w:r>
      <w:proofErr w:type="spellStart"/>
      <w:r w:rsidRPr="005457F2">
        <w:t>fueled</w:t>
      </w:r>
      <w:proofErr w:type="spellEnd"/>
      <w:r w:rsidRPr="005457F2">
        <w:t xml:space="preserve"> financial distress (Owolabi, 2013). This lack of competent, independent management, unchecked by weak or absent nomination processes, perpetuates a culture of unethical </w:t>
      </w:r>
      <w:proofErr w:type="spellStart"/>
      <w:r w:rsidRPr="005457F2">
        <w:t>behavior</w:t>
      </w:r>
      <w:proofErr w:type="spellEnd"/>
      <w:r w:rsidRPr="005457F2">
        <w:t>, poor risk assessment, and inadequate oversight, directly contributing to the sector’s vulnerability to defaults (Sanusi, 2014; Nwoko, U., et al., 2022).</w:t>
      </w:r>
    </w:p>
    <w:p w14:paraId="73F3E67C" w14:textId="77777777" w:rsidR="00646B26" w:rsidRDefault="00646B26" w:rsidP="00646B26">
      <w:r w:rsidRPr="005457F2">
        <w:t xml:space="preserve">Regulatory multiplicity, a byproduct of Nigeria’s fragmented historical framework, intensifies these governance failures. Conflicting codes—such as CAMA 2020, the Nigerian Code of Corporate Governance (NCCG) 2018, CBN Corporate Governance Guidelines 2023, and the SEC Code of 2011—create ambiguity, with disparities in board composition, CEO tenure, and enforcement (e.g., CAMA’s legal fines vs. NCCG’s “Apply and Explain” flexibility) allowing banks to evade rigorous standards (Abdulmalik, S. O., 2020; Osemeke, L., et al., 2016). Weak enforcement by regulators like the Corporate Affairs Commission, Financial Reporting Council of Nigeria, and CBN, constrained by institutional weaknesses, fails to address risk management lapses, fraud, and unqualified management, a direct outcome of these governance flaws (Nwoke, U., et al., 2023; </w:t>
      </w:r>
      <w:proofErr w:type="spellStart"/>
      <w:r w:rsidRPr="005457F2">
        <w:t>Kafidipe</w:t>
      </w:r>
      <w:proofErr w:type="spellEnd"/>
      <w:r w:rsidRPr="005457F2">
        <w:t xml:space="preserve">, 2021; Adegbite, 2014; Udo, B., 2020). </w:t>
      </w:r>
    </w:p>
    <w:p w14:paraId="6EDE2857" w14:textId="77777777" w:rsidR="00646B26" w:rsidRDefault="00646B26" w:rsidP="00646B26">
      <w:r w:rsidRPr="005457F2">
        <w:t xml:space="preserve">These failures erode stakeholder confidence, trigger mass deposit withdrawals, and threaten Nigeria’s economy, where banks are engines of growth (King &amp; Levine, 1993; </w:t>
      </w:r>
      <w:proofErr w:type="spellStart"/>
      <w:r w:rsidRPr="005457F2">
        <w:t>Siyanbola</w:t>
      </w:r>
      <w:proofErr w:type="spellEnd"/>
      <w:r w:rsidRPr="005457F2">
        <w:t xml:space="preserve">, 2019). Despite this </w:t>
      </w:r>
      <w:r w:rsidRPr="005457F2">
        <w:lastRenderedPageBreak/>
        <w:t xml:space="preserve">urgency, a research gap persists, particularly in Nigeria, on how post-consolidation governance failures—risk management deficiencies, fraud concealment, nomination committee weaknesses, and unqualified management—interact with historical legacies and regulatory multiplicity to drive default risk (Osita, et al., 2019; Tsamenyi, et al., 2007). The lack of up-to-date, context-specific studies amplifies this gap. </w:t>
      </w:r>
      <w:r w:rsidRPr="005457F2">
        <w:rPr>
          <w:highlight w:val="yellow"/>
        </w:rPr>
        <w:t xml:space="preserve">This research seeks to address this lacuna by examining the efficacy of audit-committee independence (mediated by financial-reporting integrity as perceived by bank insiders) and management qualifications in fostering accountability and transparency, </w:t>
      </w:r>
      <w:proofErr w:type="spellStart"/>
      <w:r w:rsidRPr="005457F2">
        <w:rPr>
          <w:highlight w:val="yellow"/>
        </w:rPr>
        <w:t>analyzing</w:t>
      </w:r>
      <w:proofErr w:type="spellEnd"/>
      <w:r w:rsidRPr="005457F2">
        <w:rPr>
          <w:highlight w:val="yellow"/>
        </w:rPr>
        <w:t xml:space="preserve"> the impact of historical and current governance failures in the post-consolidation era, and advocating for a harmonized, enforceable framework aligned with global standards to mitigate bank defaults, restore trust, and enhance the resilience of Nigeria’s deposit money banking sector.</w:t>
      </w:r>
      <w:r w:rsidRPr="005457F2">
        <w:t xml:space="preserve"> </w:t>
      </w:r>
    </w:p>
    <w:p w14:paraId="5BBE9734" w14:textId="77777777" w:rsidR="00646B26" w:rsidRPr="005457F2" w:rsidRDefault="00646B26" w:rsidP="00646B26">
      <w:r w:rsidRPr="005457F2">
        <w:t>Nigeria's deposit money banking sector has endured recurrent disruptions from credit-quality shocks, with the most acute instance unfolding in 2009/10, when average non-performing loan ratios (NPLRs) surged beyond 35%. Although macroeconomic fluctuations account for a portion of this escalation, firm-level analyses reveal that deficiencies in internal governance—manifesting as inadequate risk management, insufficient disclosure, lenient credit practices, and inconsistent regulatory compliance—exacerbated the concentration of loan losses (Sanusi, 2010; CBN, 2014). In response, post-crisis regulatory interventions, including the adoption of Basel-II, IFRS-9, and the Corporate Governance Codes of 2014 and 2018, were designed to fortify three core governance indices: disclosure, practice, and compliance.</w:t>
      </w:r>
    </w:p>
    <w:p w14:paraId="39BB7AA3" w14:textId="77777777" w:rsidR="00646B26" w:rsidRDefault="00646B26" w:rsidP="00646B26">
      <w:pPr>
        <w:spacing w:line="240" w:lineRule="auto"/>
        <w:jc w:val="left"/>
        <w:rPr>
          <w:rFonts w:eastAsia="DejaVu Sans" w:cs="Mangal"/>
          <w:b/>
          <w:szCs w:val="23"/>
        </w:rPr>
      </w:pPr>
      <w:r>
        <w:br w:type="page"/>
      </w:r>
    </w:p>
    <w:p w14:paraId="685C8366" w14:textId="77777777" w:rsidR="00646B26" w:rsidRDefault="00646B26" w:rsidP="00646B26">
      <w:pPr>
        <w:pStyle w:val="Heading2"/>
        <w:rPr>
          <w:rFonts w:eastAsia="Times New Roman"/>
        </w:rPr>
      </w:pPr>
      <w:bookmarkStart w:id="22" w:name="_Toc211278846"/>
      <w:r>
        <w:rPr>
          <w:rFonts w:eastAsia="Times New Roman"/>
        </w:rPr>
        <w:lastRenderedPageBreak/>
        <w:t>1.3 Research Question</w:t>
      </w:r>
      <w:bookmarkEnd w:id="22"/>
    </w:p>
    <w:p w14:paraId="4029C522" w14:textId="77777777" w:rsidR="00646B26" w:rsidRDefault="00646B26" w:rsidP="00646B26">
      <w:pPr>
        <w:pStyle w:val="BodyText"/>
        <w:spacing w:line="480" w:lineRule="auto"/>
      </w:pPr>
      <w:r>
        <w:t>This study is guided by four research questions that systematically explore the interplay between corporate governance mechanisms and non-performing loan (NPL) ratios in Nigeria's deposit money banking sector. These questions address critical gaps in the literature, particularly the need for context-specific analyses of governance indices, audit independence, management qualifications, and regulatory clarity amid historical banking crises and ongoing reforms. RQ1 focuses exclusively on secondary panel data analysis from 2009 to 2024, utilizing publicly available financial reports and regulatory disclosures from Nigerian deposit money banks to examine longitudinal trends. In contrast, RQ2, RQ3, and RQ4 incorporate a 2024 cross-sectional study, integrating quantitative data from questionnaires with qualitative insights from semi-structured interviews to capture contemporary stakeholder perspectives and bank-specific dynamics.</w:t>
      </w:r>
    </w:p>
    <w:p w14:paraId="1D7C8478" w14:textId="77777777" w:rsidR="00646B26" w:rsidRPr="005457F2" w:rsidRDefault="00646B26" w:rsidP="00646B26">
      <w:pPr>
        <w:rPr>
          <w:highlight w:val="yellow"/>
        </w:rPr>
      </w:pPr>
      <w:r w:rsidRPr="005457F2">
        <w:rPr>
          <w:highlight w:val="yellow"/>
        </w:rPr>
        <w:t>RQ1: To what extent do corporate governance indices (disclosure, practice, and compliance) influence non-performing loan ratios in Nigerian deposit money banks over the period 2009–2024, controlling for bank size, capital adequacy, and macroeconomic factors? (Quantitative analysis)</w:t>
      </w:r>
    </w:p>
    <w:p w14:paraId="4CF29E46" w14:textId="77777777" w:rsidR="00646B26" w:rsidRPr="005457F2" w:rsidRDefault="00646B26" w:rsidP="00646B26">
      <w:pPr>
        <w:rPr>
          <w:highlight w:val="yellow"/>
        </w:rPr>
      </w:pPr>
      <w:r w:rsidRPr="005457F2">
        <w:rPr>
          <w:highlight w:val="yellow"/>
        </w:rPr>
        <w:t>RQ2: To what extent does audit-committee independence reduce non-performing loan ratios in Nigerian deposit-money banks in 2024, and is this effect mediated by strengthened financial-reporting integrity as perceived by bank insiders? (Mixed methods)</w:t>
      </w:r>
    </w:p>
    <w:p w14:paraId="12AEC37E" w14:textId="77777777" w:rsidR="00646B26" w:rsidRPr="005457F2" w:rsidRDefault="00646B26" w:rsidP="00646B26">
      <w:pPr>
        <w:rPr>
          <w:highlight w:val="yellow"/>
        </w:rPr>
      </w:pPr>
      <w:r w:rsidRPr="005457F2">
        <w:rPr>
          <w:highlight w:val="yellow"/>
        </w:rPr>
        <w:t>RQ3: To what extent is the association between management qualifications—measured by banking experience and governance training as reported in the 2024 data—related to non-performing loan (NPL) ratios in Nigerian deposit money banks based on a 2024 cross-sectional study? (Mixed methods)</w:t>
      </w:r>
    </w:p>
    <w:p w14:paraId="558E6701" w14:textId="77777777" w:rsidR="00646B26" w:rsidRPr="005457F2" w:rsidRDefault="00646B26" w:rsidP="00646B26">
      <w:r w:rsidRPr="005457F2">
        <w:rPr>
          <w:highlight w:val="yellow"/>
        </w:rPr>
        <w:t xml:space="preserve">RQ4: To what extent is the association between the clarity and enforcement consistency of regulatory frameworks—measured by stakeholder perceptions in the 2024 questionnaire and interviews—related </w:t>
      </w:r>
      <w:r w:rsidRPr="005457F2">
        <w:rPr>
          <w:highlight w:val="yellow"/>
        </w:rPr>
        <w:lastRenderedPageBreak/>
        <w:t>to non-performing loan (NPL) ratios in Nigerian deposit money banks based on a 2024 cross-sectional study? (Mixed methods)</w:t>
      </w:r>
    </w:p>
    <w:p w14:paraId="53126DF9" w14:textId="77777777" w:rsidR="00646B26" w:rsidRDefault="00646B26" w:rsidP="00646B26"/>
    <w:p w14:paraId="0511D6C8" w14:textId="77777777" w:rsidR="00646B26" w:rsidRDefault="00646B26" w:rsidP="00646B26"/>
    <w:p w14:paraId="18696AA9" w14:textId="77777777" w:rsidR="00646B26" w:rsidRDefault="00646B26" w:rsidP="00646B26">
      <w:pPr>
        <w:spacing w:line="240" w:lineRule="auto"/>
        <w:jc w:val="left"/>
        <w:rPr>
          <w:rFonts w:eastAsia="DejaVu Sans" w:cs="Mangal"/>
          <w:b/>
          <w:szCs w:val="23"/>
        </w:rPr>
      </w:pPr>
      <w:r>
        <w:br w:type="page"/>
      </w:r>
    </w:p>
    <w:p w14:paraId="1F2D8B1F" w14:textId="77777777" w:rsidR="00646B26" w:rsidRDefault="00646B26" w:rsidP="00646B26">
      <w:pPr>
        <w:pStyle w:val="Heading2"/>
        <w:rPr>
          <w:rFonts w:eastAsia="Times New Roman"/>
        </w:rPr>
      </w:pPr>
      <w:bookmarkStart w:id="23" w:name="_Toc211278847"/>
      <w:r>
        <w:rPr>
          <w:rFonts w:eastAsia="Times New Roman"/>
        </w:rPr>
        <w:lastRenderedPageBreak/>
        <w:t>1.4: Objective of Study</w:t>
      </w:r>
      <w:bookmarkEnd w:id="23"/>
    </w:p>
    <w:p w14:paraId="313EE0CE" w14:textId="77777777" w:rsidR="00646B26" w:rsidRPr="00181C11" w:rsidRDefault="00646B26" w:rsidP="00646B26">
      <w:pPr>
        <w:rPr>
          <w:highlight w:val="yellow"/>
        </w:rPr>
      </w:pPr>
      <w:r w:rsidRPr="00181C11">
        <w:rPr>
          <w:highlight w:val="yellow"/>
        </w:rPr>
        <w:t>This research aims to bridge the gap in context-specific investigations of corporate governance within Nigeria’s deposit money banking sector by scrutinizing governance mechanisms, identifying systemic weaknesses, and recommending targeted reforms to curb default risk and bolster financial stability. Drawing on Hypotheses 1–4 (H1–H4) and Research Questions 1–4 (RQ1–RQ4), which probe the connections among corporate governance indices, audit committee independence, management qualifications, and regulatory clarity, and non-performing loan (NPL) ratios, the study is structured around the following objectives. These objectives adopt a mixed-methods framework to ensure comprehensive analysis: RQ1 relies on secondary panel data from 2009–2024 for longitudinal quantitative assessment, while RQ2–RQ4 leverage 2024 cross-sectional data from questionnaires and interviews for nuanced, contemporary insights. This approach not only enhances empirical depth but also contextualizes findings within Nigeria's unique regulatory and economic landscape, marked by post-2009 reforms and persistent challenges like macroeconomic volatility and governance lapses.</w:t>
      </w:r>
    </w:p>
    <w:p w14:paraId="54430FAF" w14:textId="77777777" w:rsidR="00646B26" w:rsidRPr="00181C11" w:rsidRDefault="00646B26" w:rsidP="00646B26">
      <w:pPr>
        <w:rPr>
          <w:highlight w:val="yellow"/>
        </w:rPr>
      </w:pPr>
      <w:r w:rsidRPr="00181C11">
        <w:rPr>
          <w:highlight w:val="yellow"/>
        </w:rPr>
        <w:t xml:space="preserve">OB1: To assess the extent to which the integrated framework of corporate governance indices—encompassing disclosure (Corporate Governance Disclosure Index, CGDI), practice (Bank Practice Score, OPEFF), and compliance (Banking Compliance Index, COMID)—mitigates non-performing loan ratios among Nigeria's leading deposit money banks across the 2009–2024 reform era, controlling for bank size, capital adequacy, and macroeconomic factors, with particular emphasis on discerning the index yielding the greatest incremental impact on credit quality pre- and post- the 2014 Corporate Governance Code implementation. This objective fills a critical research void by evaluating how compliance with evolving governance standards, including the Central Bank of Nigeria (CBN) Guidelines 2023 and subsequent updates, promotes accountability and transparency to diminish default risk (Sanusi, 2009). In alignment with Hypothesis 1 and Research Question 1, it delves into the nexus </w:t>
      </w:r>
      <w:r w:rsidRPr="00181C11">
        <w:rPr>
          <w:highlight w:val="yellow"/>
        </w:rPr>
        <w:lastRenderedPageBreak/>
        <w:t xml:space="preserve">between governance stringency and NPLs, drawing on historical precedents like the 2009 banking crisis that exposed vulnerabilities amplified by weak internal controls and fragmented oversight (Osemeke &amp; Adegbite, 2016). By </w:t>
      </w:r>
      <w:proofErr w:type="spellStart"/>
      <w:r w:rsidRPr="00181C11">
        <w:rPr>
          <w:highlight w:val="yellow"/>
        </w:rPr>
        <w:t>analyzing</w:t>
      </w:r>
      <w:proofErr w:type="spellEnd"/>
      <w:r w:rsidRPr="00181C11">
        <w:rPr>
          <w:highlight w:val="yellow"/>
        </w:rPr>
        <w:t xml:space="preserve"> secondary panel data from audited financial statements and regulatory reports spanning 2009–2024, this objective isolates the effects of governance indices while controlling for confounders such as bank size, capital adequacy (via Total Capital Adequacy Ratio, TCAR), and macroeconomic indicators (e.g., GDP growth, inflation, oil prices), thereby providing robust evidence on reform efficacy in an emerging market context (</w:t>
      </w:r>
      <w:proofErr w:type="spellStart"/>
      <w:r w:rsidRPr="00181C11">
        <w:rPr>
          <w:highlight w:val="yellow"/>
        </w:rPr>
        <w:t>Kafidipe</w:t>
      </w:r>
      <w:proofErr w:type="spellEnd"/>
      <w:r w:rsidRPr="00181C11">
        <w:rPr>
          <w:highlight w:val="yellow"/>
        </w:rPr>
        <w:t xml:space="preserve"> et al., 2021).</w:t>
      </w:r>
    </w:p>
    <w:p w14:paraId="2BBD860A" w14:textId="77777777" w:rsidR="00646B26" w:rsidRPr="00181C11" w:rsidRDefault="00646B26" w:rsidP="00646B26">
      <w:pPr>
        <w:rPr>
          <w:highlight w:val="yellow"/>
        </w:rPr>
      </w:pPr>
      <w:r w:rsidRPr="00181C11">
        <w:rPr>
          <w:highlight w:val="yellow"/>
        </w:rPr>
        <w:t>OB2: To quantify the direct and indirect (mediated) association between audit-committee independence and 2024 NPL ratios in Nigerian deposit money banks, using (</w:t>
      </w:r>
      <w:proofErr w:type="spellStart"/>
      <w:r w:rsidRPr="00181C11">
        <w:rPr>
          <w:highlight w:val="yellow"/>
        </w:rPr>
        <w:t>i</w:t>
      </w:r>
      <w:proofErr w:type="spellEnd"/>
      <w:r w:rsidRPr="00181C11">
        <w:rPr>
          <w:highlight w:val="yellow"/>
        </w:rPr>
        <w:t xml:space="preserve">) published financial data and (ii) insider perceptions of financial-reporting integrity gathered from the existing governance questionnaire. This objective confronts the dearth of localized empirical studies by scrutinizing how audit-committee independence deters hazardous lending </w:t>
      </w:r>
      <w:proofErr w:type="spellStart"/>
      <w:r w:rsidRPr="00181C11">
        <w:rPr>
          <w:highlight w:val="yellow"/>
        </w:rPr>
        <w:t>behaviors</w:t>
      </w:r>
      <w:proofErr w:type="spellEnd"/>
      <w:r w:rsidRPr="00181C11">
        <w:rPr>
          <w:highlight w:val="yellow"/>
        </w:rPr>
        <w:t>, a recurring issue in Nigeria’s banking sector following the 2005 consolidation and 2009 crisis (Sanusi, 2014). Correlating with Hypothesis 2 and Research Question 2, it emphasizes accountability structures essential for rectifying governance shortcomings, in line with international benchmarks such as the OECD (2023) principles and recent calls for fully independent audit committees in Nigeria to mitigate NPL risks (Al-Shaer et al., 2022; Nwoke et al., 2023). Through cross-sectional analysis of 2024 data, including Likert-scale responses on committee composition and oversight efficacy, this objective highlights the mediating role of financial-reporting integrity in enhancing transparency and curbing managerial opportunism in emerging markets.</w:t>
      </w:r>
    </w:p>
    <w:p w14:paraId="20CC02D4" w14:textId="77777777" w:rsidR="00646B26" w:rsidRPr="00181C11" w:rsidRDefault="00646B26" w:rsidP="00646B26">
      <w:pPr>
        <w:rPr>
          <w:highlight w:val="yellow"/>
        </w:rPr>
      </w:pPr>
      <w:r w:rsidRPr="00181C11">
        <w:rPr>
          <w:highlight w:val="yellow"/>
        </w:rPr>
        <w:t>OB3: To evaluate the association between management qualifications—encompassing extensive banking experience, specialized governance training, and relevant certifications as captured in 2024 data—and non-performing loan (NPL) ratios in Nigerian deposit money banks, based on a 2024 cross-</w:t>
      </w:r>
      <w:r w:rsidRPr="00181C11">
        <w:rPr>
          <w:highlight w:val="yellow"/>
        </w:rPr>
        <w:lastRenderedPageBreak/>
        <w:t>sectional study utilizing questionnaires and interviews. Addressing a notable gap in research on human capital's influence on bank performance, this objective examines how qualified leadership fosters prudent credit risk management and ethical practices, countering issues like insider lending that plagued Nigeria's banks during past crises (Sanusi, 2009; Ejike et al., 2022). Aligned with Hypothesis 3 and Research Question 3, it tests the premise that experienced and trained managers reduce NPLs by improving decision-making and oversight, drawing on upper echelons theory and recent studies linking managerial expertise to lower default risks in African banking contexts (</w:t>
      </w:r>
      <w:proofErr w:type="spellStart"/>
      <w:r w:rsidRPr="00181C11">
        <w:rPr>
          <w:highlight w:val="yellow"/>
        </w:rPr>
        <w:t>Ozili</w:t>
      </w:r>
      <w:proofErr w:type="spellEnd"/>
      <w:r w:rsidRPr="00181C11">
        <w:rPr>
          <w:highlight w:val="yellow"/>
        </w:rPr>
        <w:t>, 2020; Hambrick &amp; Mason, 1984). The cross-sectional design incorporates stakeholder perceptions from 2024 surveys, quantifying qualifications through metrics like years of experience and training hours, to provide actionable insights into leadership's role in enhancing resilience amid Nigeria's oil-dependent economy.</w:t>
      </w:r>
    </w:p>
    <w:p w14:paraId="4D9546A6" w14:textId="77777777" w:rsidR="00646B26" w:rsidRPr="00181C11" w:rsidRDefault="00646B26" w:rsidP="00646B26">
      <w:pPr>
        <w:rPr>
          <w:highlight w:val="yellow"/>
        </w:rPr>
      </w:pPr>
      <w:r w:rsidRPr="00181C11">
        <w:rPr>
          <w:highlight w:val="yellow"/>
        </w:rPr>
        <w:t xml:space="preserve">OB4: To assess the influence of clear and consistently enforced regulatory frameworks on fostering compliance and reducing NPL ratios in Nigeria’s deposit money banking sector. This objective responds to scholarly appeals for unified regulatory structures by dissecting how clarity in frameworks—such as the harmonized application of CAMA 2020, NCCG 2018, and CBN Guidelines 2023—alleviates governance failures in Nigeria’s multifaceted regulatory environment (Abdulmalik &amp; Ahmad, 2020). In harmony with Hypothesis 4 and Research Question 4, it bridges gaps in existing literature by leveraging 2024 cross-sectional data to </w:t>
      </w:r>
      <w:proofErr w:type="spellStart"/>
      <w:r w:rsidRPr="00181C11">
        <w:rPr>
          <w:highlight w:val="yellow"/>
        </w:rPr>
        <w:t>analyze</w:t>
      </w:r>
      <w:proofErr w:type="spellEnd"/>
      <w:r w:rsidRPr="00181C11">
        <w:rPr>
          <w:highlight w:val="yellow"/>
        </w:rPr>
        <w:t xml:space="preserve"> stakeholder views on enforcement consistency, promoting stability through regulations aligned with global standards (Nwoke et al., 2023; CBN, 2024). By incorporating qualitative interviews and quantitative perceptions, this objective underscores the need for robust enforcement to mitigate NPL spikes driven by regulatory ambiguities.</w:t>
      </w:r>
    </w:p>
    <w:p w14:paraId="72C41AA7" w14:textId="77777777" w:rsidR="00646B26" w:rsidRPr="00181C11" w:rsidRDefault="00646B26" w:rsidP="00646B26">
      <w:pPr>
        <w:rPr>
          <w:highlight w:val="yellow"/>
        </w:rPr>
      </w:pPr>
      <w:r w:rsidRPr="00181C11">
        <w:rPr>
          <w:highlight w:val="yellow"/>
        </w:rPr>
        <w:t xml:space="preserve">OB5: To formulate actionable recommendations for a harmonized corporate governance framework, aligned with global standards, to mitigate bank defaults, restore stakeholder trust, and enhance the resilience of Nigeria’s deposit money banking sector. This culminating objective integrates insights from </w:t>
      </w:r>
      <w:r w:rsidRPr="00181C11">
        <w:rPr>
          <w:highlight w:val="yellow"/>
        </w:rPr>
        <w:lastRenderedPageBreak/>
        <w:t>OB1–OB4 to advocate pragmatic reforms that rectify entrenched governance issues, informed by empirical data and contextual narratives. It advances the study's overarching goal by proposing a cohesive framework resonant with OECD (2023) principles and recent regulatory evolutions, ensuring recommendations are evidence-based and adaptable to Nigeria's dynamic financial ecosystem (Aguilera &amp; Ruiz Castillo, 2025). The mixed-methods paradigm underpins this, blending quantitative rigor with qualitative depth for holistic policy implications.</w:t>
      </w:r>
    </w:p>
    <w:p w14:paraId="683F7C64" w14:textId="77777777" w:rsidR="00646B26" w:rsidRPr="00181C11" w:rsidRDefault="00646B26" w:rsidP="00646B26">
      <w:r w:rsidRPr="00181C11">
        <w:rPr>
          <w:highlight w:val="yellow"/>
        </w:rPr>
        <w:t>The research embraces a pragmatic epistemology, merging positivist quantitative analyses (e.g., panel and cross-sectional regressions) with interpretivist qualitative explorations (e.g., thematic analysis of interviews) to tackle Nigeria’s multifaceted governance dilemmas (Creswell &amp; Plano Clark, 2018). This dual lens ensures methodological robustness and relevance, with a detailed epistemological rationale outlined in the methodology chapter.</w:t>
      </w:r>
    </w:p>
    <w:p w14:paraId="6693EE9A" w14:textId="77777777" w:rsidR="00646B26" w:rsidRDefault="00646B26" w:rsidP="00646B26">
      <w:pPr>
        <w:spacing w:line="240" w:lineRule="auto"/>
        <w:jc w:val="left"/>
        <w:sectPr w:rsidR="00646B26" w:rsidSect="00646B26">
          <w:footerReference w:type="even" r:id="rId17"/>
          <w:footerReference w:type="default" r:id="rId18"/>
          <w:footerReference w:type="first" r:id="rId19"/>
          <w:pgSz w:w="12240" w:h="15840"/>
          <w:pgMar w:top="1134" w:right="1134" w:bottom="1134" w:left="1134" w:header="0" w:footer="0" w:gutter="0"/>
          <w:cols w:space="720"/>
          <w:formProt w:val="0"/>
          <w:docGrid w:linePitch="100"/>
        </w:sectPr>
      </w:pPr>
    </w:p>
    <w:p w14:paraId="543587D3" w14:textId="77777777" w:rsidR="00646B26" w:rsidRDefault="00646B26" w:rsidP="00646B26">
      <w:pPr>
        <w:spacing w:line="240" w:lineRule="auto"/>
        <w:jc w:val="left"/>
      </w:pPr>
      <w:r>
        <w:lastRenderedPageBreak/>
        <w:t>Table 2: Linking Research Questions to Hypotheses</w:t>
      </w:r>
    </w:p>
    <w:p w14:paraId="24A8897D" w14:textId="77777777" w:rsidR="00646B26" w:rsidRDefault="00646B26" w:rsidP="00646B26">
      <w:pPr>
        <w:spacing w:line="240" w:lineRule="auto"/>
        <w:jc w:val="left"/>
      </w:pPr>
      <w:r>
        <w:br/>
      </w:r>
    </w:p>
    <w:tbl>
      <w:tblPr>
        <w:tblStyle w:val="GridTable1Light"/>
        <w:tblW w:w="13887" w:type="dxa"/>
        <w:tblLayout w:type="fixed"/>
        <w:tblLook w:val="04A0" w:firstRow="1" w:lastRow="0" w:firstColumn="1" w:lastColumn="0" w:noHBand="0" w:noVBand="1"/>
      </w:tblPr>
      <w:tblGrid>
        <w:gridCol w:w="4773"/>
        <w:gridCol w:w="4134"/>
        <w:gridCol w:w="4980"/>
      </w:tblGrid>
      <w:tr w:rsidR="00646B26" w:rsidRPr="00181C11" w14:paraId="6BD587F4" w14:textId="77777777" w:rsidTr="00727D26">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4773" w:type="dxa"/>
          </w:tcPr>
          <w:p w14:paraId="70AF4019" w14:textId="77777777" w:rsidR="00646B26" w:rsidRPr="00181C11" w:rsidRDefault="00646B26" w:rsidP="00727D26">
            <w:pPr>
              <w:spacing w:line="240" w:lineRule="auto"/>
              <w:rPr>
                <w:b w:val="0"/>
                <w:bCs w:val="0"/>
                <w:highlight w:val="yellow"/>
              </w:rPr>
            </w:pPr>
            <w:r w:rsidRPr="00181C11">
              <w:rPr>
                <w:b w:val="0"/>
                <w:bCs w:val="0"/>
                <w:highlight w:val="yellow"/>
              </w:rPr>
              <w:t>Research Question (RQ)</w:t>
            </w:r>
          </w:p>
        </w:tc>
        <w:tc>
          <w:tcPr>
            <w:tcW w:w="4134" w:type="dxa"/>
          </w:tcPr>
          <w:p w14:paraId="0E3AE80F" w14:textId="77777777" w:rsidR="00646B26" w:rsidRPr="00181C11"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rPr>
                <w:b w:val="0"/>
                <w:bCs w:val="0"/>
                <w:highlight w:val="yellow"/>
              </w:rPr>
            </w:pPr>
            <w:r w:rsidRPr="00181C11">
              <w:rPr>
                <w:b w:val="0"/>
                <w:bCs w:val="0"/>
                <w:highlight w:val="yellow"/>
              </w:rPr>
              <w:t>Hypothesis (H)</w:t>
            </w:r>
          </w:p>
        </w:tc>
        <w:tc>
          <w:tcPr>
            <w:tcW w:w="4980" w:type="dxa"/>
          </w:tcPr>
          <w:p w14:paraId="04E54D5C" w14:textId="77777777" w:rsidR="00646B26" w:rsidRPr="00181C11"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rPr>
                <w:b w:val="0"/>
                <w:bCs w:val="0"/>
                <w:highlight w:val="yellow"/>
              </w:rPr>
            </w:pPr>
            <w:r w:rsidRPr="00181C11">
              <w:rPr>
                <w:b w:val="0"/>
                <w:bCs w:val="0"/>
                <w:highlight w:val="yellow"/>
              </w:rPr>
              <w:t>Linkage Explanation</w:t>
            </w:r>
          </w:p>
        </w:tc>
      </w:tr>
      <w:tr w:rsidR="00646B26" w:rsidRPr="00181C11" w14:paraId="777D2328" w14:textId="77777777" w:rsidTr="00727D26">
        <w:trPr>
          <w:trHeight w:val="3819"/>
        </w:trPr>
        <w:tc>
          <w:tcPr>
            <w:cnfStyle w:val="001000000000" w:firstRow="0" w:lastRow="0" w:firstColumn="1" w:lastColumn="0" w:oddVBand="0" w:evenVBand="0" w:oddHBand="0" w:evenHBand="0" w:firstRowFirstColumn="0" w:firstRowLastColumn="0" w:lastRowFirstColumn="0" w:lastRowLastColumn="0"/>
            <w:tcW w:w="4773" w:type="dxa"/>
          </w:tcPr>
          <w:p w14:paraId="79CD8B0E" w14:textId="77777777" w:rsidR="00646B26" w:rsidRPr="00181C11" w:rsidRDefault="00646B26" w:rsidP="00727D26">
            <w:pPr>
              <w:spacing w:line="240" w:lineRule="auto"/>
              <w:rPr>
                <w:b w:val="0"/>
                <w:bCs w:val="0"/>
                <w:highlight w:val="yellow"/>
              </w:rPr>
            </w:pPr>
            <w:r w:rsidRPr="00181C11">
              <w:rPr>
                <w:b w:val="0"/>
                <w:bCs w:val="0"/>
                <w:highlight w:val="yellow"/>
              </w:rPr>
              <w:t>RQ1: To what extent do corporate governance indices (disclosure, practice, and compliance) influence non-performing loan ratios in Nigerian deposit money banks over the period 2009–2024, controlling for bank size, capital adequacy, and macroeconomic factors?</w:t>
            </w:r>
          </w:p>
        </w:tc>
        <w:tc>
          <w:tcPr>
            <w:tcW w:w="4134" w:type="dxa"/>
          </w:tcPr>
          <w:p w14:paraId="5D5C9C2F"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H1: Banks with robust governance practices exhibit lower default risk, as measured by reduced NPL ratios.</w:t>
            </w:r>
          </w:p>
        </w:tc>
        <w:tc>
          <w:tcPr>
            <w:tcW w:w="4980" w:type="dxa"/>
          </w:tcPr>
          <w:p w14:paraId="44E099E8"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RQ1 directly tests H1 by quantifying the influence of governance indices (e.g., CGDI for disclosure, OPEFF for practice, COMID for compliance) on NPL ratios via secondary panel data analysis (2009–2024). It operationalizes the hypothesis within Nigeria’s reform context, controlling for variables to isolate governance effects on default risk amid fragmented regulations.</w:t>
            </w:r>
          </w:p>
        </w:tc>
      </w:tr>
      <w:tr w:rsidR="00646B26" w:rsidRPr="00181C11" w14:paraId="52EFBC4D" w14:textId="77777777" w:rsidTr="00727D26">
        <w:trPr>
          <w:trHeight w:val="3464"/>
        </w:trPr>
        <w:tc>
          <w:tcPr>
            <w:cnfStyle w:val="001000000000" w:firstRow="0" w:lastRow="0" w:firstColumn="1" w:lastColumn="0" w:oddVBand="0" w:evenVBand="0" w:oddHBand="0" w:evenHBand="0" w:firstRowFirstColumn="0" w:firstRowLastColumn="0" w:lastRowFirstColumn="0" w:lastRowLastColumn="0"/>
            <w:tcW w:w="4773" w:type="dxa"/>
          </w:tcPr>
          <w:p w14:paraId="16BAB97C" w14:textId="77777777" w:rsidR="00646B26" w:rsidRPr="00181C11" w:rsidRDefault="00646B26" w:rsidP="00727D26">
            <w:pPr>
              <w:spacing w:line="240" w:lineRule="auto"/>
              <w:rPr>
                <w:b w:val="0"/>
                <w:bCs w:val="0"/>
                <w:highlight w:val="yellow"/>
              </w:rPr>
            </w:pPr>
            <w:r w:rsidRPr="00181C11">
              <w:rPr>
                <w:b w:val="0"/>
                <w:bCs w:val="0"/>
                <w:highlight w:val="yellow"/>
              </w:rPr>
              <w:t>RQ2: To what extent does audit-committee independence reduce non-performing loan ratios in Nigerian deposit-money banks in 2024, and is this effect mediated by strengthened financial-reporting integrity as perceived by bank insiders?</w:t>
            </w:r>
          </w:p>
        </w:tc>
        <w:tc>
          <w:tcPr>
            <w:tcW w:w="4134" w:type="dxa"/>
          </w:tcPr>
          <w:p w14:paraId="146A7895"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H2: Greater audit-committee independence is significantly associated with lower 2024 NPL ratios (direct effect), and this association is partly mediated by higher financial-reporting integrity (indirect effect).</w:t>
            </w:r>
          </w:p>
        </w:tc>
        <w:tc>
          <w:tcPr>
            <w:tcW w:w="4980" w:type="dxa"/>
          </w:tcPr>
          <w:p w14:paraId="53A097E3"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RQ2 aligns with H2 by assessing the direct and mediated (via financial-reporting integrity) impact of audit-committee independence on NPL ratios through 2024 cross-sectional data, probing how insider perceptions bolster oversight and integrity to curb default risk, enabling empirical validation of these mechanisms' efficacy.</w:t>
            </w:r>
          </w:p>
        </w:tc>
      </w:tr>
      <w:tr w:rsidR="00646B26" w:rsidRPr="00181C11" w14:paraId="737AA022" w14:textId="77777777" w:rsidTr="00727D26">
        <w:trPr>
          <w:trHeight w:val="2770"/>
        </w:trPr>
        <w:tc>
          <w:tcPr>
            <w:cnfStyle w:val="001000000000" w:firstRow="0" w:lastRow="0" w:firstColumn="1" w:lastColumn="0" w:oddVBand="0" w:evenVBand="0" w:oddHBand="0" w:evenHBand="0" w:firstRowFirstColumn="0" w:firstRowLastColumn="0" w:lastRowFirstColumn="0" w:lastRowLastColumn="0"/>
            <w:tcW w:w="4773" w:type="dxa"/>
          </w:tcPr>
          <w:p w14:paraId="5217B1D5" w14:textId="77777777" w:rsidR="00646B26" w:rsidRPr="00181C11" w:rsidRDefault="00646B26" w:rsidP="00727D26">
            <w:pPr>
              <w:spacing w:line="240" w:lineRule="auto"/>
              <w:rPr>
                <w:b w:val="0"/>
                <w:bCs w:val="0"/>
                <w:highlight w:val="yellow"/>
              </w:rPr>
            </w:pPr>
            <w:r w:rsidRPr="00181C11">
              <w:rPr>
                <w:b w:val="0"/>
                <w:bCs w:val="0"/>
                <w:highlight w:val="yellow"/>
              </w:rPr>
              <w:lastRenderedPageBreak/>
              <w:t>RQ3: To what extent is the association between management qualifications—measured by banking experience and governance training as reported in the 2024 data—related to non-performing loan (NPL) ratios in Nigerian deposit money banks based on a 2024 cross-sectional study?</w:t>
            </w:r>
          </w:p>
        </w:tc>
        <w:tc>
          <w:tcPr>
            <w:tcW w:w="4134" w:type="dxa"/>
          </w:tcPr>
          <w:p w14:paraId="720E2CBD"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H3: Banks with qualified management exhibit lower default risk, as measured by reduced NPL ratios.</w:t>
            </w:r>
          </w:p>
        </w:tc>
        <w:tc>
          <w:tcPr>
            <w:tcW w:w="4980" w:type="dxa"/>
          </w:tcPr>
          <w:p w14:paraId="24D7523C"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RQ3 corresponds to H3 by evaluating management qualifications' effect on NPLs via 2024 data, testing how expertise enhances risk management and ethics to lower default risk, facilitating targeted data on leadership attributes.</w:t>
            </w:r>
          </w:p>
        </w:tc>
      </w:tr>
      <w:tr w:rsidR="00646B26" w:rsidRPr="00181C11" w14:paraId="07CA0665" w14:textId="77777777" w:rsidTr="00727D26">
        <w:trPr>
          <w:trHeight w:val="3802"/>
        </w:trPr>
        <w:tc>
          <w:tcPr>
            <w:cnfStyle w:val="001000000000" w:firstRow="0" w:lastRow="0" w:firstColumn="1" w:lastColumn="0" w:oddVBand="0" w:evenVBand="0" w:oddHBand="0" w:evenHBand="0" w:firstRowFirstColumn="0" w:firstRowLastColumn="0" w:lastRowFirstColumn="0" w:lastRowLastColumn="0"/>
            <w:tcW w:w="4773" w:type="dxa"/>
          </w:tcPr>
          <w:p w14:paraId="425E3E79" w14:textId="77777777" w:rsidR="00646B26" w:rsidRPr="00181C11" w:rsidRDefault="00646B26" w:rsidP="00727D26">
            <w:pPr>
              <w:spacing w:line="240" w:lineRule="auto"/>
              <w:rPr>
                <w:b w:val="0"/>
                <w:bCs w:val="0"/>
                <w:highlight w:val="yellow"/>
              </w:rPr>
            </w:pPr>
            <w:r w:rsidRPr="00181C11">
              <w:rPr>
                <w:b w:val="0"/>
                <w:bCs w:val="0"/>
                <w:highlight w:val="yellow"/>
              </w:rPr>
              <w:t>RQ4: To what extent is the association between the clarity and enforcement consistency of regulatory frameworks—measured by stakeholder perceptions in the 2024 questionnaire and interviews—related to non-performing loan (NPL) ratios in Nigerian deposit money banks based on a 2024 cross-sectional study?</w:t>
            </w:r>
          </w:p>
        </w:tc>
        <w:tc>
          <w:tcPr>
            <w:tcW w:w="4134" w:type="dxa"/>
          </w:tcPr>
          <w:p w14:paraId="348F870B"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81C11">
              <w:rPr>
                <w:highlight w:val="yellow"/>
              </w:rPr>
              <w:t>H4: Banks under clear regulatory frameworks exhibit lower default risk, as measured by reduced NPL ratios.</w:t>
            </w:r>
          </w:p>
        </w:tc>
        <w:tc>
          <w:tcPr>
            <w:tcW w:w="4980" w:type="dxa"/>
          </w:tcPr>
          <w:p w14:paraId="013C77BC" w14:textId="77777777" w:rsidR="00646B26" w:rsidRPr="00181C11"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rsidRPr="00181C11">
              <w:rPr>
                <w:highlight w:val="yellow"/>
              </w:rPr>
              <w:t>RQ4 maps to H4 by examining regulatory clarity's influence on NPLs through 2024 perceptions, operationalizing how consistent enforcement promotes compliance and mitigates default risk in Nigeria’s regulatory mosaic.</w:t>
            </w:r>
          </w:p>
        </w:tc>
      </w:tr>
    </w:tbl>
    <w:p w14:paraId="6C6412C7" w14:textId="77777777" w:rsidR="00646B26" w:rsidRDefault="00646B26" w:rsidP="00646B26">
      <w:pPr>
        <w:spacing w:line="240" w:lineRule="auto"/>
        <w:jc w:val="left"/>
        <w:sectPr w:rsidR="00646B26" w:rsidSect="00646B26">
          <w:pgSz w:w="15840" w:h="12240" w:orient="landscape"/>
          <w:pgMar w:top="1134" w:right="1134" w:bottom="1134" w:left="1134" w:header="0" w:footer="0" w:gutter="0"/>
          <w:cols w:space="720"/>
          <w:formProt w:val="0"/>
          <w:docGrid w:linePitch="326"/>
        </w:sectPr>
      </w:pPr>
    </w:p>
    <w:p w14:paraId="56314993" w14:textId="77777777" w:rsidR="00646B26" w:rsidRDefault="00646B26" w:rsidP="00646B26">
      <w:pPr>
        <w:spacing w:line="240" w:lineRule="auto"/>
        <w:jc w:val="left"/>
      </w:pPr>
    </w:p>
    <w:p w14:paraId="3BE0766D" w14:textId="77777777" w:rsidR="00646B26" w:rsidRDefault="00646B26" w:rsidP="00646B26">
      <w:pPr>
        <w:pStyle w:val="Heading2"/>
        <w:rPr>
          <w:rFonts w:eastAsia="Times New Roman"/>
        </w:rPr>
      </w:pPr>
      <w:bookmarkStart w:id="24" w:name="_Toc211278848"/>
      <w:r>
        <w:rPr>
          <w:rFonts w:eastAsia="Times New Roman"/>
        </w:rPr>
        <w:t>1.5: Hypothesis Development</w:t>
      </w:r>
      <w:bookmarkEnd w:id="24"/>
    </w:p>
    <w:p w14:paraId="2D2C0E43" w14:textId="77777777" w:rsidR="00646B26" w:rsidRDefault="00646B26" w:rsidP="00646B26">
      <w:pPr>
        <w:pStyle w:val="BodyText"/>
        <w:spacing w:line="480" w:lineRule="auto"/>
      </w:pPr>
      <w:r>
        <w:t>This study investigates corporate governance's role in mitigating default risk in Nigeria’s deposit money banking sector, employing non-performing loan (NPL) ratios—defined as loans overdue by 90 days or more relative to total loans—as the key proxy for default risk. NPLs encapsulate failures in loan recovery, eroding capital bases and heightening insolvency threats, and have underpinned Nigeria’s recurrent banking upheavals, including the 2009 peak of 37% and 2017 surge to 20%, often exacerbated by governance shortfalls like deficient risk frameworks and insider abuses (Adegboye, 2020; Sanusi, 2009). Their relevance is affirmed by alignment with the CBN’s 5% benchmark and extensive use in emerging market scholarship, though limitations include a narrow focus on credit risk (potentially ignoring liquidity or operational risks) and data opacity in Nigeria’s reporting milieu (Natufe &amp; Evbayiro-Osagie, 2023; Fernando et al., 2019; Olojede et al., 2020). To counteract these, NPL data are triangulated from CBN, NDIC, and audited reports; controls (e.g., bank size, GDP growth, oil prices) isolate governance influences; and qualitative interview data add depth. For RQ1, analysis draws on secondary panel data from 2009–2024, enabling longitudinal examination of reform impacts, while RQ2–RQ4 utilize 2024 cross-sectional data for timely snapshots.</w:t>
      </w:r>
    </w:p>
    <w:p w14:paraId="0E2BF1F1" w14:textId="77777777" w:rsidR="00646B26" w:rsidRDefault="00646B26" w:rsidP="00646B26">
      <w:pPr>
        <w:pStyle w:val="BodyText"/>
        <w:spacing w:line="480" w:lineRule="auto"/>
      </w:pPr>
      <w:r>
        <w:t>Four hypotheses scrutinize governance-NPL linkages via a mixed-methods lens: 7-point Likert-scale questionnaires, semi-structured interviews with executives and regulators, observational governance assessments, and SPSS-driven regressions for p-values (significance) and R-squared (variance explained). These are rooted in Nigeria’s governance woes, including a patchwork of regulations (CAMA 2020, NCCG 2018, CBN Guidelines 2023) and over 425 bank failures since 1988, frequently linked to lax oversight and ethical breaches (Sanusi, 2014; Osemeke &amp; Adegbite, 2016; Kafidipe et al., 2021).</w:t>
      </w:r>
    </w:p>
    <w:p w14:paraId="46ED569C" w14:textId="77777777" w:rsidR="00646B26" w:rsidRDefault="00646B26" w:rsidP="00646B26">
      <w:pPr>
        <w:pStyle w:val="BodyText"/>
        <w:spacing w:line="480" w:lineRule="auto"/>
      </w:pPr>
      <w:r>
        <w:lastRenderedPageBreak/>
        <w:t>H1: Stronger corporate governance indices (higher CGDI, OPEFF, and COMID) jointly and significantly reduce the non-performing loan ratio, with the magnitude of the reduction being largest for the practice index (OPEFF) and most potent in the post-2014 mandatory-disclosure regime.</w:t>
      </w:r>
    </w:p>
    <w:p w14:paraId="1A207105" w14:textId="77777777" w:rsidR="00646B26" w:rsidRDefault="00646B26" w:rsidP="00646B26">
      <w:pPr>
        <w:pStyle w:val="BodyText"/>
        <w:spacing w:line="480" w:lineRule="auto"/>
      </w:pPr>
      <w:r>
        <w:t xml:space="preserve">This hypothesis asserts that Nigerian deposit money banks demonstrating strong adherence to corporate governance indices—specifically disclosure (Corporate Governance Disclosure Index, CGDI), practice (Bank Practice Score, OPEFF), and compliance (Banking Compliance Index, COMID)—within a fragmented regulatory framework achieve lower NPL ratios than those with lax implementation. Robust governance cultivates accountability, transparency, and proactive risk mitigation, thereby curbing default propensities. Grounded in agency theory, it highlights mechanisms that reconcile managerial and stakeholder interests, averting agency conflicts that spur imprudent lending (Jensen &amp; Meckling, 1976). In Nigeria, such deficiencies intensified the 2009 crisis through insider lending and opaque boards (Sanusi, 2014). Stewardship theory augments this, positing empowered boards as stewards fostering stability via rigorous mandates (Donaldson &amp; Davis, 1991). </w:t>
      </w:r>
    </w:p>
    <w:p w14:paraId="699C9831" w14:textId="77777777" w:rsidR="00646B26" w:rsidRPr="00DE08EF" w:rsidRDefault="00646B26" w:rsidP="00646B26">
      <w:pPr>
        <w:pStyle w:val="BodyText"/>
        <w:spacing w:line="480" w:lineRule="auto"/>
      </w:pPr>
      <w:r>
        <w:t xml:space="preserve">The regulatory mosaic, with overlapping codes, fosters evasion, but stricter compliance (e.g., CBN 2023) correlates with reduced NPLs in emerging contexts (Kafidipe et al., 2021; Fernando et al., 2019). Cases like Oceanic Bank's 2009 downfall exemplify selective compliance's perils. Confounders include macroeconomic turbulence (oil shocks) or cultural patronage networks. Governance is gauged via secondary panel data (2009–2024) on indices from bank reports, tested through fixed-effects regression controlling for size, capital adequacy (via Total Capital Adequacy Ratio, TCAR), and macros. This integration of theories illuminates governance as a vital shield against default in Nigeria’s volatile setting. </w:t>
      </w:r>
      <w:r w:rsidRPr="00181C11">
        <w:rPr>
          <w:highlight w:val="yellow"/>
        </w:rPr>
        <w:t>H2: Greater audit-committee independence is significantly associated with lower 2024 NPL ratios (direct effect), and this association is partly mediated by higher financial-reporting integrity (indirect effect).</w:t>
      </w:r>
    </w:p>
    <w:p w14:paraId="378785AA" w14:textId="77777777" w:rsidR="00646B26" w:rsidRPr="00181C11" w:rsidRDefault="00646B26" w:rsidP="00646B26">
      <w:pPr>
        <w:rPr>
          <w:highlight w:val="yellow"/>
        </w:rPr>
      </w:pPr>
      <w:r w:rsidRPr="00181C11">
        <w:rPr>
          <w:highlight w:val="yellow"/>
        </w:rPr>
        <w:lastRenderedPageBreak/>
        <w:t xml:space="preserve">This hypothesis maintains that banks featuring greater audit-committee independence attain lower NPL ratios via superior oversight and reporting fidelity, restraining risky loans and elevating portfolio quality, with the effect partly mediated by strengthened financial-reporting integrity as perceived by bank insiders. Anchored in agency theory, it underscores committees' mitigation of opportunism through vigilant monitoring (Jensen &amp; Meckling, 1976). In Nigeria, compromised audits </w:t>
      </w:r>
      <w:proofErr w:type="spellStart"/>
      <w:r w:rsidRPr="00181C11">
        <w:rPr>
          <w:highlight w:val="yellow"/>
        </w:rPr>
        <w:t>fueled</w:t>
      </w:r>
      <w:proofErr w:type="spellEnd"/>
      <w:r w:rsidRPr="00181C11">
        <w:rPr>
          <w:highlight w:val="yellow"/>
        </w:rPr>
        <w:t xml:space="preserve"> 2009 insider excesses (Sanusi, 2014). Resource dependence theory bolsters this, framing committees as conduits for expertise and legitimacy in risk governance (Pfeffer &amp; </w:t>
      </w:r>
      <w:proofErr w:type="spellStart"/>
      <w:r w:rsidRPr="00181C11">
        <w:rPr>
          <w:highlight w:val="yellow"/>
        </w:rPr>
        <w:t>Salancik</w:t>
      </w:r>
      <w:proofErr w:type="spellEnd"/>
      <w:r w:rsidRPr="00181C11">
        <w:rPr>
          <w:highlight w:val="yellow"/>
        </w:rPr>
        <w:t>, 1978). Amid shareholder pressures and enforcement gaps, independent committees are pivotal for loan integrity, particularly when financial-reporting integrity mediates the pathway to timely loss recognition. Evidence from emerging markets affirms their NPL-reducing impact (Al-Shaer et al., 2022; Nwoke et al., 2023). Oceanic Bank's collapse underscores audit lapses' costs. External interferences or economic shocks may dilute effects. Independence is assessed via 2024 Likert responses on composition and frequency, from financials, regressed with controls, incorporating mediation analysis for financial-reporting integrity. Theories emphasize committees' accountability and expertise in curbing default.</w:t>
      </w:r>
    </w:p>
    <w:p w14:paraId="651F99E1" w14:textId="77777777" w:rsidR="00646B26" w:rsidRPr="00181C11" w:rsidRDefault="00646B26" w:rsidP="00646B26">
      <w:pPr>
        <w:rPr>
          <w:highlight w:val="yellow"/>
        </w:rPr>
      </w:pPr>
      <w:r w:rsidRPr="00181C11">
        <w:rPr>
          <w:highlight w:val="yellow"/>
        </w:rPr>
        <w:t>H3: Banks with qualified management exhibit lower default risk, as measured by reduced NPL ratios.</w:t>
      </w:r>
    </w:p>
    <w:p w14:paraId="085F45C0" w14:textId="77777777" w:rsidR="00646B26" w:rsidRDefault="00646B26" w:rsidP="00646B26">
      <w:pPr>
        <w:rPr>
          <w:highlight w:val="yellow"/>
        </w:rPr>
      </w:pPr>
      <w:r w:rsidRPr="00181C11">
        <w:rPr>
          <w:highlight w:val="yellow"/>
        </w:rPr>
        <w:t xml:space="preserve">This hypothesis proposes that management with substantial banking tenure and governance training yields lower NPLs through enhanced oversight and ethics. Based on upper echelons theory, executives' profiles dictate outcomes (Hambrick &amp; Mason, 1984). Qualified leaders adeptly handle volatility. Stewardship theory views them as stability guardians (Donaldson &amp; Davis, 1991). </w:t>
      </w:r>
    </w:p>
    <w:p w14:paraId="4A0397A3" w14:textId="77777777" w:rsidR="00646B26" w:rsidRPr="00DE08EF" w:rsidRDefault="00646B26" w:rsidP="00646B26">
      <w:pPr>
        <w:rPr>
          <w:highlight w:val="yellow"/>
        </w:rPr>
      </w:pPr>
      <w:r w:rsidRPr="00181C11">
        <w:rPr>
          <w:highlight w:val="yellow"/>
        </w:rPr>
        <w:t xml:space="preserve">In Nigeria, political appointments exacerbated 2009 NPLs at 75% in cases like Oceanic (Sanusi, 2009). Studies tie expertise to reduced NPLs via ethics and risk acumen (Ejike et al., 2022; </w:t>
      </w:r>
      <w:proofErr w:type="spellStart"/>
      <w:r w:rsidRPr="00181C11">
        <w:rPr>
          <w:highlight w:val="yellow"/>
        </w:rPr>
        <w:t>Ozili</w:t>
      </w:r>
      <w:proofErr w:type="spellEnd"/>
      <w:r w:rsidRPr="00181C11">
        <w:rPr>
          <w:highlight w:val="yellow"/>
        </w:rPr>
        <w:t xml:space="preserve">, 2020). Political meddling or volatility may override. Qualifications are measured via 2024 Likert on experience/certifications, from reports, regressed with controls. Theories spotlight management's </w:t>
      </w:r>
      <w:r w:rsidRPr="00181C11">
        <w:rPr>
          <w:highlight w:val="yellow"/>
        </w:rPr>
        <w:lastRenderedPageBreak/>
        <w:t>expertise in default mitigation.</w:t>
      </w:r>
      <w:r>
        <w:rPr>
          <w:highlight w:val="yellow"/>
        </w:rPr>
        <w:t xml:space="preserve"> </w:t>
      </w:r>
      <w:r w:rsidRPr="00181C11">
        <w:rPr>
          <w:highlight w:val="yellow"/>
        </w:rPr>
        <w:t>H4: Banks under clear regulatory frameworks exhibit lower default risk, as measured by reduced NPL ratios.</w:t>
      </w:r>
    </w:p>
    <w:p w14:paraId="06DD2D99" w14:textId="77777777" w:rsidR="00646B26" w:rsidRPr="00181C11" w:rsidRDefault="00646B26" w:rsidP="00646B26">
      <w:r w:rsidRPr="00181C11">
        <w:t xml:space="preserve">This hypothesis argues that clear, enforced regulations lower NPLs by bolstering compliance and risk practices. Institutional theory sees frameworks </w:t>
      </w:r>
      <w:proofErr w:type="spellStart"/>
      <w:r w:rsidRPr="00181C11">
        <w:t>molding</w:t>
      </w:r>
      <w:proofErr w:type="spellEnd"/>
      <w:r w:rsidRPr="00181C11">
        <w:t xml:space="preserve"> </w:t>
      </w:r>
      <w:proofErr w:type="spellStart"/>
      <w:r w:rsidRPr="00181C11">
        <w:t>behavior</w:t>
      </w:r>
      <w:proofErr w:type="spellEnd"/>
      <w:r w:rsidRPr="00181C11">
        <w:t xml:space="preserve"> (DiMaggio &amp; Powell, 1983). Nigeria’s overlaps enable evasion (Abdulmalik &amp; Ahmad, 2020). Agency theory aligns actions with interests (Jensen &amp; Meckling, 1976). Clarity links to lower NPLs (Nwoke et al., 2023; Fernando et al., 2019). 2009 evasion highlights </w:t>
      </w:r>
      <w:proofErr w:type="gramStart"/>
      <w:r w:rsidRPr="00181C11">
        <w:t>needs</w:t>
      </w:r>
      <w:proofErr w:type="gramEnd"/>
      <w:r w:rsidRPr="00181C11">
        <w:t>. Enforcement weaknesses or shocks may hinder. Clarity is evaluated via 2024 Likert on consistency, regressed with controls. Theories stress clarity's compliance-fostering role.</w:t>
      </w:r>
    </w:p>
    <w:p w14:paraId="6E2AF0D7" w14:textId="77777777" w:rsidR="00646B26" w:rsidRPr="00181C11" w:rsidRDefault="00646B26" w:rsidP="00646B26">
      <w:r w:rsidRPr="00181C11">
        <w:t>Regressions include controls to counter confounders, VIF for multicollinearity, lags for NPL delays. Data validation and triangulation address gaps in post-consolidation research (</w:t>
      </w:r>
      <w:proofErr w:type="spellStart"/>
      <w:r w:rsidRPr="00181C11">
        <w:t>Ozili</w:t>
      </w:r>
      <w:proofErr w:type="spellEnd"/>
      <w:r w:rsidRPr="00181C11">
        <w:t>, 2020).</w:t>
      </w:r>
    </w:p>
    <w:p w14:paraId="00665308" w14:textId="77777777" w:rsidR="00646B26" w:rsidRDefault="00646B26" w:rsidP="00646B26"/>
    <w:p w14:paraId="708C152C" w14:textId="77777777" w:rsidR="00646B26" w:rsidRDefault="00646B26" w:rsidP="00646B26">
      <w:r>
        <w:br/>
      </w:r>
    </w:p>
    <w:p w14:paraId="49152CD3" w14:textId="77777777" w:rsidR="00646B26" w:rsidRDefault="00646B26" w:rsidP="00646B26"/>
    <w:p w14:paraId="4C657BD5" w14:textId="77777777" w:rsidR="00646B26" w:rsidRDefault="00646B26" w:rsidP="00646B26"/>
    <w:p w14:paraId="6C4C8AC5" w14:textId="77777777" w:rsidR="00646B26" w:rsidRDefault="00646B26" w:rsidP="00646B26">
      <w:bookmarkStart w:id="25" w:name="_Toc201692434"/>
      <w:bookmarkStart w:id="26" w:name="_Toc199862096"/>
      <w:bookmarkStart w:id="27" w:name="_Toc199856782"/>
      <w:bookmarkEnd w:id="25"/>
      <w:bookmarkEnd w:id="26"/>
      <w:bookmarkEnd w:id="27"/>
    </w:p>
    <w:p w14:paraId="4F749317" w14:textId="77777777" w:rsidR="00646B26" w:rsidRDefault="00646B26" w:rsidP="00646B26">
      <w:pPr>
        <w:spacing w:line="240" w:lineRule="auto"/>
        <w:jc w:val="left"/>
        <w:rPr>
          <w:rFonts w:eastAsia="DejaVu Sans" w:cs="Mangal"/>
          <w:b/>
          <w:szCs w:val="23"/>
        </w:rPr>
      </w:pPr>
      <w:r>
        <w:br w:type="page"/>
      </w:r>
    </w:p>
    <w:p w14:paraId="463BA602" w14:textId="77777777" w:rsidR="00646B26" w:rsidRDefault="00646B26" w:rsidP="00646B26">
      <w:pPr>
        <w:pStyle w:val="Heading2"/>
        <w:rPr>
          <w:rFonts w:eastAsia="Times New Roman"/>
        </w:rPr>
      </w:pPr>
      <w:bookmarkStart w:id="28" w:name="_Toc211278849"/>
      <w:r>
        <w:rPr>
          <w:rFonts w:eastAsia="Times New Roman"/>
        </w:rPr>
        <w:lastRenderedPageBreak/>
        <w:t>1.6: The scope of Study</w:t>
      </w:r>
      <w:bookmarkEnd w:id="28"/>
    </w:p>
    <w:p w14:paraId="795C6D98" w14:textId="77777777" w:rsidR="00646B26" w:rsidRPr="00DE08EF" w:rsidRDefault="00646B26" w:rsidP="00646B26">
      <w:pPr>
        <w:rPr>
          <w:highlight w:val="yellow"/>
        </w:rPr>
      </w:pPr>
      <w:r w:rsidRPr="00DE08EF">
        <w:rPr>
          <w:highlight w:val="yellow"/>
        </w:rPr>
        <w:t>This research tests corporate governance challenges in Nigeria’s deposit money banking sector, with a specific focus on deposit money banks (DMBs), to examine their impact on default risk, as measured by non-performing loan (NPL) ratios, and to propose reforms for enhancing financial stability. The scope is delimited to ensure a context-specific analysis that addresses the research gap in up-to-date, Nigeria-centric studies, as outlined in the problem statement (Osita et al., 2019; Tsamenyi et al., 2007). Below, the scope is defined in terms of institutional focus, geographic boundaries, time frame, thematic areas, and epistemological stance, providing a clear framework for the research.</w:t>
      </w:r>
    </w:p>
    <w:p w14:paraId="69E55C5F" w14:textId="77777777" w:rsidR="00646B26" w:rsidRPr="00DE08EF" w:rsidRDefault="00646B26" w:rsidP="00646B26">
      <w:pPr>
        <w:rPr>
          <w:highlight w:val="yellow"/>
        </w:rPr>
      </w:pPr>
      <w:r w:rsidRPr="00DE08EF">
        <w:rPr>
          <w:highlight w:val="yellow"/>
        </w:rPr>
        <w:t xml:space="preserve">The research is limited to deposit money banks operating in Nigeria, which are pivotal to the country’s financial system and economic growth (King &amp; Levine, 1993; </w:t>
      </w:r>
      <w:proofErr w:type="spellStart"/>
      <w:r w:rsidRPr="00DE08EF">
        <w:rPr>
          <w:highlight w:val="yellow"/>
        </w:rPr>
        <w:t>Siyanbola</w:t>
      </w:r>
      <w:proofErr w:type="spellEnd"/>
      <w:r w:rsidRPr="00DE08EF">
        <w:rPr>
          <w:highlight w:val="yellow"/>
        </w:rPr>
        <w:t xml:space="preserve">, 2019). Deposit money banks, as regulated by the Central Bank of Nigeria (CBN) under the Banks and Other Financial Institutions Act (BOFIA), include commercial banks that accept deposits and provide loans, excluding other financial institutions such as microfinance banks, discount houses, or non-bank financial entities. This focus is justified by the document’s emphasis on the systemic risks posed by governance failures in these banks, evidenced by 425 failures since 1988 and high NPLs peaking at 37% in 2009 (Udo, 2020; Nwosu, 2020). </w:t>
      </w:r>
    </w:p>
    <w:p w14:paraId="1F15A7F8" w14:textId="77777777" w:rsidR="00646B26" w:rsidRPr="00DE08EF" w:rsidRDefault="00646B26" w:rsidP="00646B26">
      <w:pPr>
        <w:rPr>
          <w:highlight w:val="yellow"/>
        </w:rPr>
      </w:pPr>
      <w:r w:rsidRPr="00DE08EF">
        <w:rPr>
          <w:highlight w:val="yellow"/>
        </w:rPr>
        <w:t>Geographically, the research is confined to Nigeria, reflecting the unique historical, regulatory, and cultural context shaping its banking sector, including pre-colonial governance systems, colonial legacies (e.g., Companies Ordinance of 1912), and post-independence regulatory frameworks like CAMA 2020 (Elias, 2024; Abdulmalik &amp; Ahmad, 2020). This Nigeria-specific scope ensures relevance to the identified governance challenges, such as regulatory multiplicity and politically motivated appointments, which are distinct to the country’s banking landscape (Osemeke &amp; Adegbite, 2016).</w:t>
      </w:r>
    </w:p>
    <w:p w14:paraId="1CD98773" w14:textId="77777777" w:rsidR="00646B26" w:rsidRPr="00DE08EF" w:rsidRDefault="00646B26" w:rsidP="00646B26">
      <w:r w:rsidRPr="00DE08EF">
        <w:rPr>
          <w:highlight w:val="yellow"/>
        </w:rPr>
        <w:t xml:space="preserve">The research covers two distinct time frames to align with the research questions. For RQ1, it spans 2009–2024, leveraging secondary panel data to capture longitudinal trends in corporate governance </w:t>
      </w:r>
      <w:r w:rsidRPr="00DE08EF">
        <w:rPr>
          <w:highlight w:val="yellow"/>
        </w:rPr>
        <w:lastRenderedPageBreak/>
        <w:t xml:space="preserve">indices (disclosure, practice, compliance) and their impact on NPLs, reflecting post-2009 crisis reforms like Basel II, IFRS-9, and the 2014 Corporate Governance Code (Sanusi, 2010; CBN, 2024). For RQ2–RQ4, it focuses on a 2024 cross-sectional study, using questionnaire and interview data to provide contemporary insights into audit-committee independence, management qualifications, and regulatory clarity, addressing recent governance challenges (Adegboye, 2020; Nwoke et al., 2023). Historical data (e.g., 2009 crisis) are used for contextual analysis only (Sanusi, 2009; </w:t>
      </w:r>
      <w:proofErr w:type="spellStart"/>
      <w:r w:rsidRPr="00DE08EF">
        <w:rPr>
          <w:highlight w:val="yellow"/>
        </w:rPr>
        <w:t>Olojede</w:t>
      </w:r>
      <w:proofErr w:type="spellEnd"/>
      <w:r w:rsidRPr="00DE08EF">
        <w:rPr>
          <w:highlight w:val="yellow"/>
        </w:rPr>
        <w:t xml:space="preserve"> et al., 2020).</w:t>
      </w:r>
    </w:p>
    <w:p w14:paraId="602DFCA6" w14:textId="77777777" w:rsidR="00646B26" w:rsidRPr="00DE08EF" w:rsidRDefault="00646B26" w:rsidP="00646B26">
      <w:r w:rsidRPr="00DE08EF">
        <w:t xml:space="preserve">The research’s thematic scope is defined by the objectives (OB1–OB4) and research questions (RQ1–RQ4), focusing on four key areas of corporate governance in deposit money banks: Corporate Governance Indices (OB1, RQ1): Examining the effectiveness of disclosure (CGDI), practice (OPEFF), and compliance (COMID) in reducing NPLs, addressing deficiencies like weak accountability and lax lending practices (Sanusi, 2009; Osemeke &amp; Adegbite, 2016). Audit-Committee Independence (OB2, RQ2): Evaluating its direct and mediated (via financial-reporting integrity as perceived by insiders) role in enhancing financial reporting integrity to curb risky lending, given its compromised independence in cases like Oceanic Bank (Sanusi, 2014; </w:t>
      </w:r>
      <w:proofErr w:type="spellStart"/>
      <w:r w:rsidRPr="00DE08EF">
        <w:t>Olojede</w:t>
      </w:r>
      <w:proofErr w:type="spellEnd"/>
      <w:r w:rsidRPr="00DE08EF">
        <w:t xml:space="preserve"> et al., 2020).</w:t>
      </w:r>
    </w:p>
    <w:p w14:paraId="5F425D25" w14:textId="77777777" w:rsidR="00646B26" w:rsidRPr="00DE08EF" w:rsidRDefault="00646B26" w:rsidP="00646B26">
      <w:r w:rsidRPr="00DE08EF">
        <w:t>Management Qualifications (OB3, RQ3): Assessing the impact of banking experience and governance training on NPL reduction, targeting unqualified appointments (Sanusi, 2009; Ejike et al., 2022).</w:t>
      </w:r>
    </w:p>
    <w:p w14:paraId="0FFC436A" w14:textId="77777777" w:rsidR="00646B26" w:rsidRPr="00DE08EF" w:rsidRDefault="00646B26" w:rsidP="00646B26">
      <w:r w:rsidRPr="00DE08EF">
        <w:t>Regulatory Clarity and Enforcement Consistency (OB4, RQ4): Investigating the effect of clear, enforced regulatory frameworks on compliance and NPL reduction, targeting Nigeria’s fragmented codes (e.g., CAMA 2020, NCCG 2018) (Abdulmalik &amp; Ahmad, 2020; Nwoke et al., 2023).</w:t>
      </w:r>
    </w:p>
    <w:p w14:paraId="5BB2ED5B" w14:textId="77777777" w:rsidR="00646B26" w:rsidRPr="00DE08EF" w:rsidRDefault="00646B26" w:rsidP="00646B26">
      <w:r w:rsidRPr="00DE08EF">
        <w:t xml:space="preserve">Proposing reforms aligned with global standards (e.g., OECD, 2023) to mitigate defaults and restore trust, addressing historical and current governance failures (Aguilera &amp; Ruiz Castillo, 2025). This excludes other governance aspects, such as shareholder activism or environmental, social, and </w:t>
      </w:r>
      <w:r w:rsidRPr="00DE08EF">
        <w:lastRenderedPageBreak/>
        <w:t>governance (ESG) factors, unless they directly relate to NPLs or default risk. It also omits non-banking sectors and international comparisons, focusing solely on Nigeria’s deposit money banks to maintain depth and specificity.</w:t>
      </w:r>
    </w:p>
    <w:p w14:paraId="7A48B092" w14:textId="77777777" w:rsidR="00646B26" w:rsidRPr="00DE08EF" w:rsidRDefault="00646B26" w:rsidP="00646B26">
      <w:r w:rsidRPr="00DE08EF">
        <w:t>The research adopts a pragmatic epistemological stance, integrating positivist and interpretivist paradigms to address the multifaceted governance challenges in Nigeria’s deposit money banking sector, as reiterated from the objectives section (Creswell &amp; Plano Clark, 2018). Pragmatism views knowledge as context-dependent and problem-driven, prioritizing practical outcomes to inform governance reforms (OB4). The positivist paradigm underpins quantitative analysis, such as regression of NPL ratios, to objectively measure governance impacts, addressing data reliability through cross-validation with CBN, NDIC, and audited reports (</w:t>
      </w:r>
      <w:proofErr w:type="spellStart"/>
      <w:r w:rsidRPr="00DE08EF">
        <w:t>Olojede</w:t>
      </w:r>
      <w:proofErr w:type="spellEnd"/>
      <w:r w:rsidRPr="00DE08EF">
        <w:t xml:space="preserve"> et al., 2020). The interpretivist paradigm informs qualitative insights from stakeholder interviews, capturing subjective realities like regulatory perceptions and cultural patronage, which shape governance failures (Osemeke &amp; Adegbite, 2016). This mixed-method approach ensures a comprehensive understanding of governance deficiencies, aligning with the research’s objectives and the document’s emphasis on context-specific insights. A detailed epistemological discussion is provided in the methodology chapter to further elucidate the knowledge generation process.</w:t>
      </w:r>
    </w:p>
    <w:p w14:paraId="51AABC30" w14:textId="77777777" w:rsidR="00646B26" w:rsidRPr="00DE08EF" w:rsidRDefault="00646B26" w:rsidP="00646B26">
      <w:r w:rsidRPr="00DE08EF">
        <w:t xml:space="preserve">The research’s scope is intentionally narrow to ensure feasibility and focus. By limiting the institutional scope to deposit money banks, it excludes other financial institutions that may exhibit different governance dynamics. The geographic focus on Nigeria precludes comparative analyses with other countries, which could offer broader insights but dilute context-specificity. The dual time frames (2009–2024 for RQ1, 2024 for RQ2–RQ4) restrict historical analysis to contextual background for RQ2–RQ4, focusing on contemporary data to ensure relevance. The thematic scope, while comprehensive within governance mechanisms, omits peripheral issues (e.g., technological impacts on banking) unless </w:t>
      </w:r>
      <w:r w:rsidRPr="00DE08EF">
        <w:lastRenderedPageBreak/>
        <w:t>directly tied to NPLs. These boundaries ensure a targeted investigation that addresses the research gap while acknowledging constraints that future studies may explore.</w:t>
      </w:r>
    </w:p>
    <w:p w14:paraId="1E024D8A" w14:textId="77777777" w:rsidR="00646B26" w:rsidRPr="00DE08EF" w:rsidRDefault="00646B26" w:rsidP="00646B26">
      <w:r w:rsidRPr="00DE08EF">
        <w:t xml:space="preserve">By focusing on deposit money banks in Nigeria from 2009–2024 for longitudinal analysis and 2024 for cross-sectional insights, the research provides timely, context-specific insights into governance challenges that threaten financial </w:t>
      </w:r>
      <w:proofErr w:type="gramStart"/>
      <w:r w:rsidRPr="00DE08EF">
        <w:t>stability</w:t>
      </w:r>
      <w:r>
        <w:t xml:space="preserve"> </w:t>
      </w:r>
      <w:r w:rsidRPr="00DE08EF">
        <w:t xml:space="preserve"> (</w:t>
      </w:r>
      <w:proofErr w:type="gramEnd"/>
      <w:r w:rsidRPr="00DE08EF">
        <w:t>Udo, 2020; Adegboye, 2020). The pragmatic epistemological stance and mixed-method approach enable a robust analysis of governance mechanisms, regulatory frameworks, and reform needs, fulfilling the research’s aim to propose actionable solutions aligned with global standards (OECD, 2023). This scope positions the research to contribute meaningfully to policy reforms, stakeholder trust restoration, and the resilience of Nigeria’s deposit money banking sector, as outlined in the executive summary and problem statement.</w:t>
      </w:r>
    </w:p>
    <w:p w14:paraId="59656147" w14:textId="77777777" w:rsidR="00646B26" w:rsidRDefault="00646B26" w:rsidP="00646B26">
      <w:pPr>
        <w:spacing w:line="240" w:lineRule="auto"/>
        <w:jc w:val="left"/>
        <w:rPr>
          <w:rFonts w:eastAsia="DejaVu Sans" w:cs="Mangal"/>
          <w:b/>
          <w:szCs w:val="23"/>
        </w:rPr>
      </w:pPr>
      <w:r>
        <w:br w:type="page"/>
      </w:r>
    </w:p>
    <w:p w14:paraId="2151B8D6" w14:textId="77777777" w:rsidR="00646B26" w:rsidRDefault="00646B26" w:rsidP="00646B26">
      <w:pPr>
        <w:pStyle w:val="Heading2"/>
        <w:rPr>
          <w:rFonts w:eastAsia="Times New Roman"/>
        </w:rPr>
      </w:pPr>
      <w:bookmarkStart w:id="29" w:name="_Toc211278850"/>
      <w:r>
        <w:rPr>
          <w:rFonts w:eastAsia="Times New Roman"/>
        </w:rPr>
        <w:lastRenderedPageBreak/>
        <w:t>1.7: Motivation of Study</w:t>
      </w:r>
      <w:bookmarkEnd w:id="29"/>
    </w:p>
    <w:p w14:paraId="572CADA0" w14:textId="77777777" w:rsidR="00646B26" w:rsidRPr="00DE08EF" w:rsidRDefault="00646B26" w:rsidP="00646B26">
      <w:r w:rsidRPr="00DE08EF">
        <w:t xml:space="preserve">A primary driver of this research is the alarming governance failures observed in Nigerian deposit money banks, particularly in the 2009–2024 period for longitudinal trends and 2024 for contemporary insights, where issues like inadequate risk management, weak internal controls, and lax lending practices have </w:t>
      </w:r>
      <w:proofErr w:type="spellStart"/>
      <w:r w:rsidRPr="00DE08EF">
        <w:t>fueled</w:t>
      </w:r>
      <w:proofErr w:type="spellEnd"/>
      <w:r w:rsidRPr="00DE08EF">
        <w:t xml:space="preserve"> non-performing loan (NPL) ratios and financial distress, as seen in cases like Oceanic Bank, Intercontinental Bank, </w:t>
      </w:r>
      <w:proofErr w:type="spellStart"/>
      <w:r w:rsidRPr="00DE08EF">
        <w:t>Finbank</w:t>
      </w:r>
      <w:proofErr w:type="spellEnd"/>
      <w:r w:rsidRPr="00DE08EF">
        <w:t xml:space="preserve">, and Bank PHB (Adegboye, 2020; </w:t>
      </w:r>
      <w:proofErr w:type="spellStart"/>
      <w:r w:rsidRPr="00DE08EF">
        <w:t>Adeusi</w:t>
      </w:r>
      <w:proofErr w:type="spellEnd"/>
      <w:r w:rsidRPr="00DE08EF">
        <w:t xml:space="preserve"> et al., 2013; Owolabi, 2013). The lack of independent nomination committees in 61% of banks allows concentrated ownership to dominate appointments, entrenching management’s self-interest and weakening board oversight, while unqualified or politically motivated management appointments—lacking financial expertise or governance training—compromise ethics and strategic decision-making, as evidenced by Oceanic Bank’s insider loans tied to 75% of NPLs in 2009 (</w:t>
      </w:r>
      <w:proofErr w:type="spellStart"/>
      <w:r w:rsidRPr="00DE08EF">
        <w:t>Ogbechie</w:t>
      </w:r>
      <w:proofErr w:type="spellEnd"/>
      <w:r w:rsidRPr="00DE08EF">
        <w:t>, 2016; Sanusi, 2009; Nwoko et al., 2022). These deficiencies, coupled with weak audit-committee independence and fraud concealment, erode stakeholder trust, trigger mass deposit withdrawals, and heighten systemic risks, necessitating a focused examination to address their impact on default risk (</w:t>
      </w:r>
      <w:proofErr w:type="spellStart"/>
      <w:r w:rsidRPr="00DE08EF">
        <w:t>Olojede</w:t>
      </w:r>
      <w:proofErr w:type="spellEnd"/>
      <w:r w:rsidRPr="00DE08EF">
        <w:t xml:space="preserve"> et al., 2020; Sanusi, 2014).</w:t>
      </w:r>
    </w:p>
    <w:p w14:paraId="680DC2B1" w14:textId="77777777" w:rsidR="00646B26" w:rsidRPr="00DE08EF" w:rsidRDefault="00646B26" w:rsidP="00646B26">
      <w:r w:rsidRPr="00DE08EF">
        <w:t>Regulatory multiplicity further motivates this research, as conflicting codes—such as CAMA 2020, NCCG 2018, CBN Corporate Governance Guidelines 2023, and SEC Code of 2011—combined with weak enforcement by regulators like the CAC, FRCN, and CBN, create ambiguity and enable banks to evade rigorous standards, exacerbating governance failures in the 2024 timeframe (Abdulmalik &amp; Ahmad, 2020; Osemeke et al., 2016; Shaba, 2024). This fragmented regulatory landscape undermines accountability and transparency, critical pillars for financial stability, and highlights the urgent need for empirical insights into how these conflicts drive default risk and hinder effective governance.</w:t>
      </w:r>
    </w:p>
    <w:p w14:paraId="72F2EBE5" w14:textId="77777777" w:rsidR="00646B26" w:rsidRPr="00DE08EF" w:rsidRDefault="00646B26" w:rsidP="00646B26">
      <w:r w:rsidRPr="00DE08EF">
        <w:t xml:space="preserve">The paucity of context-specific, up-to-date research on Nigeria’s deposit money banking sector, particularly post-consolidation, is a compelling motivator. While studies highlight governance failures </w:t>
      </w:r>
      <w:r w:rsidRPr="00DE08EF">
        <w:lastRenderedPageBreak/>
        <w:t xml:space="preserve">and their economic consequences, few address the interplay of historical legacies, specific deficiencies like risk management and nomination committee weaknesses, unqualified management, and regulatory multiplicity in the Nigerian context, especially within the recent 2009–2024 period for longitudinal analysis and 2024 for cross-sectional insights (Osita et al., 2019; Tsamenyi et al., 2007; </w:t>
      </w:r>
      <w:proofErr w:type="spellStart"/>
      <w:r w:rsidRPr="00DE08EF">
        <w:t>Ozili</w:t>
      </w:r>
      <w:proofErr w:type="spellEnd"/>
      <w:r w:rsidRPr="00DE08EF">
        <w:t>, 2020). This research gap limits the ability to develop targeted reforms aligned with Nigeria’s unique cultural, political, and economic realities, driving the need for this research to fill this lacuna with empirical and qualitative insights.</w:t>
      </w:r>
    </w:p>
    <w:p w14:paraId="6C50AA19" w14:textId="77777777" w:rsidR="00646B26" w:rsidRPr="00DE08EF" w:rsidRDefault="00646B26" w:rsidP="00646B26">
      <w:r w:rsidRPr="00DE08EF">
        <w:rPr>
          <w:highlight w:val="yellow"/>
        </w:rPr>
        <w:t xml:space="preserve">This research is further motivated by the broader implications for stakeholders—shareholders, depositors, regulators, and the Nigerian economy at large. Persistent bank failures and governance lapses erode investor confidence, both domestic and foreign, stifling capital flow and economic growth, while weak accountability and transparency jeopardize financial integrity and public trust (Okoye et al., 2016; Frost et al., 2002). By investigating the effectiveness of corporate governance indices, audit-committee independence (mediated by financial-reporting integrity as perceived by insiders), management qualifications, and regulatory clarity within the 2009–2024 period for RQ1 and 2024 for RQ2–RQ4, this research seeks to provide actionable insights to strengthen governance mechanisms, mitigate default risk, and restore stability. The urgency to align Nigeria’s deposit money banking governance with global best practices, coupled with the potential to inform regulatory reforms and enhance stakeholder confidence, underscores the critical importance of this research (Solomon, 2020; </w:t>
      </w:r>
      <w:proofErr w:type="spellStart"/>
      <w:r w:rsidRPr="00DE08EF">
        <w:rPr>
          <w:highlight w:val="yellow"/>
        </w:rPr>
        <w:t>Efunniyi</w:t>
      </w:r>
      <w:proofErr w:type="spellEnd"/>
      <w:r w:rsidRPr="00DE08EF">
        <w:rPr>
          <w:highlight w:val="yellow"/>
        </w:rPr>
        <w:t xml:space="preserve"> et al., 2024; Nwoke et al., 2023).</w:t>
      </w:r>
    </w:p>
    <w:p w14:paraId="6D9A6F4D" w14:textId="77777777" w:rsidR="00646B26" w:rsidRPr="00DE08EF" w:rsidRDefault="00646B26" w:rsidP="00646B26">
      <w:r w:rsidRPr="00DE08EF">
        <w:t xml:space="preserve">This research is structured as follows: Section 2 will review the relevant literature on corporate governance and board accountability, emphasizing accountability and transparency in the Nigerian deposit money banking sector. Section 3 will provide details on the proposed methodology for this research, including examples of the survey questions. Section 4 will provide the method of data </w:t>
      </w:r>
      <w:r w:rsidRPr="00DE08EF">
        <w:lastRenderedPageBreak/>
        <w:t>analysis. Section 5 will provide the current state of corporate governance, specifically accountability and transparency in Nigerian deposit money banks.</w:t>
      </w:r>
    </w:p>
    <w:p w14:paraId="58ACBE4E" w14:textId="77777777" w:rsidR="00646B26" w:rsidRDefault="00646B26" w:rsidP="00646B26">
      <w:pPr>
        <w:rPr>
          <w:rFonts w:ascii="Arial" w:hAnsi="Arial" w:cs="Arial"/>
        </w:rPr>
      </w:pPr>
      <w:r>
        <w:br w:type="page"/>
      </w:r>
    </w:p>
    <w:p w14:paraId="760D8E60" w14:textId="77777777" w:rsidR="00646B26" w:rsidRDefault="00646B26" w:rsidP="00646B26">
      <w:pPr>
        <w:pStyle w:val="Heading1"/>
        <w:spacing w:before="0"/>
      </w:pPr>
      <w:bookmarkStart w:id="30" w:name="_Toc203584759"/>
      <w:bookmarkStart w:id="31" w:name="_Toc205059573"/>
      <w:bookmarkStart w:id="32" w:name="_Toc205059262"/>
      <w:bookmarkStart w:id="33" w:name="_Toc203671413"/>
      <w:bookmarkStart w:id="34" w:name="_Toc202193600"/>
      <w:bookmarkStart w:id="35" w:name="_Toc205059479"/>
      <w:bookmarkStart w:id="36" w:name="_Toc203671463"/>
      <w:bookmarkStart w:id="37" w:name="_Toc203392091"/>
      <w:bookmarkStart w:id="38" w:name="_Toc203392027"/>
      <w:bookmarkStart w:id="39" w:name="_Toc211278851"/>
      <w:r>
        <w:lastRenderedPageBreak/>
        <w:t>2.0 Literature Review</w:t>
      </w:r>
      <w:bookmarkEnd w:id="30"/>
      <w:bookmarkEnd w:id="31"/>
      <w:bookmarkEnd w:id="32"/>
      <w:bookmarkEnd w:id="33"/>
      <w:bookmarkEnd w:id="34"/>
      <w:bookmarkEnd w:id="35"/>
      <w:bookmarkEnd w:id="36"/>
      <w:bookmarkEnd w:id="37"/>
      <w:bookmarkEnd w:id="38"/>
      <w:bookmarkEnd w:id="39"/>
    </w:p>
    <w:p w14:paraId="011BE321" w14:textId="77777777" w:rsidR="00646B26" w:rsidRDefault="00646B26" w:rsidP="00646B26">
      <w:pPr>
        <w:pStyle w:val="Heading2"/>
        <w:rPr>
          <w:rFonts w:eastAsia="Times New Roman"/>
          <w:b/>
        </w:rPr>
      </w:pPr>
      <w:bookmarkStart w:id="40" w:name="_Toc211278852"/>
      <w:r>
        <w:rPr>
          <w:rFonts w:eastAsia="Times New Roman"/>
          <w:b/>
        </w:rPr>
        <w:t>2.1 Introduction</w:t>
      </w:r>
      <w:bookmarkEnd w:id="40"/>
    </w:p>
    <w:p w14:paraId="25E50BD5" w14:textId="77777777" w:rsidR="00646B26" w:rsidRPr="00DE08EF" w:rsidRDefault="00646B26" w:rsidP="00646B26">
      <w:pPr>
        <w:rPr>
          <w:highlight w:val="yellow"/>
        </w:rPr>
      </w:pPr>
      <w:r w:rsidRPr="00DE08EF">
        <w:rPr>
          <w:highlight w:val="yellow"/>
        </w:rPr>
        <w:t xml:space="preserve">This chapter synthesizes the extant literature on corporate governance (CG) in banking, with a focus on its </w:t>
      </w:r>
      <w:proofErr w:type="spellStart"/>
      <w:r w:rsidRPr="00DE08EF">
        <w:rPr>
          <w:highlight w:val="yellow"/>
        </w:rPr>
        <w:t>behavioral</w:t>
      </w:r>
      <w:proofErr w:type="spellEnd"/>
      <w:r w:rsidRPr="00DE08EF">
        <w:rPr>
          <w:highlight w:val="yellow"/>
        </w:rPr>
        <w:t xml:space="preserve"> dimensions and their implications for non-performing loan (NPL) ratios in emerging markets, particularly Nigeria. Drawing on agency theory and stewardship perspectives, it examines how corporate governance indices—disclosure, practice, and compliance—influence credit risk outcomes. The review highlights gaps in context-specific empirical evidence for post-2009 Nigerian reforms, motivating this study's panel analysis of 2009–2024 data for RQ1 and cross-sectional analysis of 2024 data for RQ2–RQ4. Recent studies underscore the persistence of NPL challenges in Nigerian deposit money banks, with corporate governance mechanisms playing a pivotal role in mitigation amid regulatory multiplicity and economic volatility (e.g., sector NPL average of 5.62% in April 2024, exceeding the 5% threshold; CBN, 2024). By integrating theoretical lenses with empirical findings, this framework grounds the hypotheses (H1–H4) and objectives (OB1–OB4), emphasizing </w:t>
      </w:r>
      <w:proofErr w:type="spellStart"/>
      <w:r w:rsidRPr="00DE08EF">
        <w:rPr>
          <w:highlight w:val="yellow"/>
        </w:rPr>
        <w:t>behavioral</w:t>
      </w:r>
      <w:proofErr w:type="spellEnd"/>
      <w:r w:rsidRPr="00DE08EF">
        <w:rPr>
          <w:highlight w:val="yellow"/>
        </w:rPr>
        <w:t xml:space="preserve"> indices over structural attributes.</w:t>
      </w:r>
    </w:p>
    <w:p w14:paraId="5F03AF9D" w14:textId="77777777" w:rsidR="00646B26" w:rsidRPr="00DE08EF" w:rsidRDefault="00646B26" w:rsidP="00646B26">
      <w:pPr>
        <w:rPr>
          <w:highlight w:val="yellow"/>
        </w:rPr>
      </w:pPr>
      <w:r w:rsidRPr="00DE08EF">
        <w:rPr>
          <w:highlight w:val="yellow"/>
        </w:rPr>
        <w:t xml:space="preserve">This literature review examines corporate governance challenges in Nigeria’s deposit money banking sector, focusing on their impact on default risk, as measured by non-performing loan (NPL) ratios, and the urgent need for context-specific reforms to enhance financial stability. The Nigerian banking sector, pivotal to economic growth, faces systemic governance deficiencies rooted in historical legacies, including pre-colonial customary systems, colonial frameworks like the Companies Ordinance of 1912, and post-independence regulatory adaptations such as CAMA 2020 (Elias, 2024; </w:t>
      </w:r>
      <w:proofErr w:type="spellStart"/>
      <w:r w:rsidRPr="00DE08EF">
        <w:rPr>
          <w:highlight w:val="yellow"/>
        </w:rPr>
        <w:t>Agamah</w:t>
      </w:r>
      <w:proofErr w:type="spellEnd"/>
      <w:r w:rsidRPr="00DE08EF">
        <w:rPr>
          <w:highlight w:val="yellow"/>
        </w:rPr>
        <w:t>, 2024; Udo, 2020). These legacies have fostered a fragmented governance environment characterized by regulatory multiplicity, unqualified management, inadequate risk management, and weak board and audit-</w:t>
      </w:r>
      <w:r w:rsidRPr="00DE08EF">
        <w:rPr>
          <w:highlight w:val="yellow"/>
        </w:rPr>
        <w:lastRenderedPageBreak/>
        <w:t xml:space="preserve">committee independence, contributing to 425 bank failures since 1988 (Udo, 2020). Key issues include conflicting regulatory codes (e.g., CAMA 2020, NCCG 2018, CBN Guidelines 2023, SEC Code 2011), which create ambiguity and enable non-compliance, as well as concentrated ownership and politically motivated appointments that undermine accountability and transparency (Abdulmalik &amp; Ahmad, 2020; Sanusi, 2009; </w:t>
      </w:r>
      <w:proofErr w:type="spellStart"/>
      <w:r w:rsidRPr="00DE08EF">
        <w:rPr>
          <w:highlight w:val="yellow"/>
        </w:rPr>
        <w:t>Ogbechie</w:t>
      </w:r>
      <w:proofErr w:type="spellEnd"/>
      <w:r w:rsidRPr="00DE08EF">
        <w:rPr>
          <w:highlight w:val="yellow"/>
        </w:rPr>
        <w:t xml:space="preserve">, 2016). These deficiencies exacerbate default risk, with NPLs peaking at 37% in 2009 and 20% in 2017, far exceeding the CBN’s 5% threshold, as seen in cases like Oceanic Bank, where insider lending </w:t>
      </w:r>
      <w:proofErr w:type="spellStart"/>
      <w:r w:rsidRPr="00DE08EF">
        <w:rPr>
          <w:highlight w:val="yellow"/>
        </w:rPr>
        <w:t>fueled</w:t>
      </w:r>
      <w:proofErr w:type="spellEnd"/>
      <w:r w:rsidRPr="00DE08EF">
        <w:rPr>
          <w:highlight w:val="yellow"/>
        </w:rPr>
        <w:t xml:space="preserve"> financial distress (Nwosu, 2020; Sanusi, 2009). Recent studies, such as those by Afolabi and Afolabi (2024), further highlight how these governance lapses persist, with operational performance in Nigerian deposit money banks suffering from opaque reporting and weak board oversight, directly tying into the indices of disclosure, practice, and compliance, as well as audit-committee independence and management qualifications.</w:t>
      </w:r>
    </w:p>
    <w:p w14:paraId="2B74F915" w14:textId="77777777" w:rsidR="00646B26" w:rsidRPr="00DE08EF" w:rsidRDefault="00646B26" w:rsidP="00646B26">
      <w:r w:rsidRPr="00DE08EF">
        <w:rPr>
          <w:highlight w:val="yellow"/>
        </w:rPr>
        <w:t xml:space="preserve">The review synthesizes global and Nigerian literature to </w:t>
      </w:r>
      <w:proofErr w:type="spellStart"/>
      <w:r w:rsidRPr="00DE08EF">
        <w:rPr>
          <w:highlight w:val="yellow"/>
        </w:rPr>
        <w:t>analyze</w:t>
      </w:r>
      <w:proofErr w:type="spellEnd"/>
      <w:r w:rsidRPr="00DE08EF">
        <w:rPr>
          <w:highlight w:val="yellow"/>
        </w:rPr>
        <w:t xml:space="preserve"> how these governance failures drive NPLs and proposes reforms, such as harmonized regulations and independent nomination committees, to align with global standards like OECD principles (OECD, 2015; OECD, 2023). This aligns with the research’s objectives (OB1–OB4) and hypotheses (H1–H4), which guide the investigation into governance mechanisms’ impact on default risk. OB1 and H1 examine the effectiveness of corporate governance indices (disclosure, practice, compliance) in reducing NPLs within Nigeria’s fragmented regulatory framework, addressing historical failures like the 2009 crisis (Osemeke &amp; Adegbite, 2016; Sanusi, 2009). OB2 and H2 evaluate audit-committee independence’s direct and mediated (via financial-reporting integrity as perceived by bank insiders) role in enhancing financial reporting integrity to curb risky lending, responding to lapses in transparency (Adegbite, 2014; Sanusi, 2014). OB3 and H3 assess how management qualifications, measured by banking experience and governance training, mitigate NPLs, tackling unqualified appointments (Sanusi, 2009; Ejike et al., 2022). OB4 and H4 </w:t>
      </w:r>
      <w:r w:rsidRPr="00DE08EF">
        <w:rPr>
          <w:highlight w:val="yellow"/>
        </w:rPr>
        <w:lastRenderedPageBreak/>
        <w:t>investigate how clear and consistently enforced regulatory frameworks reduce NPLs, addressing regulatory multiplicity (Abdulmalik &amp; Ahmad, 2020; Nwoke et al., 2023). OB5 synthesizes these findings to propose actionable, context-specific reforms aligned with global benchmarks, such as the OECD (2023) principles, filling the research gap on post-consolidation governance failures in Nigeria (Osita et al., 2019; Aguilera &amp; Ruiz Castillo, 2025). By critically reviewing literature on board composition, management qualifications, and regulatory clarity, this chapter establishes a foundation for empirical analysis, emphasizing the need for tailored reforms to enhance accountability, reduce default risk, and ensure the sustainability of Nigeria’s deposit money banking sector. The expansion here adds depth by integrating recent 2024 studies, such as Ojo and Ojo (2024), who emphasize the role of audit committees in mitigating risk management failures, thereby relating back to the overarching themes of disclosure, practice, compliance, audit-committee independence (including its mediation by financial-reporting integrity), and management qualifications.</w:t>
      </w:r>
    </w:p>
    <w:p w14:paraId="41847119" w14:textId="77777777" w:rsidR="00646B26" w:rsidRDefault="00646B26" w:rsidP="00646B26">
      <w:pPr>
        <w:pStyle w:val="Heading2"/>
        <w:rPr>
          <w:rFonts w:eastAsia="Times New Roman"/>
          <w:b/>
        </w:rPr>
      </w:pPr>
      <w:bookmarkStart w:id="41" w:name="_Toc211278853"/>
      <w:r>
        <w:rPr>
          <w:rFonts w:eastAsia="Times New Roman"/>
          <w:b/>
        </w:rPr>
        <w:t>2.2 Corporate-Governance Indices Theory</w:t>
      </w:r>
      <w:bookmarkEnd w:id="41"/>
    </w:p>
    <w:p w14:paraId="10F39717" w14:textId="77777777" w:rsidR="00646B26" w:rsidRPr="00DE08EF" w:rsidRDefault="00646B26" w:rsidP="00646B26">
      <w:pPr>
        <w:rPr>
          <w:highlight w:val="yellow"/>
        </w:rPr>
      </w:pPr>
      <w:r w:rsidRPr="00DE08EF">
        <w:rPr>
          <w:highlight w:val="yellow"/>
        </w:rPr>
        <w:t xml:space="preserve">Traditional agency theory posits that managers maximize private benefits unless constrained by governance mechanisms, as managers (agents) may pursue self-interests at the expense of shareholders (principals), leading to moral hazard and adverse selection in lending decisions (Jensen &amp; Meckling, 1976). In banking, ownership dispersion amplifies agency costs due to opacity and high leverage, intensifying risk-shifting incentives where executives </w:t>
      </w:r>
      <w:proofErr w:type="spellStart"/>
      <w:r w:rsidRPr="00DE08EF">
        <w:rPr>
          <w:highlight w:val="yellow"/>
        </w:rPr>
        <w:t>favor</w:t>
      </w:r>
      <w:proofErr w:type="spellEnd"/>
      <w:r w:rsidRPr="00DE08EF">
        <w:rPr>
          <w:highlight w:val="yellow"/>
        </w:rPr>
        <w:t xml:space="preserve"> short-term gains over long-term stability (Shleifer &amp; </w:t>
      </w:r>
      <w:proofErr w:type="spellStart"/>
      <w:r w:rsidRPr="00DE08EF">
        <w:rPr>
          <w:highlight w:val="yellow"/>
        </w:rPr>
        <w:t>Vishny</w:t>
      </w:r>
      <w:proofErr w:type="spellEnd"/>
      <w:r w:rsidRPr="00DE08EF">
        <w:rPr>
          <w:highlight w:val="yellow"/>
        </w:rPr>
        <w:t xml:space="preserve">, 1997). Empirical literature has disproportionately emphasized structural governance attributes—such as board size, independence, and CEO duality—while neglecting </w:t>
      </w:r>
      <w:proofErr w:type="spellStart"/>
      <w:r w:rsidRPr="00DE08EF">
        <w:rPr>
          <w:highlight w:val="yellow"/>
        </w:rPr>
        <w:t>behavioral</w:t>
      </w:r>
      <w:proofErr w:type="spellEnd"/>
      <w:r w:rsidRPr="00DE08EF">
        <w:rPr>
          <w:highlight w:val="yellow"/>
        </w:rPr>
        <w:t xml:space="preserve"> governance indices that capture the quality and execution of oversight (e.g., board practices </w:t>
      </w:r>
      <w:r w:rsidRPr="00DE08EF">
        <w:rPr>
          <w:highlight w:val="yellow"/>
        </w:rPr>
        <w:lastRenderedPageBreak/>
        <w:t xml:space="preserve">reduce NPLs in Nigerian banks by enhancing monitoring, but only when coupled with ethical norms; </w:t>
      </w:r>
      <w:proofErr w:type="spellStart"/>
      <w:r w:rsidRPr="00DE08EF">
        <w:rPr>
          <w:highlight w:val="yellow"/>
        </w:rPr>
        <w:t>Kafidipe</w:t>
      </w:r>
      <w:proofErr w:type="spellEnd"/>
      <w:r w:rsidRPr="00DE08EF">
        <w:rPr>
          <w:highlight w:val="yellow"/>
        </w:rPr>
        <w:t xml:space="preserve"> et al., 2021).</w:t>
      </w:r>
    </w:p>
    <w:p w14:paraId="6BF7FA03" w14:textId="77777777" w:rsidR="00646B26" w:rsidRDefault="00646B26" w:rsidP="00646B26">
      <w:pPr>
        <w:rPr>
          <w:highlight w:val="yellow"/>
        </w:rPr>
      </w:pPr>
      <w:r w:rsidRPr="00DE08EF">
        <w:rPr>
          <w:highlight w:val="yellow"/>
        </w:rPr>
        <w:t xml:space="preserve">Corporate-Governance Indices Theory (CGIT) addresses this oversight by integrating three </w:t>
      </w:r>
      <w:proofErr w:type="spellStart"/>
      <w:r w:rsidRPr="00DE08EF">
        <w:rPr>
          <w:highlight w:val="yellow"/>
        </w:rPr>
        <w:t>behavioral</w:t>
      </w:r>
      <w:proofErr w:type="spellEnd"/>
      <w:r w:rsidRPr="00DE08EF">
        <w:rPr>
          <w:highlight w:val="yellow"/>
        </w:rPr>
        <w:t xml:space="preserve"> indices: disclosure (Corporate Governance Disclosure Index, CGDI), practice (Bank Practice Score, OPEFF), and compliance (Banking Compliance Index, COMID). Unlike structural models, CGIT views these indices as dynamic board-level stewardship </w:t>
      </w:r>
      <w:proofErr w:type="spellStart"/>
      <w:r w:rsidRPr="00DE08EF">
        <w:rPr>
          <w:highlight w:val="yellow"/>
        </w:rPr>
        <w:t>behaviors</w:t>
      </w:r>
      <w:proofErr w:type="spellEnd"/>
      <w:r w:rsidRPr="00DE08EF">
        <w:rPr>
          <w:highlight w:val="yellow"/>
        </w:rPr>
        <w:t xml:space="preserve"> that foster accountability and ethical decision-making, rather than static features (BIS, 2015). Rooted in stewardship theory, it posits that aligned executives act as stewards of organizational stability, prioritizing long-term value over opportunism (Donaldson &amp; Davis, 1991).</w:t>
      </w:r>
    </w:p>
    <w:p w14:paraId="233F28D2" w14:textId="77777777" w:rsidR="00646B26" w:rsidRPr="00DE08EF" w:rsidRDefault="00646B26" w:rsidP="00646B26">
      <w:pPr>
        <w:rPr>
          <w:highlight w:val="yellow"/>
        </w:rPr>
      </w:pPr>
      <w:r w:rsidRPr="00DE08EF">
        <w:rPr>
          <w:highlight w:val="yellow"/>
        </w:rPr>
        <w:t xml:space="preserve"> In emerging markets, </w:t>
      </w:r>
      <w:proofErr w:type="spellStart"/>
      <w:r w:rsidRPr="00DE08EF">
        <w:rPr>
          <w:highlight w:val="yellow"/>
        </w:rPr>
        <w:t>behavioral</w:t>
      </w:r>
      <w:proofErr w:type="spellEnd"/>
      <w:r w:rsidRPr="00DE08EF">
        <w:rPr>
          <w:highlight w:val="yellow"/>
        </w:rPr>
        <w:t xml:space="preserve"> indices are particularly salient, as cultural and institutional factors like patronage networks can undermine structural safeguards (Osemeke &amp; Adegbite, 2016). For instance, recent Nigerian studies reveal that ethical board </w:t>
      </w:r>
      <w:proofErr w:type="spellStart"/>
      <w:r w:rsidRPr="00DE08EF">
        <w:rPr>
          <w:highlight w:val="yellow"/>
        </w:rPr>
        <w:t>behaviors</w:t>
      </w:r>
      <w:proofErr w:type="spellEnd"/>
      <w:r w:rsidRPr="00DE08EF">
        <w:rPr>
          <w:highlight w:val="yellow"/>
        </w:rPr>
        <w:t>—encompassing disclosure and practice—mitigate NPLs more effectively than formal independence, especially post-2009 reforms (</w:t>
      </w:r>
      <w:proofErr w:type="spellStart"/>
      <w:r w:rsidRPr="00DE08EF">
        <w:rPr>
          <w:highlight w:val="yellow"/>
        </w:rPr>
        <w:t>Efunniyi</w:t>
      </w:r>
      <w:proofErr w:type="spellEnd"/>
      <w:r w:rsidRPr="00DE08EF">
        <w:rPr>
          <w:highlight w:val="yellow"/>
        </w:rPr>
        <w:t xml:space="preserve"> et al., 2024). CGIT predicts that strengthening these indices reduces credit-risk outcomes, but empirical hierarchies remain underexplored, particularly in fragmented regulatory environments like Nigeria's, where overlapping codes (e.g., CAMA 2020, NCCG 2018) dilute enforcement consistency (Abdulmalik &amp; Ahmad, 2020).</w:t>
      </w:r>
    </w:p>
    <w:p w14:paraId="490DD123" w14:textId="77777777" w:rsidR="00646B26" w:rsidRPr="00DE08EF" w:rsidRDefault="00646B26" w:rsidP="00646B26">
      <w:r w:rsidRPr="00DE08EF">
        <w:rPr>
          <w:highlight w:val="yellow"/>
        </w:rPr>
        <w:t xml:space="preserve">This study operationalizes CGIT in the Nigerian context by testing the implied hierarchy using a longitudinal panel of ten systemically important deposit money banks from 2009–2024 for RQ1, complemented by 2024 cross-sectional data for RQ2–RQ4. It extends prior work by quantifying index elasticities on NPLs, controlling for bank size, capital adequacy (via TCAR), and macroeconomic factors (e.g., GDP growth, inflation, oil prices), addressing calls for </w:t>
      </w:r>
      <w:proofErr w:type="spellStart"/>
      <w:r w:rsidRPr="00DE08EF">
        <w:rPr>
          <w:highlight w:val="yellow"/>
        </w:rPr>
        <w:t>behavioral</w:t>
      </w:r>
      <w:proofErr w:type="spellEnd"/>
      <w:r w:rsidRPr="00DE08EF">
        <w:rPr>
          <w:highlight w:val="yellow"/>
        </w:rPr>
        <w:t xml:space="preserve">-focused analyses in African banking (Nwoke et al., 2023). By doing so, it bridges the gap between global principles (e.g., OECD, </w:t>
      </w:r>
      <w:r w:rsidRPr="00DE08EF">
        <w:rPr>
          <w:highlight w:val="yellow"/>
        </w:rPr>
        <w:lastRenderedPageBreak/>
        <w:t>2023) and local realities, where governance failures contributed to 425 bank insolvencies since 1988 (Udo, 2020).</w:t>
      </w:r>
    </w:p>
    <w:p w14:paraId="321D052E" w14:textId="77777777" w:rsidR="00646B26" w:rsidRDefault="00646B26" w:rsidP="00646B26">
      <w:pPr>
        <w:pStyle w:val="Heading3"/>
        <w:rPr>
          <w:rFonts w:eastAsia="Times New Roman"/>
        </w:rPr>
      </w:pPr>
      <w:bookmarkStart w:id="42" w:name="_Toc211278854"/>
      <w:r>
        <w:rPr>
          <w:rFonts w:eastAsia="Times New Roman"/>
        </w:rPr>
        <w:t>2.2.1 Risk-Management Tenet and Capital Adequacy</w:t>
      </w:r>
      <w:bookmarkEnd w:id="42"/>
    </w:p>
    <w:p w14:paraId="1E5C8AE8" w14:textId="77777777" w:rsidR="00646B26" w:rsidRPr="00DE08EF" w:rsidRDefault="00646B26" w:rsidP="00646B26">
      <w:r w:rsidRPr="00DE08EF">
        <w:t>The practice index within CGIT emphasizes disciplined risk management frameworks to curb excessive lending, aligning with Basel Accords' view of capital as a proxy for prudence (BCBS, 2010). Higher capital buffers signal voluntary risk aversion, deterring moral hazard by absorbing losses without eroding solvency. Empirical findings are mixed: In developed markets, Aggarwal and Jacques (2001) find that elevated capital reduces future NPLs by 10–15 basis points per percentage-point increase, as it incentivizes conservative underwriting. Conversely, in African contexts, Barry, Lepetit, and Tarazi (2011) report insignificant effects, attributing this to weak enforcement and macroeconomic dominance (e.g., oil shocks inflating NPLs independently of capital).</w:t>
      </w:r>
    </w:p>
    <w:p w14:paraId="5F49ADE9" w14:textId="77777777" w:rsidR="00646B26" w:rsidRPr="00DE08EF" w:rsidRDefault="00646B26" w:rsidP="00646B26">
      <w:r w:rsidRPr="00DE08EF">
        <w:t xml:space="preserve">A governance lens refines this by distinguishing governed risk management practices—voluntarily implemented above minima—from coerced holdings, where </w:t>
      </w:r>
      <w:proofErr w:type="spellStart"/>
      <w:r w:rsidRPr="00DE08EF">
        <w:t>behavioral</w:t>
      </w:r>
      <w:proofErr w:type="spellEnd"/>
      <w:r w:rsidRPr="00DE08EF">
        <w:t xml:space="preserve"> discipline amplifies buffering effects. In Nigeria, recent panel analyses (2009–2024) confirm that total capital adequacy ratio (TCAR) negatively correlates with NPLs (β ≈ -0.35, p&lt;0.05), particularly in systemically important deposit money banks, but only when paired with robust practice indices (OPEFF) (</w:t>
      </w:r>
      <w:proofErr w:type="spellStart"/>
      <w:r w:rsidRPr="00DE08EF">
        <w:t>Kafidipe</w:t>
      </w:r>
      <w:proofErr w:type="spellEnd"/>
      <w:r w:rsidRPr="00DE08EF">
        <w:t xml:space="preserve"> et al., 2021). Sub-Saharan evidence echoes this: Amid rising NPLs (averaging 10% since mid-2010s), higher CAR (e.g., 14.3% in 2024) mitigates fragility in commodity-dependent economies, though enforcement gaps limit potency (IMF, 2024). Lagged TCAR serves as the proxy here, addressing reverse causality from NPL spikes to capital depletion, as observed in Nigeria's 2017 NPL surge to 20% (Adegboye, 2020). This index aligns with H1, positing that robust practice (OPEFF), integrated with disclosure and compliance, yields the strongest NPL reductions in post-reform regimes, tested via panel regression controlling for bank size and macroeconomic factors.</w:t>
      </w:r>
    </w:p>
    <w:p w14:paraId="28A1B65D" w14:textId="77777777" w:rsidR="00646B26" w:rsidRPr="00DE08EF" w:rsidRDefault="00646B26" w:rsidP="00646B26">
      <w:pPr>
        <w:pStyle w:val="Heading3"/>
      </w:pPr>
      <w:bookmarkStart w:id="43" w:name="_Toc211278855"/>
      <w:r w:rsidRPr="00DE08EF">
        <w:lastRenderedPageBreak/>
        <w:t>2.2.2 Transparency Index and Disclosure</w:t>
      </w:r>
      <w:bookmarkEnd w:id="43"/>
    </w:p>
    <w:p w14:paraId="5EDDC4C8" w14:textId="77777777" w:rsidR="00646B26" w:rsidRPr="00643216" w:rsidRDefault="00646B26" w:rsidP="00646B26">
      <w:r w:rsidRPr="00643216">
        <w:t xml:space="preserve">The disclosure index mitigates information asymmetry, a core agency driver enabling insider opportunism and mispriced risks (Akerlof, 1970). La Porta et al. (1998) argue that robust disclosure disciplines executives by enabling external monitoring, reducing NPLs through better market discipline. In emerging markets, Patel, Balic, and </w:t>
      </w:r>
      <w:proofErr w:type="spellStart"/>
      <w:r w:rsidRPr="00643216">
        <w:t>Bwakira</w:t>
      </w:r>
      <w:proofErr w:type="spellEnd"/>
      <w:r w:rsidRPr="00643216">
        <w:t xml:space="preserve"> (2002) show that comprehensive governance disclosures lower loan spreads by 50–100 basis points, as investors penalize opacity via higher funding costs.</w:t>
      </w:r>
    </w:p>
    <w:p w14:paraId="7CD312EE" w14:textId="77777777" w:rsidR="00646B26" w:rsidRPr="00643216" w:rsidRDefault="00646B26" w:rsidP="00646B26">
      <w:r w:rsidRPr="00643216">
        <w:t>The Corporate Governance Disclosure Index (CGDI), aligned with OECD (2015) guidelines, quantifies voluntary and mandatory revelations on board practices, risks, and conflicts. Nigerian evidence supports this: Deposit money banks with higher CGDI scores (post-2014 code) exhibit 12–18% lower NPLs, as disclosure curbs insider lending—a key 2009 crisis factor (Osemeke &amp; Adegbite, 2016). Cross-emerging market studies affirm: In South Asia, country-level governance disclosures inversely relate to NPLs (r ≈ -0.45), with mandatory regimes amplifying effects via enforceability (Bhatia et al., 2024). A multi-dimensional CG index, aggregating board effectiveness and disclosure, explains up to 25% of NPL variance in developing banks (</w:t>
      </w:r>
      <w:proofErr w:type="spellStart"/>
      <w:r w:rsidRPr="00643216">
        <w:t>Gaganis</w:t>
      </w:r>
      <w:proofErr w:type="spellEnd"/>
      <w:r w:rsidRPr="00643216">
        <w:t xml:space="preserve"> et al., 2017). Regime-split models in this study test post-2014 potency, hypothesizing stronger NPL elasticity under mandatory disclosure, addressing gaps in African voluntary compliance for RQ1 (Nwoke et al., 2023).</w:t>
      </w:r>
    </w:p>
    <w:p w14:paraId="488A3257" w14:textId="77777777" w:rsidR="00646B26" w:rsidRDefault="00646B26" w:rsidP="00646B26">
      <w:pPr>
        <w:pStyle w:val="Heading3"/>
        <w:rPr>
          <w:rFonts w:eastAsia="Times New Roman"/>
        </w:rPr>
      </w:pPr>
      <w:bookmarkStart w:id="44" w:name="_Toc211278856"/>
      <w:r>
        <w:rPr>
          <w:rFonts w:eastAsia="Times New Roman"/>
        </w:rPr>
        <w:t>2.2.3 Practice Index and Operational Efficiency</w:t>
      </w:r>
      <w:bookmarkEnd w:id="44"/>
    </w:p>
    <w:p w14:paraId="78BA1370" w14:textId="77777777" w:rsidR="00646B26" w:rsidRPr="00643216" w:rsidRDefault="00646B26" w:rsidP="00646B26">
      <w:r w:rsidRPr="00643216">
        <w:t>COSO (2013) frames operational practices as foundational to efficiency, preventing errors and fraud through a strong control environment. Berger and DeYoung (1997) link cost efficiency (inverse cost-to-income ratio) to superior loan quality in U.S. banks, as lean processes minimize underwriting sloppiness. In emerging contexts, inefficiencies exacerbate NPLs: Operational gaps mediate 30–40% of the efficiency-NPL link, with net interest margins as a key channel (Al-</w:t>
      </w:r>
      <w:proofErr w:type="spellStart"/>
      <w:r w:rsidRPr="00643216">
        <w:t>Hunnayan</w:t>
      </w:r>
      <w:proofErr w:type="spellEnd"/>
      <w:r w:rsidRPr="00643216">
        <w:t>, 2024).</w:t>
      </w:r>
    </w:p>
    <w:p w14:paraId="158895BE" w14:textId="77777777" w:rsidR="00646B26" w:rsidRPr="00643216" w:rsidRDefault="00646B26" w:rsidP="00646B26">
      <w:r w:rsidRPr="00643216">
        <w:lastRenderedPageBreak/>
        <w:t>The Bank Practice Score (OPEFF), inverting cost-to-income, proxies repeatable, documented processes that avert control exceptions. Nigerian studies validate: Stronger practice indices reduce NPLs by enhancing risk-taking discipline and performance (β ≈ -0.42), particularly in listed deposit money banks (</w:t>
      </w:r>
      <w:proofErr w:type="spellStart"/>
      <w:r w:rsidRPr="00643216">
        <w:t>Ezeagba</w:t>
      </w:r>
      <w:proofErr w:type="spellEnd"/>
      <w:r w:rsidRPr="00643216">
        <w:t>, 2024). Globally, poor practices hinder loan growth and inflate NPLs by 15–20%, with inverted U-shaped effects in high-control regimes (Wang et al., 2023). This index, hypothesized as the most potent under CGIT, underscores stewardship’s cultural dominance in Nigeria’s patronage-prone deposit money banking sector, aligning with H1 and RQ1 (Sanusi, 2014).</w:t>
      </w:r>
    </w:p>
    <w:p w14:paraId="33E55CA3" w14:textId="77777777" w:rsidR="00646B26" w:rsidRDefault="00646B26" w:rsidP="00646B26">
      <w:pPr>
        <w:pStyle w:val="Heading3"/>
        <w:rPr>
          <w:rFonts w:eastAsia="Times New Roman"/>
        </w:rPr>
      </w:pPr>
      <w:bookmarkStart w:id="45" w:name="_Toc211278857"/>
      <w:r>
        <w:rPr>
          <w:rFonts w:eastAsia="Times New Roman"/>
        </w:rPr>
        <w:t>2.2.4 Compliance Tenet and Regulatory Culture</w:t>
      </w:r>
      <w:bookmarkEnd w:id="45"/>
    </w:p>
    <w:p w14:paraId="011F9F0D" w14:textId="77777777" w:rsidR="00646B26" w:rsidRPr="00643216" w:rsidRDefault="00646B26" w:rsidP="00646B26">
      <w:r w:rsidRPr="00643216">
        <w:t xml:space="preserve">Compliance index, per </w:t>
      </w:r>
      <w:proofErr w:type="spellStart"/>
      <w:r w:rsidRPr="00643216">
        <w:t>Masciandaro</w:t>
      </w:r>
      <w:proofErr w:type="spellEnd"/>
      <w:r w:rsidRPr="00643216">
        <w:t xml:space="preserve"> and Quintyn (2013), acts as a public-good input, embedding regulatory adherence into organizational culture beyond mechanical box-ticking. </w:t>
      </w:r>
      <w:proofErr w:type="spellStart"/>
      <w:r w:rsidRPr="00643216">
        <w:t>Behavioral</w:t>
      </w:r>
      <w:proofErr w:type="spellEnd"/>
      <w:r w:rsidRPr="00643216">
        <w:t xml:space="preserve"> compliance—timely, accurate responses—signals genuine stewardship, reducing evasion risks. In banking, culture influences NPLs via enforcement actions: U.S. studies link weak cultures to 25% higher violation rates, indirectly inflating defaults (Aebi et al., 2016).</w:t>
      </w:r>
    </w:p>
    <w:p w14:paraId="3525744A" w14:textId="77777777" w:rsidR="00646B26" w:rsidRPr="00643216" w:rsidRDefault="00646B26" w:rsidP="00646B26">
      <w:r w:rsidRPr="00643216">
        <w:t>The Banking Compliance Index (COMID) aggregates prudential returns, CAMELS ratings, and remediation speed. Emerging evidence shows: Independent supervision lowers NPLs by fostering compliance cultures (β ≈ -0.30), as in South Asia (Gupta &amp; Sharma, 2024). In Nigeria, fragmented frameworks hinder this, but post-2014 compliance correlates with 10–15% NPL drops (Abdulmalik &amp; Ahmad, 2020). This study measures gradations to capture cultural nuances, hypothesizing compliance’s stability across regimes for RQ1, with 2024 cross-sectional data testing enforcement consistency for RQ4 (Nwoke et al., 2023).</w:t>
      </w:r>
    </w:p>
    <w:p w14:paraId="78EB080F" w14:textId="77777777" w:rsidR="00646B26" w:rsidRDefault="00646B26" w:rsidP="00646B26">
      <w:pPr>
        <w:pStyle w:val="Heading3"/>
        <w:rPr>
          <w:rFonts w:eastAsia="Times New Roman"/>
        </w:rPr>
      </w:pPr>
      <w:bookmarkStart w:id="46" w:name="_Toc211278858"/>
      <w:r>
        <w:rPr>
          <w:rFonts w:eastAsia="Times New Roman"/>
        </w:rPr>
        <w:lastRenderedPageBreak/>
        <w:t>2.2.5 Synthesis and Hypothesis Development</w:t>
      </w:r>
      <w:bookmarkEnd w:id="46"/>
    </w:p>
    <w:p w14:paraId="6BA1103C" w14:textId="77777777" w:rsidR="00646B26" w:rsidRDefault="00646B26" w:rsidP="00646B26">
      <w:pPr>
        <w:pStyle w:val="BodyText"/>
        <w:spacing w:after="283" w:line="480" w:lineRule="auto"/>
      </w:pPr>
      <w:r>
        <w:t>Synthesizing the literature, CGIT’s indices collectively mitigate agency costs in Nigerian deposit money banking, where structural reforms (e.g., Basel II/III) alone falter without behavioral embedding (Sanusi, 2010). Recent Nigerian empirics affirm: Integrated indices explain 40–50% of NPL variance, with practice (OPEFF) dominant (Ezeagba, 2024; Kafidipe et al., 2021). This leads to the consolidated hypothesis (H1): Stronger indices (higher CGDI, OPEFF, COMID) jointly reduce NPL ratios, with practice (OPEFF) largest in magnitude and disclosure (CGDI) most potent post-2014, controlling for size, capital adequacy, and macroeconomic factors. Subsequent chapters test this via panel regressions for RQ1, complemented by 2024 cross-sectional analyses for RQ2–RQ4, contributing to emerging-market CG discourse.</w:t>
      </w:r>
    </w:p>
    <w:p w14:paraId="1CF8BBB8" w14:textId="77777777" w:rsidR="00646B26" w:rsidRPr="00643216" w:rsidRDefault="00646B26" w:rsidP="00646B26">
      <w:pPr>
        <w:pStyle w:val="Heading2"/>
      </w:pPr>
      <w:bookmarkStart w:id="47" w:name="_Toc211278859"/>
      <w:r w:rsidRPr="00643216">
        <w:rPr>
          <w:rStyle w:val="Strong"/>
        </w:rPr>
        <w:t>2.3 Historical Legacies and Governance Evolution</w:t>
      </w:r>
      <w:bookmarkEnd w:id="47"/>
      <w:r w:rsidRPr="00643216">
        <w:t xml:space="preserve"> </w:t>
      </w:r>
    </w:p>
    <w:p w14:paraId="0D46474E" w14:textId="77777777" w:rsidR="00646B26" w:rsidRPr="00643216" w:rsidRDefault="00646B26" w:rsidP="00646B26">
      <w:r w:rsidRPr="00643216">
        <w:t xml:space="preserve">The corporate governance framework of Nigeria’s deposit money banking sector is profoundly shaped by its historical trajectory, encompassing pre-colonial indigenous systems, colonial legal impositions, and post-independence regulatory adaptations. These historical legacies have fostered a fragmented governance environment marked by weak accountability, politically motivated appointments, and systemic inefficiencies that perpetuate high non-performing loan (NPL) ratios and undermine financial stability (Elias, 2024; </w:t>
      </w:r>
      <w:proofErr w:type="spellStart"/>
      <w:r w:rsidRPr="00643216">
        <w:t>Agamah</w:t>
      </w:r>
      <w:proofErr w:type="spellEnd"/>
      <w:r w:rsidRPr="00643216">
        <w:t xml:space="preserve">, 2024; Udo, 2020). With 425 bank failures recorded since 1988, these governance challenges, rooted in historical discontinuities, continue to drive default risk, as evidenced by NPL peaks of 37% in 2009 and 20% in 2017 against the Central Bank of Nigeria’s (CBN) 5% threshold (Udo, 2020; Nwosu, 2020). This section critically reviews literature on Nigeria’s governance history, </w:t>
      </w:r>
      <w:proofErr w:type="spellStart"/>
      <w:r w:rsidRPr="00643216">
        <w:t>analyzes</w:t>
      </w:r>
      <w:proofErr w:type="spellEnd"/>
      <w:r w:rsidRPr="00643216">
        <w:t xml:space="preserve"> how colonial legacies and pre-1986 government interference entrenched weak accountability and cronyism, and links these to current governance failures, particularly board inefficiencies post-2004 </w:t>
      </w:r>
      <w:r w:rsidRPr="00643216">
        <w:rPr>
          <w:highlight w:val="yellow"/>
        </w:rPr>
        <w:lastRenderedPageBreak/>
        <w:t xml:space="preserve">consolidation, which exacerbate default risk in the deposit money banking sector (Adegbite et al., 2012; </w:t>
      </w:r>
      <w:proofErr w:type="spellStart"/>
      <w:r w:rsidRPr="00643216">
        <w:rPr>
          <w:highlight w:val="yellow"/>
        </w:rPr>
        <w:t>Chinweoda</w:t>
      </w:r>
      <w:proofErr w:type="spellEnd"/>
      <w:r w:rsidRPr="00643216">
        <w:rPr>
          <w:highlight w:val="yellow"/>
        </w:rPr>
        <w:t xml:space="preserve"> et al., 2020). Expanding on this, recent research by Afolabi and Afolabi (2024) highlights how these historical legacies manifest in ongoing operational performance deficiencies, particularly in risk management and audit-committee independence (including its mediation by financial-reporting integrity), tying directly into the indices of disclosure, practice, and compliance.</w:t>
      </w:r>
    </w:p>
    <w:p w14:paraId="5C2A3D6C" w14:textId="77777777" w:rsidR="00646B26" w:rsidRDefault="00646B26" w:rsidP="00646B26">
      <w:pPr>
        <w:pStyle w:val="Heading3"/>
        <w:rPr>
          <w:rFonts w:eastAsia="Times New Roman"/>
        </w:rPr>
      </w:pPr>
      <w:bookmarkStart w:id="48" w:name="_Toc211278860"/>
      <w:r>
        <w:rPr>
          <w:rFonts w:eastAsia="Times New Roman"/>
        </w:rPr>
        <w:t>2.3.1 Pre-Colonial Governance Systems</w:t>
      </w:r>
      <w:bookmarkEnd w:id="48"/>
    </w:p>
    <w:p w14:paraId="5B833A04" w14:textId="77777777" w:rsidR="00646B26" w:rsidRDefault="00646B26" w:rsidP="00646B26">
      <w:r w:rsidRPr="00643216">
        <w:t>In pre-colonial Nigeria, governance systems were diverse, decentralized, and deeply embedded in the cultural and social fabrics of ethnic groups such as the Hausa-Fulani, Yoruba, and Igbo (Elias, 2024). These systems operated through customary laws, monarchies, and communal structures, providing effective mechanisms for regulating economic activities, resolving disputes, and ensuring resource allocation (Altin, 2024). For instance, the Yoruba Oba system relied on councils of chiefs to oversee trade, while Igbo communities used age-grade associations and kinship networks to enforce accountability in business dealings (Elias, 2024). Business operations, often conducted through family-based guilds or community cooperatives, were governed by oral agreements and social norms that prioritized trust, reciprocity, and collective welfare over individual profit (</w:t>
      </w:r>
      <w:proofErr w:type="spellStart"/>
      <w:r w:rsidRPr="00643216">
        <w:t>Nwaukwa</w:t>
      </w:r>
      <w:proofErr w:type="spellEnd"/>
      <w:r w:rsidRPr="00643216">
        <w:t xml:space="preserve">, 2024). </w:t>
      </w:r>
    </w:p>
    <w:p w14:paraId="545586DD" w14:textId="77777777" w:rsidR="00646B26" w:rsidRDefault="00646B26" w:rsidP="00646B26">
      <w:r w:rsidRPr="00643216">
        <w:t xml:space="preserve">Elias (2024) emphasizes that these proto-governance structures, though informal by Western standards, were legitimate and adaptive, fostering accountability through community oversight and reputational sanctions. However, their localized nature and lack of formalized corporate structures limited their ability to scale or integrate with modern financial systems, rendering them vulnerable to disruption by colonial interventions (Adegbite et al., 2012). </w:t>
      </w:r>
    </w:p>
    <w:p w14:paraId="7023BD33" w14:textId="77777777" w:rsidR="00646B26" w:rsidRPr="00643216" w:rsidRDefault="00646B26" w:rsidP="00646B26">
      <w:r w:rsidRPr="00643216">
        <w:t xml:space="preserve">This discontinuity laid the groundwork for governance challenges, as subsequent frameworks failed to build on indigenous accountability mechanisms, contributing to the sector’s susceptibility to mismanagement and high NPLs. To add depth, this pre-colonial emphasis on communal trust contrasts </w:t>
      </w:r>
      <w:r w:rsidRPr="00643216">
        <w:lastRenderedPageBreak/>
        <w:t xml:space="preserve">sharply with modern indices of disclosure and compliance, where the absence of such cultural norms in formal banking practices has led to increased fraud concealment and risk management failures, as noted in recent studies by Ojo and Ojo (2024), who link these historical gaps to persistent audit-committee weaknesses, including limited mediation by financial-reporting integrity. The pre-colonial focus on collective welfare also parallels contemporary stakeholder theory but was eroded by colonial individualism, affecting current bank practices where concentrated ownership often overrides broader accountability (Freeman, 1984; </w:t>
      </w:r>
      <w:proofErr w:type="spellStart"/>
      <w:r w:rsidRPr="00643216">
        <w:t>Agamah</w:t>
      </w:r>
      <w:proofErr w:type="spellEnd"/>
      <w:r w:rsidRPr="00643216">
        <w:t>, 2024).</w:t>
      </w:r>
    </w:p>
    <w:p w14:paraId="261E4377" w14:textId="77777777" w:rsidR="00646B26" w:rsidRDefault="00646B26" w:rsidP="00646B26">
      <w:pPr>
        <w:pStyle w:val="Heading3"/>
        <w:rPr>
          <w:rFonts w:eastAsia="Times New Roman"/>
        </w:rPr>
      </w:pPr>
      <w:bookmarkStart w:id="49" w:name="_Toc211278861"/>
      <w:r>
        <w:rPr>
          <w:rFonts w:eastAsia="Times New Roman"/>
        </w:rPr>
        <w:t>2.3.2 Colonial Period: Imposition of British Frameworks</w:t>
      </w:r>
      <w:bookmarkEnd w:id="49"/>
    </w:p>
    <w:p w14:paraId="720F0252" w14:textId="77777777" w:rsidR="00646B26" w:rsidRDefault="00646B26" w:rsidP="00646B26">
      <w:pPr>
        <w:pStyle w:val="BodyText"/>
        <w:spacing w:after="283" w:line="480" w:lineRule="auto"/>
      </w:pPr>
      <w:r>
        <w:t xml:space="preserve">The colonial period (1861–1960) introduced a seismic shift in Nigeria’s governance landscape with the imposition of British legal frameworks, most notably the Companies Ordinance of 1912, modeled on the UK Companies Act (Agamah, 2024). Designed to facilitate colonial enterprises like the Royal Niger Company, the ordinance introduced Western corporate concepts such as limited liability, shareholder primacy, and formalized board structures (Elias, 2024). However, Agamah (2024) argues that these provisions were exploitative, prioritizing colonial economic extraction over local development and disregarding Nigeria’s socio-economic realities. </w:t>
      </w:r>
    </w:p>
    <w:p w14:paraId="44D8F8AD" w14:textId="77777777" w:rsidR="00646B26" w:rsidRDefault="00646B26" w:rsidP="00646B26">
      <w:pPr>
        <w:pStyle w:val="BodyText"/>
        <w:spacing w:after="283" w:line="480" w:lineRule="auto"/>
      </w:pPr>
      <w:r>
        <w:t xml:space="preserve">The ordinance’s rigid legal template clashed with customary governance practices, which emphasized communal accountability, creating a governance vacuum that marginalized indigenous businesses and entrenched centralized control (Adegbite et al., 2012). For example, the ordinance’s focus on shareholder-driven boards ignored local kinship-based oversight, fostering a culture of unaccountable decision-making that persisted into the post-independence era (Ugochukwu, 2000). Furthermore, colonial authorities neglected institutional capacity-building, concentrating power in expatriate-led entities and limiting local participation in formal governance structures (Elias, 2024). This misalignment </w:t>
      </w:r>
      <w:r>
        <w:lastRenderedPageBreak/>
        <w:t xml:space="preserve">sowed seeds of weak accountability, as governance mechanisms were neither inclusive nor adaptive to Nigeria’s diverse context, setting a precedent for regulatory fragmentation and inefficiency that continues to enable governance lapses and elevate default risk in deposit money banks (Osemeke &amp; Adegbite, 2016). </w:t>
      </w:r>
    </w:p>
    <w:p w14:paraId="52C8EC79" w14:textId="77777777" w:rsidR="00646B26" w:rsidRDefault="00646B26" w:rsidP="00646B26">
      <w:r w:rsidRPr="00643216">
        <w:t>The colonial legacy’s failure to integrate local realities is evident in modern board inefficiencies, where concentrated ownership often overrides independent oversight, as seen in the 2009 Oceanic Bank crisis (Sanusi, 2009). Expanding this, recent analyses by Afolabi and Afolabi (2024) demonstrate how colonial-imposed structures have evolved into current practice index deficiencies, where audit committees and risk management processes remain undermined by a lack of disclosure, directly contributing to higher NPL ratios and limited mediation by financial-reporting integrity. The embryonic stages of CG began in 1886 with the Royal Charter to the Royal Niger Company (RNC), revoked in 1899 for unfair practices, illustrating early accountability failures (Crowder, 1978; Pearson, 1971). This period laid the foundation for modern indices like disclosure, but the exploitative nature undermined trust and risk management in banking precursors.</w:t>
      </w:r>
    </w:p>
    <w:p w14:paraId="0124BFD1" w14:textId="77777777" w:rsidR="00646B26" w:rsidRDefault="00646B26" w:rsidP="00646B26">
      <w:pPr>
        <w:spacing w:line="240" w:lineRule="auto"/>
        <w:jc w:val="left"/>
      </w:pPr>
      <w:r>
        <w:br w:type="page"/>
      </w:r>
    </w:p>
    <w:p w14:paraId="79DF70F1" w14:textId="77777777" w:rsidR="00646B26" w:rsidRDefault="00646B26" w:rsidP="00646B26">
      <w:pPr>
        <w:spacing w:line="240" w:lineRule="auto"/>
        <w:jc w:val="left"/>
        <w:sectPr w:rsidR="00646B26" w:rsidSect="00646B26">
          <w:pgSz w:w="12240" w:h="15840"/>
          <w:pgMar w:top="1134" w:right="1134" w:bottom="1134" w:left="1134" w:header="0" w:footer="0" w:gutter="0"/>
          <w:cols w:space="720"/>
          <w:formProt w:val="0"/>
          <w:docGrid w:linePitch="100"/>
        </w:sectPr>
      </w:pPr>
    </w:p>
    <w:p w14:paraId="0BFCBA5A" w14:textId="77777777" w:rsidR="00646B26" w:rsidRDefault="00646B26" w:rsidP="00646B26">
      <w:pPr>
        <w:pStyle w:val="BodyText"/>
        <w:spacing w:after="283" w:line="480" w:lineRule="auto"/>
      </w:pPr>
      <w:r>
        <w:rPr>
          <w:rStyle w:val="Strong"/>
        </w:rPr>
        <w:lastRenderedPageBreak/>
        <w:t>Table 2.1: Timeline of Key Regulatory Developments in Nigerian Corporate Governance</w:t>
      </w:r>
    </w:p>
    <w:p w14:paraId="7985C3D1" w14:textId="77777777" w:rsidR="00646B26" w:rsidRDefault="00646B26" w:rsidP="00646B26">
      <w:pPr>
        <w:spacing w:line="240" w:lineRule="auto"/>
        <w:jc w:val="left"/>
      </w:pPr>
    </w:p>
    <w:tbl>
      <w:tblPr>
        <w:tblStyle w:val="GridTable1Light-Accent4"/>
        <w:tblpPr w:leftFromText="180" w:rightFromText="180" w:horzAnchor="margin" w:tblpY="-1140"/>
        <w:tblW w:w="13675" w:type="dxa"/>
        <w:tblLayout w:type="fixed"/>
        <w:tblLook w:val="04A0" w:firstRow="1" w:lastRow="0" w:firstColumn="1" w:lastColumn="0" w:noHBand="0" w:noVBand="1"/>
      </w:tblPr>
      <w:tblGrid>
        <w:gridCol w:w="3130"/>
        <w:gridCol w:w="2603"/>
        <w:gridCol w:w="3718"/>
        <w:gridCol w:w="4224"/>
      </w:tblGrid>
      <w:tr w:rsidR="00646B26" w14:paraId="777AC7AD" w14:textId="77777777" w:rsidTr="00727D26">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130" w:type="dxa"/>
          </w:tcPr>
          <w:p w14:paraId="1BB620D0" w14:textId="77777777" w:rsidR="00646B26" w:rsidRDefault="00646B26" w:rsidP="00727D26">
            <w:pPr>
              <w:pStyle w:val="TableHeading"/>
            </w:pPr>
            <w:r>
              <w:lastRenderedPageBreak/>
              <w:t>Period</w:t>
            </w:r>
          </w:p>
        </w:tc>
        <w:tc>
          <w:tcPr>
            <w:tcW w:w="2603" w:type="dxa"/>
          </w:tcPr>
          <w:p w14:paraId="35159704"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Key Event/Regulation</w:t>
            </w:r>
          </w:p>
        </w:tc>
        <w:tc>
          <w:tcPr>
            <w:tcW w:w="3718" w:type="dxa"/>
          </w:tcPr>
          <w:p w14:paraId="184F4AEC"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4224" w:type="dxa"/>
          </w:tcPr>
          <w:p w14:paraId="34FA0ABD"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Tenets</w:t>
            </w:r>
          </w:p>
        </w:tc>
      </w:tr>
      <w:tr w:rsidR="00646B26" w14:paraId="4BA5A939" w14:textId="77777777" w:rsidTr="00727D26">
        <w:trPr>
          <w:trHeight w:val="1510"/>
        </w:trPr>
        <w:tc>
          <w:tcPr>
            <w:cnfStyle w:val="001000000000" w:firstRow="0" w:lastRow="0" w:firstColumn="1" w:lastColumn="0" w:oddVBand="0" w:evenVBand="0" w:oddHBand="0" w:evenHBand="0" w:firstRowFirstColumn="0" w:firstRowLastColumn="0" w:lastRowFirstColumn="0" w:lastRowLastColumn="0"/>
            <w:tcW w:w="3130" w:type="dxa"/>
          </w:tcPr>
          <w:p w14:paraId="3C4B41F1" w14:textId="77777777" w:rsidR="00646B26" w:rsidRDefault="00646B26" w:rsidP="00727D26">
            <w:pPr>
              <w:pStyle w:val="TableContents"/>
            </w:pPr>
            <w:r>
              <w:t>Pre-Colonial</w:t>
            </w:r>
          </w:p>
        </w:tc>
        <w:tc>
          <w:tcPr>
            <w:tcW w:w="2603" w:type="dxa"/>
          </w:tcPr>
          <w:p w14:paraId="2E2D8B6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Customary laws and communal structures</w:t>
            </w:r>
          </w:p>
        </w:tc>
        <w:tc>
          <w:tcPr>
            <w:tcW w:w="3718" w:type="dxa"/>
          </w:tcPr>
          <w:p w14:paraId="2449A18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Oral agreements, kinship networks for trade oversight (Elias, 2024)</w:t>
            </w:r>
          </w:p>
        </w:tc>
        <w:tc>
          <w:tcPr>
            <w:tcW w:w="4224" w:type="dxa"/>
          </w:tcPr>
          <w:p w14:paraId="37C6408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Fostered transparency through reputational sanctions; emphasized collective accountability in bank-like cooperatives.</w:t>
            </w:r>
          </w:p>
        </w:tc>
      </w:tr>
      <w:tr w:rsidR="00646B26" w14:paraId="3521BF94" w14:textId="77777777" w:rsidTr="00727D26">
        <w:trPr>
          <w:trHeight w:val="1526"/>
        </w:trPr>
        <w:tc>
          <w:tcPr>
            <w:cnfStyle w:val="001000000000" w:firstRow="0" w:lastRow="0" w:firstColumn="1" w:lastColumn="0" w:oddVBand="0" w:evenVBand="0" w:oddHBand="0" w:evenHBand="0" w:firstRowFirstColumn="0" w:firstRowLastColumn="0" w:lastRowFirstColumn="0" w:lastRowLastColumn="0"/>
            <w:tcW w:w="3130" w:type="dxa"/>
          </w:tcPr>
          <w:p w14:paraId="2D59BC0F" w14:textId="77777777" w:rsidR="00646B26" w:rsidRDefault="00646B26" w:rsidP="00727D26">
            <w:pPr>
              <w:pStyle w:val="TableContents"/>
            </w:pPr>
            <w:r>
              <w:t>1886 (Colonial)</w:t>
            </w:r>
          </w:p>
        </w:tc>
        <w:tc>
          <w:tcPr>
            <w:tcW w:w="2603" w:type="dxa"/>
          </w:tcPr>
          <w:p w14:paraId="669068C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Royal Charter to Royal Niger Company</w:t>
            </w:r>
          </w:p>
        </w:tc>
        <w:tc>
          <w:tcPr>
            <w:tcW w:w="3718" w:type="dxa"/>
          </w:tcPr>
          <w:p w14:paraId="4D11B37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Monopoly power granted; revoked in 1899 for oppressive conduct (Crowder, 1978)</w:t>
            </w:r>
          </w:p>
        </w:tc>
        <w:tc>
          <w:tcPr>
            <w:tcW w:w="4224" w:type="dxa"/>
          </w:tcPr>
          <w:p w14:paraId="3B1F26D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Early accountability via shareholder scrutiny; highlighted risks of centralized control without local integration.</w:t>
            </w:r>
          </w:p>
        </w:tc>
      </w:tr>
      <w:tr w:rsidR="00646B26" w14:paraId="6A191876" w14:textId="77777777" w:rsidTr="00727D26">
        <w:trPr>
          <w:trHeight w:val="1510"/>
        </w:trPr>
        <w:tc>
          <w:tcPr>
            <w:cnfStyle w:val="001000000000" w:firstRow="0" w:lastRow="0" w:firstColumn="1" w:lastColumn="0" w:oddVBand="0" w:evenVBand="0" w:oddHBand="0" w:evenHBand="0" w:firstRowFirstColumn="0" w:firstRowLastColumn="0" w:lastRowFirstColumn="0" w:lastRowLastColumn="0"/>
            <w:tcW w:w="3130" w:type="dxa"/>
          </w:tcPr>
          <w:p w14:paraId="6ABF5074" w14:textId="77777777" w:rsidR="00646B26" w:rsidRDefault="00646B26" w:rsidP="00727D26">
            <w:pPr>
              <w:pStyle w:val="TableContents"/>
            </w:pPr>
            <w:r>
              <w:t>1912 (Colonial)</w:t>
            </w:r>
          </w:p>
        </w:tc>
        <w:tc>
          <w:tcPr>
            <w:tcW w:w="2603" w:type="dxa"/>
          </w:tcPr>
          <w:p w14:paraId="487E5B1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Companies Ordinance</w:t>
            </w:r>
          </w:p>
        </w:tc>
        <w:tc>
          <w:tcPr>
            <w:tcW w:w="3718" w:type="dxa"/>
          </w:tcPr>
          <w:p w14:paraId="327A53B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Introduced limited liability and board structures for Lagos (</w:t>
            </w:r>
            <w:proofErr w:type="spellStart"/>
            <w:r>
              <w:t>Orojo</w:t>
            </w:r>
            <w:proofErr w:type="spellEnd"/>
            <w:r>
              <w:t>, 1992)</w:t>
            </w:r>
          </w:p>
        </w:tc>
        <w:tc>
          <w:tcPr>
            <w:tcW w:w="4224" w:type="dxa"/>
          </w:tcPr>
          <w:p w14:paraId="19EB11D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Laid foundation for formal bank practice but ignored indigenous risk management, leading to transparency gaps.</w:t>
            </w:r>
          </w:p>
        </w:tc>
      </w:tr>
      <w:tr w:rsidR="00646B26" w14:paraId="1E24A872" w14:textId="77777777" w:rsidTr="00727D26">
        <w:trPr>
          <w:trHeight w:val="1214"/>
        </w:trPr>
        <w:tc>
          <w:tcPr>
            <w:cnfStyle w:val="001000000000" w:firstRow="0" w:lastRow="0" w:firstColumn="1" w:lastColumn="0" w:oddVBand="0" w:evenVBand="0" w:oddHBand="0" w:evenHBand="0" w:firstRowFirstColumn="0" w:firstRowLastColumn="0" w:lastRowFirstColumn="0" w:lastRowLastColumn="0"/>
            <w:tcW w:w="3130" w:type="dxa"/>
          </w:tcPr>
          <w:p w14:paraId="5FCC4427" w14:textId="77777777" w:rsidR="00646B26" w:rsidRDefault="00646B26" w:rsidP="00727D26">
            <w:pPr>
              <w:pStyle w:val="TableContents"/>
            </w:pPr>
            <w:r>
              <w:t>1922 (Colonial)</w:t>
            </w:r>
          </w:p>
        </w:tc>
        <w:tc>
          <w:tcPr>
            <w:tcW w:w="2603" w:type="dxa"/>
          </w:tcPr>
          <w:p w14:paraId="3A5F6B7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Companies Ordinance (country-wide)</w:t>
            </w:r>
          </w:p>
        </w:tc>
        <w:tc>
          <w:tcPr>
            <w:tcW w:w="3718" w:type="dxa"/>
          </w:tcPr>
          <w:p w14:paraId="79AB02F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Extended regulation; amended in 1929, 1941, 1954 (</w:t>
            </w:r>
            <w:proofErr w:type="spellStart"/>
            <w:r>
              <w:t>Ayua</w:t>
            </w:r>
            <w:proofErr w:type="spellEnd"/>
            <w:r>
              <w:t>, 1984)</w:t>
            </w:r>
          </w:p>
        </w:tc>
        <w:tc>
          <w:tcPr>
            <w:tcW w:w="4224" w:type="dxa"/>
          </w:tcPr>
          <w:p w14:paraId="309D507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Reinforced colonial control, undermining audit-like communal oversight and accountability.</w:t>
            </w:r>
          </w:p>
        </w:tc>
      </w:tr>
      <w:tr w:rsidR="00646B26" w14:paraId="37946CB0" w14:textId="77777777" w:rsidTr="00727D26">
        <w:trPr>
          <w:trHeight w:val="1214"/>
        </w:trPr>
        <w:tc>
          <w:tcPr>
            <w:cnfStyle w:val="001000000000" w:firstRow="0" w:lastRow="0" w:firstColumn="1" w:lastColumn="0" w:oddVBand="0" w:evenVBand="0" w:oddHBand="0" w:evenHBand="0" w:firstRowFirstColumn="0" w:firstRowLastColumn="0" w:lastRowFirstColumn="0" w:lastRowLastColumn="0"/>
            <w:tcW w:w="3130" w:type="dxa"/>
          </w:tcPr>
          <w:p w14:paraId="7F5ECE44" w14:textId="77777777" w:rsidR="00646B26" w:rsidRDefault="00646B26" w:rsidP="00727D26">
            <w:pPr>
              <w:pStyle w:val="TableContents"/>
            </w:pPr>
            <w:r>
              <w:t>1968 (Post-Independence)</w:t>
            </w:r>
          </w:p>
        </w:tc>
        <w:tc>
          <w:tcPr>
            <w:tcW w:w="2603" w:type="dxa"/>
          </w:tcPr>
          <w:p w14:paraId="731BF10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Companies Act</w:t>
            </w:r>
          </w:p>
        </w:tc>
        <w:tc>
          <w:tcPr>
            <w:tcW w:w="3718" w:type="dxa"/>
          </w:tcPr>
          <w:p w14:paraId="11FA69C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Mandated audited accounts, minority rights (</w:t>
            </w:r>
            <w:proofErr w:type="spellStart"/>
            <w:r>
              <w:t>Ayua</w:t>
            </w:r>
            <w:proofErr w:type="spellEnd"/>
            <w:r>
              <w:t>, 1984)</w:t>
            </w:r>
          </w:p>
        </w:tc>
        <w:tc>
          <w:tcPr>
            <w:tcW w:w="4224" w:type="dxa"/>
          </w:tcPr>
          <w:p w14:paraId="4EB958E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Enhanced transparency and audit requirements; first steps toward modern bank practice.</w:t>
            </w:r>
          </w:p>
        </w:tc>
      </w:tr>
      <w:tr w:rsidR="00646B26" w14:paraId="73552C70" w14:textId="77777777" w:rsidTr="00727D26">
        <w:trPr>
          <w:trHeight w:val="1214"/>
        </w:trPr>
        <w:tc>
          <w:tcPr>
            <w:cnfStyle w:val="001000000000" w:firstRow="0" w:lastRow="0" w:firstColumn="1" w:lastColumn="0" w:oddVBand="0" w:evenVBand="0" w:oddHBand="0" w:evenHBand="0" w:firstRowFirstColumn="0" w:firstRowLastColumn="0" w:lastRowFirstColumn="0" w:lastRowLastColumn="0"/>
            <w:tcW w:w="3130" w:type="dxa"/>
          </w:tcPr>
          <w:p w14:paraId="541A5C73" w14:textId="77777777" w:rsidR="00646B26" w:rsidRDefault="00646B26" w:rsidP="00727D26">
            <w:pPr>
              <w:pStyle w:val="TableContents"/>
            </w:pPr>
            <w:r>
              <w:t>1990</w:t>
            </w:r>
          </w:p>
        </w:tc>
        <w:tc>
          <w:tcPr>
            <w:tcW w:w="2603" w:type="dxa"/>
          </w:tcPr>
          <w:p w14:paraId="125990A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Companies and Allied Matters Act (CAMA)</w:t>
            </w:r>
          </w:p>
        </w:tc>
        <w:tc>
          <w:tcPr>
            <w:tcW w:w="3718" w:type="dxa"/>
          </w:tcPr>
          <w:p w14:paraId="1110221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Improved disclosures, board duties (CAMA, 2004)</w:t>
            </w:r>
          </w:p>
        </w:tc>
        <w:tc>
          <w:tcPr>
            <w:tcW w:w="4224" w:type="dxa"/>
          </w:tcPr>
          <w:p w14:paraId="32F81BF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Strengthened risk management and accountability; basis for current audit committees.</w:t>
            </w:r>
          </w:p>
        </w:tc>
      </w:tr>
      <w:tr w:rsidR="00646B26" w14:paraId="50910628" w14:textId="77777777" w:rsidTr="00727D26">
        <w:trPr>
          <w:trHeight w:val="903"/>
        </w:trPr>
        <w:tc>
          <w:tcPr>
            <w:cnfStyle w:val="001000000000" w:firstRow="0" w:lastRow="0" w:firstColumn="1" w:lastColumn="0" w:oddVBand="0" w:evenVBand="0" w:oddHBand="0" w:evenHBand="0" w:firstRowFirstColumn="0" w:firstRowLastColumn="0" w:lastRowFirstColumn="0" w:lastRowLastColumn="0"/>
            <w:tcW w:w="3130" w:type="dxa"/>
          </w:tcPr>
          <w:p w14:paraId="2596CBDC" w14:textId="77777777" w:rsidR="00646B26" w:rsidRDefault="00646B26" w:rsidP="00727D26">
            <w:pPr>
              <w:pStyle w:val="TableContents"/>
            </w:pPr>
            <w:r>
              <w:t>2003</w:t>
            </w:r>
          </w:p>
        </w:tc>
        <w:tc>
          <w:tcPr>
            <w:tcW w:w="2603" w:type="dxa"/>
          </w:tcPr>
          <w:p w14:paraId="2517847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SEC Code of Corporate Governance</w:t>
            </w:r>
          </w:p>
        </w:tc>
        <w:tc>
          <w:tcPr>
            <w:tcW w:w="3718" w:type="dxa"/>
          </w:tcPr>
          <w:p w14:paraId="1241EFB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Promoted discipline, transparency (Securities and Exchange Commission, 2003)</w:t>
            </w:r>
          </w:p>
        </w:tc>
        <w:tc>
          <w:tcPr>
            <w:tcW w:w="4224" w:type="dxa"/>
          </w:tcPr>
          <w:p w14:paraId="069656E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Tied to bank practice, emphasizing board independence and risk oversight.</w:t>
            </w:r>
          </w:p>
        </w:tc>
      </w:tr>
      <w:tr w:rsidR="00646B26" w14:paraId="79492037" w14:textId="77777777" w:rsidTr="00727D26">
        <w:trPr>
          <w:trHeight w:val="149"/>
        </w:trPr>
        <w:tc>
          <w:tcPr>
            <w:cnfStyle w:val="001000000000" w:firstRow="0" w:lastRow="0" w:firstColumn="1" w:lastColumn="0" w:oddVBand="0" w:evenVBand="0" w:oddHBand="0" w:evenHBand="0" w:firstRowFirstColumn="0" w:firstRowLastColumn="0" w:lastRowFirstColumn="0" w:lastRowLastColumn="0"/>
            <w:tcW w:w="3130" w:type="dxa"/>
          </w:tcPr>
          <w:p w14:paraId="66A5FA61" w14:textId="77777777" w:rsidR="00646B26" w:rsidRDefault="00646B26" w:rsidP="00727D26">
            <w:pPr>
              <w:pStyle w:val="TableContents"/>
            </w:pPr>
            <w:r>
              <w:lastRenderedPageBreak/>
              <w:t>2006</w:t>
            </w:r>
          </w:p>
        </w:tc>
        <w:tc>
          <w:tcPr>
            <w:tcW w:w="2603" w:type="dxa"/>
          </w:tcPr>
          <w:p w14:paraId="088350E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 Code for Banks</w:t>
            </w:r>
          </w:p>
        </w:tc>
        <w:tc>
          <w:tcPr>
            <w:tcW w:w="3718" w:type="dxa"/>
          </w:tcPr>
          <w:p w14:paraId="30C281F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Mandatory governance for banks post-consolidation (CBN, 2006)</w:t>
            </w:r>
          </w:p>
        </w:tc>
        <w:tc>
          <w:tcPr>
            <w:tcW w:w="4224" w:type="dxa"/>
          </w:tcPr>
          <w:p w14:paraId="3100730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Focused on risk management and audit committees in banking.</w:t>
            </w:r>
          </w:p>
        </w:tc>
      </w:tr>
      <w:tr w:rsidR="00646B26" w14:paraId="2BED0D13" w14:textId="77777777" w:rsidTr="00727D26">
        <w:trPr>
          <w:trHeight w:val="149"/>
        </w:trPr>
        <w:tc>
          <w:tcPr>
            <w:cnfStyle w:val="001000000000" w:firstRow="0" w:lastRow="0" w:firstColumn="1" w:lastColumn="0" w:oddVBand="0" w:evenVBand="0" w:oddHBand="0" w:evenHBand="0" w:firstRowFirstColumn="0" w:firstRowLastColumn="0" w:lastRowFirstColumn="0" w:lastRowLastColumn="0"/>
            <w:tcW w:w="3130" w:type="dxa"/>
          </w:tcPr>
          <w:p w14:paraId="0565CDED" w14:textId="77777777" w:rsidR="00646B26" w:rsidRDefault="00646B26" w:rsidP="00727D26">
            <w:pPr>
              <w:pStyle w:val="TableContents"/>
            </w:pPr>
            <w:r>
              <w:t>2011</w:t>
            </w:r>
          </w:p>
        </w:tc>
        <w:tc>
          <w:tcPr>
            <w:tcW w:w="2603" w:type="dxa"/>
          </w:tcPr>
          <w:p w14:paraId="2D99BED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SEC Code</w:t>
            </w:r>
          </w:p>
        </w:tc>
        <w:tc>
          <w:tcPr>
            <w:tcW w:w="3718" w:type="dxa"/>
          </w:tcPr>
          <w:p w14:paraId="7E39F08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Stricter board and remuneration rules (Securities and Exchange Commission, 2011)</w:t>
            </w:r>
          </w:p>
        </w:tc>
        <w:tc>
          <w:tcPr>
            <w:tcW w:w="4224" w:type="dxa"/>
          </w:tcPr>
          <w:p w14:paraId="0FCC4E8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Improved transparency; conflicts with CBN on enforcement.</w:t>
            </w:r>
          </w:p>
        </w:tc>
      </w:tr>
      <w:tr w:rsidR="00646B26" w14:paraId="5622A95E" w14:textId="77777777" w:rsidTr="00727D26">
        <w:trPr>
          <w:trHeight w:val="149"/>
        </w:trPr>
        <w:tc>
          <w:tcPr>
            <w:cnfStyle w:val="001000000000" w:firstRow="0" w:lastRow="0" w:firstColumn="1" w:lastColumn="0" w:oddVBand="0" w:evenVBand="0" w:oddHBand="0" w:evenHBand="0" w:firstRowFirstColumn="0" w:firstRowLastColumn="0" w:lastRowFirstColumn="0" w:lastRowLastColumn="0"/>
            <w:tcW w:w="3130" w:type="dxa"/>
          </w:tcPr>
          <w:p w14:paraId="401B53B1" w14:textId="77777777" w:rsidR="00646B26" w:rsidRDefault="00646B26" w:rsidP="00727D26">
            <w:pPr>
              <w:pStyle w:val="TableContents"/>
            </w:pPr>
            <w:r>
              <w:t>2018</w:t>
            </w:r>
          </w:p>
        </w:tc>
        <w:tc>
          <w:tcPr>
            <w:tcW w:w="2603" w:type="dxa"/>
          </w:tcPr>
          <w:p w14:paraId="7366733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Nigerian Code of Corporate Governance (NCCG)</w:t>
            </w:r>
          </w:p>
        </w:tc>
        <w:tc>
          <w:tcPr>
            <w:tcW w:w="3718" w:type="dxa"/>
          </w:tcPr>
          <w:p w14:paraId="3C5EA42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Principles-based for all companies (Financial Reporting Council of Nigeria, 2018)</w:t>
            </w:r>
          </w:p>
        </w:tc>
        <w:tc>
          <w:tcPr>
            <w:tcW w:w="4224" w:type="dxa"/>
          </w:tcPr>
          <w:p w14:paraId="15CC353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Broadened </w:t>
            </w:r>
            <w:proofErr w:type="gramStart"/>
            <w:r>
              <w:t>accountability;</w:t>
            </w:r>
            <w:proofErr w:type="gramEnd"/>
            <w:r>
              <w:t xml:space="preserve"> multiplicity affects bank practice and risk.</w:t>
            </w:r>
          </w:p>
        </w:tc>
      </w:tr>
      <w:tr w:rsidR="00646B26" w14:paraId="0A895BD9" w14:textId="77777777" w:rsidTr="00727D26">
        <w:trPr>
          <w:trHeight w:val="918"/>
        </w:trPr>
        <w:tc>
          <w:tcPr>
            <w:cnfStyle w:val="001000000000" w:firstRow="0" w:lastRow="0" w:firstColumn="1" w:lastColumn="0" w:oddVBand="0" w:evenVBand="0" w:oddHBand="0" w:evenHBand="0" w:firstRowFirstColumn="0" w:firstRowLastColumn="0" w:lastRowFirstColumn="0" w:lastRowLastColumn="0"/>
            <w:tcW w:w="3130" w:type="dxa"/>
          </w:tcPr>
          <w:p w14:paraId="0AC856F0" w14:textId="77777777" w:rsidR="00646B26" w:rsidRDefault="00646B26" w:rsidP="00727D26">
            <w:pPr>
              <w:pStyle w:val="TableContents"/>
            </w:pPr>
            <w:r>
              <w:t>2023</w:t>
            </w:r>
          </w:p>
        </w:tc>
        <w:tc>
          <w:tcPr>
            <w:tcW w:w="2603" w:type="dxa"/>
          </w:tcPr>
          <w:p w14:paraId="42BBFC3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 Guidelines</w:t>
            </w:r>
          </w:p>
        </w:tc>
        <w:tc>
          <w:tcPr>
            <w:tcW w:w="3718" w:type="dxa"/>
          </w:tcPr>
          <w:p w14:paraId="40C7D1A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Updated board, risk, transparency mandates (CBN, 2023)</w:t>
            </w:r>
          </w:p>
        </w:tc>
        <w:tc>
          <w:tcPr>
            <w:tcW w:w="4224" w:type="dxa"/>
          </w:tcPr>
          <w:p w14:paraId="4CC3B1D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Strengthens audit and risk management but highlights enforcement gaps.</w:t>
            </w:r>
          </w:p>
        </w:tc>
      </w:tr>
    </w:tbl>
    <w:p w14:paraId="52953ACB" w14:textId="77777777" w:rsidR="00646B26" w:rsidRDefault="00646B26" w:rsidP="00646B26">
      <w:pPr>
        <w:spacing w:line="240" w:lineRule="auto"/>
        <w:jc w:val="left"/>
      </w:pPr>
      <w:r>
        <w:t>Note: Adapted from Adegbite et al. (2012), Elias (2024), and recent updates from Ojo and Ojo (2025). Impacts highlight ties to transparency, accountability, bank practice, risk management, and audit committees.</w:t>
      </w:r>
    </w:p>
    <w:p w14:paraId="41FD68F8" w14:textId="77777777" w:rsidR="00646B26" w:rsidRDefault="00646B26" w:rsidP="00646B26">
      <w:pPr>
        <w:spacing w:line="240" w:lineRule="auto"/>
        <w:jc w:val="left"/>
        <w:sectPr w:rsidR="00646B26" w:rsidSect="00646B26">
          <w:pgSz w:w="15840" w:h="12240" w:orient="landscape"/>
          <w:pgMar w:top="1134" w:right="1134" w:bottom="1134" w:left="1134" w:header="0" w:footer="0" w:gutter="0"/>
          <w:cols w:space="720"/>
          <w:formProt w:val="0"/>
          <w:docGrid w:linePitch="326"/>
        </w:sectPr>
      </w:pPr>
    </w:p>
    <w:p w14:paraId="31B0C929" w14:textId="77777777" w:rsidR="00646B26" w:rsidRDefault="00646B26" w:rsidP="00646B26">
      <w:pPr>
        <w:pStyle w:val="Heading3"/>
        <w:rPr>
          <w:rFonts w:eastAsia="Times New Roman"/>
        </w:rPr>
      </w:pPr>
      <w:bookmarkStart w:id="50" w:name="_Toc211278862"/>
      <w:r>
        <w:rPr>
          <w:rFonts w:eastAsia="Times New Roman"/>
        </w:rPr>
        <w:lastRenderedPageBreak/>
        <w:t>2.3.3 Post-Independence: Regulatory Adaptations and Challenges</w:t>
      </w:r>
      <w:bookmarkEnd w:id="50"/>
    </w:p>
    <w:p w14:paraId="66220647" w14:textId="77777777" w:rsidR="00646B26" w:rsidRPr="00643216" w:rsidRDefault="00646B26" w:rsidP="00646B26">
      <w:r w:rsidRPr="00643216">
        <w:rPr>
          <w:highlight w:val="yellow"/>
        </w:rPr>
        <w:t>Following independence in 1960, Nigeria inherited a colonial legal infrastructure ill-suited to its diverse economic and cultural landscape, posing significant challenges to developing a cohesive governance system (Udo, 2020). Policymakers sought to modernize governance through legislation like the Companies Act of 1968 and, later, the Companies and Allied Matters Act (CAMA) 2020, aiming to align corporate practices with economic growth and foreign investment goals (Elias, 2024). However, limited institutional capacity and the prioritization of legal continuity over reform perpetuated a fragmented framework (Ugochukwu, 2000). Pre-1986, the Nigerian government’s dual role as bank owner and regulator created entrenched conflicts of interest, fostering politically motivated appointments and weak accountability (</w:t>
      </w:r>
      <w:proofErr w:type="spellStart"/>
      <w:r w:rsidRPr="00643216">
        <w:rPr>
          <w:highlight w:val="yellow"/>
        </w:rPr>
        <w:t>Chinweoda</w:t>
      </w:r>
      <w:proofErr w:type="spellEnd"/>
      <w:r w:rsidRPr="00643216">
        <w:rPr>
          <w:highlight w:val="yellow"/>
        </w:rPr>
        <w:t xml:space="preserve"> et al., 2020). State-controlled banks, dominant before the Structural Adjustment Programme (SAP) of 1986–1993, were often led by unqualified executives appointed for political loyalty rather than management qualifications, undermining strategic oversight and ethical compliance (Ugochukwu, 2000). </w:t>
      </w:r>
      <w:proofErr w:type="spellStart"/>
      <w:r w:rsidRPr="00643216">
        <w:rPr>
          <w:highlight w:val="yellow"/>
        </w:rPr>
        <w:t>Chinweoda</w:t>
      </w:r>
      <w:proofErr w:type="spellEnd"/>
      <w:r w:rsidRPr="00643216">
        <w:rPr>
          <w:highlight w:val="yellow"/>
        </w:rPr>
        <w:t xml:space="preserve"> et al. (2020) highlight that this cronyism led to mismanagement and insider abuses, contributing to early bank failures and setting a precedent for governance lapses. The SAP’s divestiture of state shares aimed to liberalize the sector but failed to dismantle the culture of political patronage, as politically connected appointees continued to dominate boards and management, weakening accountability mechanisms (Sanusi, 2014). This legacy of government interference exacerbated agency problems, with managers prioritizing personal or political interests over stakeholder welfare, a pattern linked to high NPLs in deposit money banks like Intercontinental Bank (Owolabi, 2013). The absence of robust regulatory enforcement further entrenched these issues, as agencies like the CBN lacked the capacity to curb governance violations, contributing to systemic instability (Nwoke et al., 2023). To deepen this discussion, Ojo and Ojo (2024) argue that post-independence adaptations have failed to fully integrate indices of practice and audit-</w:t>
      </w:r>
      <w:r w:rsidRPr="00643216">
        <w:rPr>
          <w:highlight w:val="yellow"/>
        </w:rPr>
        <w:lastRenderedPageBreak/>
        <w:t>committee independence (including mediation by financial-reporting integrity), leading to ongoing deficiencies in disclosure and compliance that perpetuate default risks. The 1968 Companies Act introduced audited accounts and minority rights, enhancing disclosure, while CAMA 1990 strengthened board duties and audit requirements (</w:t>
      </w:r>
      <w:proofErr w:type="spellStart"/>
      <w:r w:rsidRPr="00643216">
        <w:rPr>
          <w:highlight w:val="yellow"/>
        </w:rPr>
        <w:t>Ayua</w:t>
      </w:r>
      <w:proofErr w:type="spellEnd"/>
      <w:r w:rsidRPr="00643216">
        <w:rPr>
          <w:highlight w:val="yellow"/>
        </w:rPr>
        <w:t>, 1984; CAMA, 2004), but enforcement consistency remained weak due to judicial inefficiencies (Oman, 2001).</w:t>
      </w:r>
    </w:p>
    <w:p w14:paraId="4257D092" w14:textId="77777777" w:rsidR="00646B26" w:rsidRDefault="00646B26" w:rsidP="00646B26">
      <w:pPr>
        <w:pStyle w:val="Heading3"/>
        <w:rPr>
          <w:rFonts w:eastAsia="Times New Roman"/>
        </w:rPr>
      </w:pPr>
      <w:bookmarkStart w:id="51" w:name="_Toc211278863"/>
      <w:r>
        <w:rPr>
          <w:rFonts w:eastAsia="Times New Roman"/>
        </w:rPr>
        <w:t>2.3.4 The Legacy in the Post-2004 Consolidation Era</w:t>
      </w:r>
      <w:bookmarkEnd w:id="51"/>
    </w:p>
    <w:p w14:paraId="3DE957C4" w14:textId="77777777" w:rsidR="00646B26" w:rsidRDefault="00646B26" w:rsidP="00646B26">
      <w:pPr>
        <w:pStyle w:val="BodyText"/>
        <w:spacing w:after="283" w:line="480" w:lineRule="auto"/>
      </w:pPr>
      <w:r>
        <w:t xml:space="preserve">The historical legacies of colonial misalignment and pre-1986 government interference remain central to Nigeria’s contemporary deposit money banking governance challenges, particularly board inefficiencies post-2004 consolidation. The 2004 consolidation, reducing banks from 89 to 24 to enhance resilience, exposed and amplified governance weaknesses rooted in historical discontinuities (Kafidipe, 2021). Adegbite et al. (2012) argue that the colonial-era imposition of foreign governance models, compounded by post-independence regulatory layering, created a system ill-equipped to address Nigeria’s unique context. </w:t>
      </w:r>
    </w:p>
    <w:p w14:paraId="3BD8D52B" w14:textId="77777777" w:rsidR="00646B26" w:rsidRDefault="00646B26" w:rsidP="00646B26">
      <w:pPr>
        <w:pStyle w:val="BodyText"/>
        <w:spacing w:after="283" w:line="480" w:lineRule="auto"/>
      </w:pPr>
      <w:r>
        <w:t xml:space="preserve">This is evident in the persistence of board structures lacking independence, with 61% of deposit money banks missing independent nomination committees, allowing concentrated ownership to dominate appointments (Ogbechie, 2016). The Oceanic Bank collapse in 2009 exemplifies this, where family-controlled boards, echoing colonial-era centralized control, facilitated insider loans constituting 75% of NPLs, driven by unqualified leadership (Sanusi, 2009). The legacy of politically motivated appointments continues to undermine management qualifications, with Nwoko et al. (2022) noting that unqualified directors, often selected for political ties, weaken risk oversight, contributing to NPL ratios of 20% in 2017 against the CBN’s 5% threshold (Adegboye, 2020). </w:t>
      </w:r>
    </w:p>
    <w:p w14:paraId="087699BB" w14:textId="77777777" w:rsidR="00646B26" w:rsidRDefault="00646B26" w:rsidP="00646B26">
      <w:pPr>
        <w:pStyle w:val="BodyText"/>
        <w:spacing w:after="283" w:line="480" w:lineRule="auto"/>
      </w:pPr>
      <w:r>
        <w:lastRenderedPageBreak/>
        <w:t xml:space="preserve">Regulatory multiplicity, a direct outcome of post-independence layering of codes like CAMA 2020, NCCG 2018, CBN Guidelines 2023, and SEC Code 2011, perpetuates colonial fragmentation by creating ambiguity that banks exploit to evade accountability (Abdulmalik &amp; Ahmad, 2020). For instance, disparities in board composition and enforcement approaches across these codes enable selective compliance, as seen in banks like Intercontinental and Bank PHB, where weak boards failed to curb risky lending (Owolabi, 2013). </w:t>
      </w:r>
    </w:p>
    <w:p w14:paraId="48F45CDF" w14:textId="77777777" w:rsidR="00646B26" w:rsidRPr="00930F05" w:rsidRDefault="00646B26" w:rsidP="00646B26">
      <w:r w:rsidRPr="00930F05">
        <w:t>These governance failures, rooted in historical legacies, drive default risk by undermining disclosure and practice, necessitating context-specific reforms to strengthen board independence and harmonize regulations (Osemeke &amp; Adegbite, 2016). Recent contributions by Afolabi and Afolabi (2024) add depth, showing how these historical evolutions continue to affect audit-committee effectiveness (including mediation by financial-reporting integrity) and overall practice index, directly impacting disclosure and compliance. The 2003 SEC Code, 2006 CBN Code for banks, 2011 SEC Code, and 2018 NCCG represent efforts to address these legacies, emphasizing management qualifications, risk management, and audit-committee independence, but regulatory multiplicity persists (Financial Reporting Council of Nigeria, 2018; CBN, 2014).</w:t>
      </w:r>
    </w:p>
    <w:p w14:paraId="619BAADB" w14:textId="77777777" w:rsidR="00646B26" w:rsidRDefault="00646B26" w:rsidP="00646B26">
      <w:pPr>
        <w:pStyle w:val="Heading3"/>
        <w:rPr>
          <w:rFonts w:eastAsia="Times New Roman"/>
        </w:rPr>
      </w:pPr>
      <w:bookmarkStart w:id="52" w:name="_Toc211278864"/>
      <w:r>
        <w:rPr>
          <w:rFonts w:eastAsia="Times New Roman"/>
        </w:rPr>
        <w:t>2.3.5 Ties to CG Indices</w:t>
      </w:r>
      <w:bookmarkEnd w:id="52"/>
    </w:p>
    <w:p w14:paraId="2BF67737" w14:textId="77777777" w:rsidR="00646B26" w:rsidRPr="00930F05" w:rsidRDefault="00646B26" w:rsidP="00646B26">
      <w:r w:rsidRPr="00930F05">
        <w:rPr>
          <w:highlight w:val="yellow"/>
        </w:rPr>
        <w:t>Historical legacies in Nigeria's deposit money banking governance profoundly influence the core indices of disclosure, practice, and compliance, as well as audit-committee independence and management qualifications. Pre-colonial communal trust supported disclosure through reputational sanctions but was eroded by colonial individualism, leading to current opacity in bank practices (Elias, 2024). Colonial impositions fostered weak accountability, as centralized control marginalized local oversight, perpetuating cronyism in post-independence boards (</w:t>
      </w:r>
      <w:proofErr w:type="spellStart"/>
      <w:r w:rsidRPr="00930F05">
        <w:rPr>
          <w:highlight w:val="yellow"/>
        </w:rPr>
        <w:t>Agamah</w:t>
      </w:r>
      <w:proofErr w:type="spellEnd"/>
      <w:r w:rsidRPr="00930F05">
        <w:rPr>
          <w:highlight w:val="yellow"/>
        </w:rPr>
        <w:t xml:space="preserve">, 2024). Post-independence layering </w:t>
      </w:r>
      <w:r w:rsidRPr="00930F05">
        <w:rPr>
          <w:highlight w:val="yellow"/>
        </w:rPr>
        <w:lastRenderedPageBreak/>
        <w:t>exacerbated regulatory multiplicity, undermining practice indices by enabling selective compliance (Abdulmalik &amp; Ahmad, 2020). Audit committees, mandated in CAMA and strengthened in 2018 NCCG, remain compromised by unqualified appointments, tying to accountability gaps and limited mediation by financial-reporting integrity (Adegbite, 2014). Bank practice suffers from historical cronyism, with 61% lacking independent nomination committees (</w:t>
      </w:r>
      <w:proofErr w:type="spellStart"/>
      <w:r w:rsidRPr="00930F05">
        <w:rPr>
          <w:highlight w:val="yellow"/>
        </w:rPr>
        <w:t>Ogbechie</w:t>
      </w:r>
      <w:proofErr w:type="spellEnd"/>
      <w:r w:rsidRPr="00930F05">
        <w:rPr>
          <w:highlight w:val="yellow"/>
        </w:rPr>
        <w:t>, 2016). These ties highlight the need for reforms to restore indigenous accountability elements in modern frameworks, addressing RQ1–RQ4 by linking historical legacies to current governance challenges in disclosure, practice, compliance, audit-committee independence (including its mediation by financial-reporting integrity), and management qualifications.</w:t>
      </w:r>
    </w:p>
    <w:p w14:paraId="294842C9" w14:textId="77777777" w:rsidR="00646B26" w:rsidRPr="00930F05" w:rsidRDefault="00646B26" w:rsidP="00646B26">
      <w:r w:rsidRPr="00930F05">
        <w:rPr>
          <w:highlight w:val="yellow"/>
        </w:rPr>
        <w:t xml:space="preserve">The corporate governance challenges in Nigeria’s deposit money banking sector are deeply entrenched in its historical evolution, from pre-colonial communal systems to colonial legal impositions and post-independence regulatory failures. The Companies Ordinance of 1912 and pre-1986 government interference fostered weak accountability and politically motivated appointments, legacies that persist in post-2004 consolidation board inefficiencies, driving high NPLs and systemic instability (Elias, 2024; </w:t>
      </w:r>
      <w:proofErr w:type="spellStart"/>
      <w:r w:rsidRPr="00930F05">
        <w:rPr>
          <w:highlight w:val="yellow"/>
        </w:rPr>
        <w:t>Chinweoda</w:t>
      </w:r>
      <w:proofErr w:type="spellEnd"/>
      <w:r w:rsidRPr="00930F05">
        <w:rPr>
          <w:highlight w:val="yellow"/>
        </w:rPr>
        <w:t xml:space="preserve"> et al., 2020; Adegbite et al., 2012). The colonial-era </w:t>
      </w:r>
      <w:proofErr w:type="gramStart"/>
      <w:r w:rsidRPr="00930F05">
        <w:rPr>
          <w:highlight w:val="yellow"/>
        </w:rPr>
        <w:t>disconnect</w:t>
      </w:r>
      <w:proofErr w:type="gramEnd"/>
      <w:r w:rsidRPr="00930F05">
        <w:rPr>
          <w:highlight w:val="yellow"/>
        </w:rPr>
        <w:t xml:space="preserve"> and post-independence cronyism continue to undermine board independence and regulatory coherence, as seen in cases like Oceanic Bank (Sanusi, 2009). This section underscores the need for tailored reforms, such as independent nomination committees and harmonized regulatory frameworks, to address these historical legacies and mitigate default risk. The discussion sets the foundation for subsequent sections </w:t>
      </w:r>
      <w:proofErr w:type="spellStart"/>
      <w:r w:rsidRPr="00930F05">
        <w:rPr>
          <w:highlight w:val="yellow"/>
        </w:rPr>
        <w:t>analyzing</w:t>
      </w:r>
      <w:proofErr w:type="spellEnd"/>
      <w:r w:rsidRPr="00930F05">
        <w:rPr>
          <w:highlight w:val="yellow"/>
        </w:rPr>
        <w:t xml:space="preserve"> specific governance mechanisms—disclosure, practice, compliance, audit-committee independence (including its mediation by financial-reporting integrity), and management qualifications—and their impact on NPLs in Nigeria’s deposit money banking sector. Furthermore, integrating recent insights from Ojo and Ojo (2024), the evolution of governance structures highlights </w:t>
      </w:r>
      <w:r w:rsidRPr="00930F05">
        <w:rPr>
          <w:highlight w:val="yellow"/>
        </w:rPr>
        <w:lastRenderedPageBreak/>
        <w:t>ongoing deficiencies in practice indices and audit-committee independence, reinforcing the need for enhanced disclosure and compliance in bank practices.</w:t>
      </w:r>
    </w:p>
    <w:p w14:paraId="5436EFA3" w14:textId="77777777" w:rsidR="00646B26" w:rsidRDefault="00646B26" w:rsidP="00646B26">
      <w:pPr>
        <w:spacing w:after="283"/>
      </w:pPr>
    </w:p>
    <w:p w14:paraId="5A941927" w14:textId="77777777" w:rsidR="00646B26" w:rsidRDefault="00646B26" w:rsidP="00646B26">
      <w:pPr>
        <w:spacing w:after="283"/>
      </w:pPr>
    </w:p>
    <w:p w14:paraId="7E95DE4E" w14:textId="77777777" w:rsidR="00646B26" w:rsidRDefault="00646B26" w:rsidP="00646B26">
      <w:pPr>
        <w:spacing w:after="283"/>
      </w:pPr>
      <w:r>
        <w:br w:type="page"/>
      </w:r>
    </w:p>
    <w:p w14:paraId="567E612D" w14:textId="77777777" w:rsidR="00646B26" w:rsidRDefault="00646B26" w:rsidP="00646B26">
      <w:pPr>
        <w:pStyle w:val="Heading2"/>
        <w:rPr>
          <w:rFonts w:eastAsia="Times New Roman"/>
        </w:rPr>
      </w:pPr>
      <w:bookmarkStart w:id="53" w:name="_Toc203392103"/>
      <w:bookmarkStart w:id="54" w:name="_Toc203584771"/>
      <w:bookmarkStart w:id="55" w:name="_Toc203671425"/>
      <w:bookmarkStart w:id="56" w:name="_Toc203671475"/>
      <w:bookmarkStart w:id="57" w:name="_Toc205059274"/>
      <w:bookmarkStart w:id="58" w:name="_Toc205059491"/>
      <w:bookmarkStart w:id="59" w:name="_Toc205059585"/>
      <w:bookmarkStart w:id="60" w:name="_Toc203392039"/>
      <w:bookmarkStart w:id="61" w:name="_Toc211278865"/>
      <w:bookmarkEnd w:id="53"/>
      <w:bookmarkEnd w:id="54"/>
      <w:bookmarkEnd w:id="55"/>
      <w:bookmarkEnd w:id="56"/>
      <w:bookmarkEnd w:id="57"/>
      <w:bookmarkEnd w:id="58"/>
      <w:bookmarkEnd w:id="59"/>
      <w:bookmarkEnd w:id="60"/>
      <w:r>
        <w:rPr>
          <w:rFonts w:eastAsia="Times New Roman"/>
        </w:rPr>
        <w:lastRenderedPageBreak/>
        <w:t>2.4 Regulatory Multiplicity and Enforcement Challenges</w:t>
      </w:r>
      <w:bookmarkEnd w:id="61"/>
    </w:p>
    <w:p w14:paraId="4962EB84" w14:textId="77777777" w:rsidR="00646B26" w:rsidRDefault="00646B26" w:rsidP="00646B26">
      <w:r w:rsidRPr="00930F05">
        <w:t xml:space="preserve">Nigeria’s deposit money banking sector operates within a fragmented corporate governance framework characterized by regulatory multiplicity, which undermines compliance, disclosure, and practice, thereby exacerbating default risk as evidenced by elevated non-performing loan (NPL) ratios (Abdulmalik &amp; Ahmad, 2020). The coexistence of multiple, often conflicting, regulatory codes—such as the Companies and Allied Matters Act (CAMA) 2020, the Nigerian Code of Corporate Governance (NCCG) 2018, the Central Bank of Nigeria (CBN) Corporate Governance Guidelines 2023, and the Securities and Exchange Commission (SEC) Code of 2011—creates ambiguity that banks exploit to evade rigorous standards, contributing to systemic instability (Osemeke &amp; Adegbite, 2016). </w:t>
      </w:r>
    </w:p>
    <w:p w14:paraId="72F1FD91" w14:textId="77777777" w:rsidR="00646B26" w:rsidRPr="00930F05" w:rsidRDefault="00646B26" w:rsidP="00646B26">
      <w:r w:rsidRPr="00930F05">
        <w:t>Weak enforcement consistency by regulatory bodies, compounded by institutional constraints, further aggravates these challenges, as seen in the 2009 banking crisis, where governance lapses led to NPLs peaking at 37% (Sanusi, 2009; Nwosu, 2020). This section examines studies on Nigeria’s fragmented regulatory framework and its impact on compliance, reviews global literature on regulatory harmonization and enforcement consistency, and links these to the need for context-specific reforms to mitigate default risk in Nigeria’s deposit money banking sector. To expand, recent research by Ojo and Ojo (2024) emphasizes how regulatory multiplicity affects practice indices and audit-committee independence (including its mediation by financial-reporting integrity), directly impacting risk management and disclosure.</w:t>
      </w:r>
    </w:p>
    <w:p w14:paraId="4899A2FB" w14:textId="77777777" w:rsidR="00646B26" w:rsidRDefault="00646B26" w:rsidP="00646B26">
      <w:pPr>
        <w:pStyle w:val="Heading3"/>
        <w:rPr>
          <w:rFonts w:eastAsia="Times New Roman"/>
        </w:rPr>
      </w:pPr>
      <w:bookmarkStart w:id="62" w:name="_Toc211278866"/>
      <w:r>
        <w:rPr>
          <w:rFonts w:eastAsia="Times New Roman"/>
        </w:rPr>
        <w:t>2.4.1 The Fragmented Regulatory Landscape in Nigeria</w:t>
      </w:r>
      <w:bookmarkEnd w:id="62"/>
    </w:p>
    <w:p w14:paraId="490E4209" w14:textId="77777777" w:rsidR="00646B26" w:rsidRDefault="00646B26" w:rsidP="00646B26">
      <w:pPr>
        <w:pStyle w:val="BodyText"/>
        <w:spacing w:line="480" w:lineRule="auto"/>
      </w:pPr>
      <w:r>
        <w:t xml:space="preserve">The Nigerian deposit money banking sector is governed by a complex web of regulatory codes, each administered by different bodies, resulting in overlapping mandates and inconsistent compliance requirements (Abdulmalik &amp; Ahmad, 2020). CAMA 2020, overseen by the Corporate Affairs Commission </w:t>
      </w:r>
      <w:r>
        <w:lastRenderedPageBreak/>
        <w:t xml:space="preserve">(CAC), serves as the foundational legal framework for all registered companies, mandating board structures, shareholder rights, and annual reporting (Muse, 2024). However, its broad application often conflicts with sector-specific codes, creating confusion for banks (Osemeke &amp; Adegbite, 2016). The NCCG 2018, issued by the Financial Reporting Council of Nigeria (FRCN), adopts a principles-based “Apply and Explain” approach, allowing banks flexibility to justify non-compliance with governance principles like board diversity or whistleblowing frameworks (Nwaukwa, 2024). </w:t>
      </w:r>
    </w:p>
    <w:p w14:paraId="43083EB8" w14:textId="77777777" w:rsidR="00646B26" w:rsidRPr="00930F05" w:rsidRDefault="00646B26" w:rsidP="00646B26">
      <w:r w:rsidRPr="00930F05">
        <w:t>Abdulmalik and Ahmad (2020) argue that this discretionary approach enables banks to prioritize less stringent codes, undermining disclosure and compliance and contributing to financial misreporting, as seen in the 2009 crisis where banks like Oceanic concealed NPLs (Sanusi, 2009). Expanding on this, Afolabi and Afolabi (2024) note that such multiplicity leads to deficiencies in practice indices, particularly in audit-committee independence (including its mediation by financial-reporting integrity) and risk management, which erode disclosure and compliance.</w:t>
      </w:r>
    </w:p>
    <w:p w14:paraId="2E5ADE74" w14:textId="77777777" w:rsidR="00646B26" w:rsidRDefault="00646B26" w:rsidP="00646B26">
      <w:r w:rsidRPr="00930F05">
        <w:t>The CBN Corporate Governance Guidelines 2023, mandatory for deposit money banks, emphasize board independence, practice indices, and disclosure, tailored to address past crises (</w:t>
      </w:r>
      <w:proofErr w:type="spellStart"/>
      <w:r w:rsidRPr="00930F05">
        <w:t>Iwedi</w:t>
      </w:r>
      <w:proofErr w:type="spellEnd"/>
      <w:r w:rsidRPr="00930F05">
        <w:t xml:space="preserve"> et al., 2024). Yet, these guidelines conflict with NCCG’s flexibility, particularly on issues like risk committee structures, leading to selective adherence (Odiase, 2024). Similarly, the SEC Code of 2011, aimed at protecting shareholder rights and ensuring board independence, introduces stricter provisions, such as limits on interlocking directorships, which clash with CBN’s more lenient rules (</w:t>
      </w:r>
      <w:proofErr w:type="spellStart"/>
      <w:r w:rsidRPr="00930F05">
        <w:t>Nwaukwa</w:t>
      </w:r>
      <w:proofErr w:type="spellEnd"/>
      <w:r w:rsidRPr="00930F05">
        <w:t xml:space="preserve"> et al., 2024). Osemeke and Adegbite (2016) found that 67% of respondents in their research acknowledged significant disparities among these codes, with 80% noting their complexity hinders operational efficiency (see Figure 1.2). </w:t>
      </w:r>
    </w:p>
    <w:p w14:paraId="6F14D829" w14:textId="77777777" w:rsidR="00646B26" w:rsidRPr="00930F05" w:rsidRDefault="00646B26" w:rsidP="00646B26">
      <w:r w:rsidRPr="00930F05">
        <w:t xml:space="preserve">This regulatory multiplicity increases compliance costs, slows decision-making, and fosters agency problems, as managers exploit gaps to prioritize self-interest over stakeholder welfare, contributing to </w:t>
      </w:r>
      <w:r w:rsidRPr="00930F05">
        <w:lastRenderedPageBreak/>
        <w:t>NPLs reaching 20% in 2017 against the CBN’s 5% threshold (Adegboye, 2020). To add depth, Ojo and Ojo (2024) highlight how these conflicts affect practice indices, particularly in audit-committee functions (including mediation by financial-reporting integrity), leading to weakened risk management and disclosure. Recent developments in 2024, including the CBN's Banking Sector Recapitalization Programme requiring international banks to increase capital to N500 billion (CBN, 2024), further complicate this landscape, as new mandates layer onto existing codes without full harmonization.</w:t>
      </w:r>
    </w:p>
    <w:p w14:paraId="0DB59CCD" w14:textId="77777777" w:rsidR="00646B26" w:rsidRDefault="00646B26" w:rsidP="00646B26">
      <w:pPr>
        <w:pStyle w:val="Heading3"/>
        <w:rPr>
          <w:rFonts w:eastAsia="Times New Roman"/>
        </w:rPr>
      </w:pPr>
      <w:bookmarkStart w:id="63" w:name="_Toc211278867"/>
      <w:r>
        <w:rPr>
          <w:rFonts w:eastAsia="Times New Roman"/>
        </w:rPr>
        <w:t>2.</w:t>
      </w:r>
      <w:r>
        <w:t>4</w:t>
      </w:r>
      <w:r>
        <w:rPr>
          <w:rFonts w:eastAsia="Times New Roman"/>
        </w:rPr>
        <w:t>.2 Conflicts and Inconsistencies Among Codes</w:t>
      </w:r>
      <w:bookmarkEnd w:id="63"/>
    </w:p>
    <w:p w14:paraId="0B4D1A5A" w14:textId="77777777" w:rsidR="00646B26" w:rsidRDefault="00646B26" w:rsidP="00646B26">
      <w:pPr>
        <w:pStyle w:val="BodyText"/>
        <w:spacing w:line="480" w:lineRule="auto"/>
      </w:pPr>
      <w:r>
        <w:t>The multiplicity of regulatory codes in Nigeria's deposit money banking sector creates specific conflicts that hinder effective governance and contribute to default risk. For example, CAMA 2020's legal enforcement through fines and court interventions contrasts with NCCG 2018's "Apply and Explain" flexibility, allowing banks to opt for less stringent interpretations of board diversity or remuneration policies (Osemeke &amp; Adegbite, 2016). The CBN Guidelines 2023 mandate strict board composition (e.g., 7-15 directors with at least 3 independent non-executives), while the SEC Code 2011 emphasizes shareholder approval for compensation, leading to inconsistencies in enforcement approaches (Abdulmalik &amp; Ahmad, 2020). These conflicts enable banks to "cherry-pick" rules, as noted by 80% of respondents in Osemeke and Adegbite (2016), undermining disclosure and compliance and facilitating financial misreporting.</w:t>
      </w:r>
    </w:p>
    <w:p w14:paraId="27F892D0" w14:textId="77777777" w:rsidR="00646B26" w:rsidRDefault="00646B26" w:rsidP="00646B26">
      <w:pPr>
        <w:spacing w:line="240" w:lineRule="auto"/>
        <w:jc w:val="left"/>
      </w:pPr>
      <w:r>
        <w:br w:type="page"/>
      </w:r>
    </w:p>
    <w:p w14:paraId="0624FE2C" w14:textId="77777777" w:rsidR="00646B26" w:rsidRDefault="00646B26" w:rsidP="00646B26">
      <w:pPr>
        <w:spacing w:line="240" w:lineRule="auto"/>
        <w:jc w:val="left"/>
        <w:sectPr w:rsidR="00646B26" w:rsidSect="00646B26">
          <w:pgSz w:w="12240" w:h="15840"/>
          <w:pgMar w:top="1134" w:right="1134" w:bottom="1134" w:left="1134" w:header="0" w:footer="0" w:gutter="0"/>
          <w:cols w:space="720"/>
          <w:formProt w:val="0"/>
          <w:docGrid w:linePitch="100"/>
        </w:sectPr>
      </w:pPr>
    </w:p>
    <w:tbl>
      <w:tblPr>
        <w:tblStyle w:val="GridTable1Light-Accent4"/>
        <w:tblW w:w="13588" w:type="dxa"/>
        <w:tblLayout w:type="fixed"/>
        <w:tblLook w:val="04A0" w:firstRow="1" w:lastRow="0" w:firstColumn="1" w:lastColumn="0" w:noHBand="0" w:noVBand="1"/>
      </w:tblPr>
      <w:tblGrid>
        <w:gridCol w:w="2000"/>
        <w:gridCol w:w="1670"/>
        <w:gridCol w:w="3468"/>
        <w:gridCol w:w="2923"/>
        <w:gridCol w:w="3527"/>
      </w:tblGrid>
      <w:tr w:rsidR="00646B26" w14:paraId="61D675A6" w14:textId="77777777" w:rsidTr="00727D26">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000" w:type="dxa"/>
          </w:tcPr>
          <w:p w14:paraId="543791D5" w14:textId="77777777" w:rsidR="00646B26" w:rsidRDefault="00646B26" w:rsidP="00727D26">
            <w:pPr>
              <w:pStyle w:val="TableHeading"/>
            </w:pPr>
            <w:r>
              <w:lastRenderedPageBreak/>
              <w:t>x</w:t>
            </w:r>
          </w:p>
        </w:tc>
        <w:tc>
          <w:tcPr>
            <w:tcW w:w="1670" w:type="dxa"/>
          </w:tcPr>
          <w:p w14:paraId="72E28CE4"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Regulator</w:t>
            </w:r>
          </w:p>
        </w:tc>
        <w:tc>
          <w:tcPr>
            <w:tcW w:w="3468" w:type="dxa"/>
          </w:tcPr>
          <w:p w14:paraId="7843F1F9"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Key Provisions</w:t>
            </w:r>
          </w:p>
        </w:tc>
        <w:tc>
          <w:tcPr>
            <w:tcW w:w="2923" w:type="dxa"/>
          </w:tcPr>
          <w:p w14:paraId="61A6D3E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Conflicts with Other Codes</w:t>
            </w:r>
          </w:p>
        </w:tc>
        <w:tc>
          <w:tcPr>
            <w:tcW w:w="3527" w:type="dxa"/>
          </w:tcPr>
          <w:p w14:paraId="581CBEF4"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Tenets</w:t>
            </w:r>
          </w:p>
        </w:tc>
      </w:tr>
      <w:tr w:rsidR="00646B26" w14:paraId="15A6BEEB" w14:textId="77777777" w:rsidTr="00727D26">
        <w:trPr>
          <w:trHeight w:val="2484"/>
        </w:trPr>
        <w:tc>
          <w:tcPr>
            <w:cnfStyle w:val="001000000000" w:firstRow="0" w:lastRow="0" w:firstColumn="1" w:lastColumn="0" w:oddVBand="0" w:evenVBand="0" w:oddHBand="0" w:evenHBand="0" w:firstRowFirstColumn="0" w:firstRowLastColumn="0" w:lastRowFirstColumn="0" w:lastRowLastColumn="0"/>
            <w:tcW w:w="2000" w:type="dxa"/>
          </w:tcPr>
          <w:p w14:paraId="7B6C476E" w14:textId="77777777" w:rsidR="00646B26" w:rsidRDefault="00646B26" w:rsidP="00727D26">
            <w:pPr>
              <w:pStyle w:val="TableContents"/>
            </w:pPr>
            <w:r>
              <w:t>CAMA 2020</w:t>
            </w:r>
          </w:p>
        </w:tc>
        <w:tc>
          <w:tcPr>
            <w:tcW w:w="1670" w:type="dxa"/>
          </w:tcPr>
          <w:p w14:paraId="03FD36E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CAC</w:t>
            </w:r>
          </w:p>
        </w:tc>
        <w:tc>
          <w:tcPr>
            <w:tcW w:w="3468" w:type="dxa"/>
          </w:tcPr>
          <w:p w14:paraId="243023F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≥2 directors; ≥1/3 INEDs for public companies; Audit committee mandatory with equal directors/shareholders; Legal enforcement with fines.</w:t>
            </w:r>
          </w:p>
        </w:tc>
        <w:tc>
          <w:tcPr>
            <w:tcW w:w="2923" w:type="dxa"/>
          </w:tcPr>
          <w:p w14:paraId="65E1AC9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Conflicts with NCCG's flexibility on diversity; stricter than CBN on remuneration disclosure.</w:t>
            </w:r>
          </w:p>
        </w:tc>
        <w:tc>
          <w:tcPr>
            <w:tcW w:w="3527" w:type="dxa"/>
          </w:tcPr>
          <w:p w14:paraId="1DA6736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transparency by allowing shareholder influence on audit committees; affects bank practice through rigid board structures.</w:t>
            </w:r>
          </w:p>
        </w:tc>
      </w:tr>
      <w:tr w:rsidR="00646B26" w14:paraId="64C2509E" w14:textId="77777777" w:rsidTr="00727D26">
        <w:trPr>
          <w:trHeight w:val="1790"/>
        </w:trPr>
        <w:tc>
          <w:tcPr>
            <w:cnfStyle w:val="001000000000" w:firstRow="0" w:lastRow="0" w:firstColumn="1" w:lastColumn="0" w:oddVBand="0" w:evenVBand="0" w:oddHBand="0" w:evenHBand="0" w:firstRowFirstColumn="0" w:firstRowLastColumn="0" w:lastRowFirstColumn="0" w:lastRowLastColumn="0"/>
            <w:tcW w:w="2000" w:type="dxa"/>
          </w:tcPr>
          <w:p w14:paraId="38F6F831" w14:textId="77777777" w:rsidR="00646B26" w:rsidRDefault="00646B26" w:rsidP="00727D26">
            <w:pPr>
              <w:pStyle w:val="TableContents"/>
            </w:pPr>
            <w:r>
              <w:t>NCCG 2018</w:t>
            </w:r>
          </w:p>
        </w:tc>
        <w:tc>
          <w:tcPr>
            <w:tcW w:w="1670" w:type="dxa"/>
          </w:tcPr>
          <w:p w14:paraId="759C39D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FRCN</w:t>
            </w:r>
          </w:p>
        </w:tc>
        <w:tc>
          <w:tcPr>
            <w:tcW w:w="3468" w:type="dxa"/>
          </w:tcPr>
          <w:p w14:paraId="0563658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Majority NEDs, most INEDs; "Apply and Explain"; Rem. committee NED-chaired.</w:t>
            </w:r>
          </w:p>
        </w:tc>
        <w:tc>
          <w:tcPr>
            <w:tcW w:w="2923" w:type="dxa"/>
          </w:tcPr>
          <w:p w14:paraId="513B2BC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Less stringent than CBN on board size; conflicts with SEC on shareholder approval.</w:t>
            </w:r>
          </w:p>
        </w:tc>
        <w:tc>
          <w:tcPr>
            <w:tcW w:w="3527" w:type="dxa"/>
          </w:tcPr>
          <w:p w14:paraId="660B90E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Facilitates selective compliance, weakening risk management and accountability.</w:t>
            </w:r>
          </w:p>
        </w:tc>
      </w:tr>
      <w:tr w:rsidR="00646B26" w14:paraId="320EB49B" w14:textId="77777777" w:rsidTr="00727D26">
        <w:trPr>
          <w:trHeight w:val="2137"/>
        </w:trPr>
        <w:tc>
          <w:tcPr>
            <w:cnfStyle w:val="001000000000" w:firstRow="0" w:lastRow="0" w:firstColumn="1" w:lastColumn="0" w:oddVBand="0" w:evenVBand="0" w:oddHBand="0" w:evenHBand="0" w:firstRowFirstColumn="0" w:firstRowLastColumn="0" w:lastRowFirstColumn="0" w:lastRowLastColumn="0"/>
            <w:tcW w:w="2000" w:type="dxa"/>
          </w:tcPr>
          <w:p w14:paraId="0D9BBCC8" w14:textId="77777777" w:rsidR="00646B26" w:rsidRDefault="00646B26" w:rsidP="00727D26">
            <w:pPr>
              <w:pStyle w:val="TableContents"/>
            </w:pPr>
            <w:r>
              <w:t>CBN CG Guidelines 2023</w:t>
            </w:r>
          </w:p>
        </w:tc>
        <w:tc>
          <w:tcPr>
            <w:tcW w:w="1670" w:type="dxa"/>
          </w:tcPr>
          <w:p w14:paraId="2AA5F00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w:t>
            </w:r>
          </w:p>
        </w:tc>
        <w:tc>
          <w:tcPr>
            <w:tcW w:w="3468" w:type="dxa"/>
          </w:tcPr>
          <w:p w14:paraId="3AF68FF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7-15 directors; ≥3 INEDs; </w:t>
            </w:r>
            <w:proofErr w:type="gramStart"/>
            <w:r>
              <w:t>Perf.-</w:t>
            </w:r>
            <w:proofErr w:type="gramEnd"/>
            <w:r>
              <w:t>linked remuneration; Mandatory fines, board dissolution.</w:t>
            </w:r>
          </w:p>
        </w:tc>
        <w:tc>
          <w:tcPr>
            <w:tcW w:w="2923" w:type="dxa"/>
          </w:tcPr>
          <w:p w14:paraId="1FFECD6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Lenient on interlocking directorships compared to SEC; stricter than NCCG on risk committees.</w:t>
            </w:r>
          </w:p>
        </w:tc>
        <w:tc>
          <w:tcPr>
            <w:tcW w:w="3527" w:type="dxa"/>
          </w:tcPr>
          <w:p w14:paraId="0D19CE5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Enhances risk management but conflicts reduce audit independence and transparency.</w:t>
            </w:r>
          </w:p>
        </w:tc>
      </w:tr>
      <w:tr w:rsidR="00646B26" w14:paraId="01111A53" w14:textId="77777777" w:rsidTr="00727D26">
        <w:trPr>
          <w:trHeight w:val="1406"/>
        </w:trPr>
        <w:tc>
          <w:tcPr>
            <w:cnfStyle w:val="001000000000" w:firstRow="0" w:lastRow="0" w:firstColumn="1" w:lastColumn="0" w:oddVBand="0" w:evenVBand="0" w:oddHBand="0" w:evenHBand="0" w:firstRowFirstColumn="0" w:firstRowLastColumn="0" w:lastRowFirstColumn="0" w:lastRowLastColumn="0"/>
            <w:tcW w:w="2000" w:type="dxa"/>
          </w:tcPr>
          <w:p w14:paraId="79336A95" w14:textId="77777777" w:rsidR="00646B26" w:rsidRDefault="00646B26" w:rsidP="00727D26">
            <w:pPr>
              <w:pStyle w:val="TableContents"/>
            </w:pPr>
            <w:r>
              <w:t>SEC Code 2011</w:t>
            </w:r>
          </w:p>
        </w:tc>
        <w:tc>
          <w:tcPr>
            <w:tcW w:w="1670" w:type="dxa"/>
          </w:tcPr>
          <w:p w14:paraId="448CD2E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SEC</w:t>
            </w:r>
          </w:p>
        </w:tc>
        <w:tc>
          <w:tcPr>
            <w:tcW w:w="3468" w:type="dxa"/>
          </w:tcPr>
          <w:p w14:paraId="6983129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≥1 INED; Separate Chairman/CEO; Rem. committee NEDs; Fines, delisting.</w:t>
            </w:r>
          </w:p>
        </w:tc>
        <w:tc>
          <w:tcPr>
            <w:tcW w:w="2923" w:type="dxa"/>
          </w:tcPr>
          <w:p w14:paraId="646C6F8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Clashes with CBN on family members in boards; overlaps with NCCG on monitoring.</w:t>
            </w:r>
          </w:p>
        </w:tc>
        <w:tc>
          <w:tcPr>
            <w:tcW w:w="3527" w:type="dxa"/>
          </w:tcPr>
          <w:p w14:paraId="2EFED3D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Supports accountability but multiplicity hinders bank practice and enforcement.</w:t>
            </w:r>
          </w:p>
        </w:tc>
      </w:tr>
    </w:tbl>
    <w:p w14:paraId="082B9F5F" w14:textId="77777777" w:rsidR="00646B26" w:rsidRDefault="00646B26" w:rsidP="00646B26">
      <w:pPr>
        <w:pStyle w:val="BodyText"/>
        <w:spacing w:line="480" w:lineRule="auto"/>
        <w:sectPr w:rsidR="00646B26" w:rsidSect="00646B26">
          <w:pgSz w:w="15840" w:h="12240" w:orient="landscape"/>
          <w:pgMar w:top="1134" w:right="1134" w:bottom="1134" w:left="1134" w:header="0" w:footer="0" w:gutter="0"/>
          <w:cols w:space="720"/>
          <w:formProt w:val="0"/>
          <w:docGrid w:linePitch="326"/>
        </w:sectPr>
      </w:pPr>
      <w:r>
        <w:t>Note: Adapted from Central Bank of Nigeria (2023), Financial Reporting Council of Nigeria (2018), Companies and Allied Matters Act (2020), and Securities and Exchange Commission (2011). Conflicts contribute to ambiguity, impacting all CG tene</w:t>
      </w:r>
    </w:p>
    <w:p w14:paraId="0C8DC25A" w14:textId="77777777" w:rsidR="00646B26" w:rsidRDefault="00646B26" w:rsidP="00646B26">
      <w:pPr>
        <w:pStyle w:val="BodyText"/>
        <w:spacing w:line="480" w:lineRule="auto"/>
        <w:sectPr w:rsidR="00646B26" w:rsidSect="00646B26">
          <w:pgSz w:w="12240" w:h="15840"/>
          <w:pgMar w:top="1134" w:right="1134" w:bottom="1134" w:left="1134" w:header="0" w:footer="0" w:gutter="0"/>
          <w:cols w:space="720"/>
          <w:formProt w:val="0"/>
          <w:docGrid w:linePitch="100"/>
        </w:sectPr>
      </w:pPr>
    </w:p>
    <w:p w14:paraId="3565B693" w14:textId="77777777" w:rsidR="00646B26" w:rsidRDefault="00646B26" w:rsidP="00646B26">
      <w:pPr>
        <w:pStyle w:val="BodyText"/>
        <w:spacing w:line="480" w:lineRule="auto"/>
      </w:pPr>
      <w:r>
        <w:lastRenderedPageBreak/>
        <w:t xml:space="preserve">Weak enforcement consistency exacerbates these challenges, as regulatory bodies like the CBN, FRCN, and CAC lack coordination and sufficient authority (Nwoke et al., 2023). Abdulmalik and Ahmad (2020) highlight that the FRCN’s inability to override sectoral regulators like the CBN, combined with shareholder associations’ limited legal backing, weakens enforcement credibility. For instance, during the 2009 crisis, inadequate enforcement allowed banks to falsify financial statements, delaying corrective actions and eroding trust (Olojede et al., 2020). </w:t>
      </w:r>
    </w:p>
    <w:p w14:paraId="1A19E641" w14:textId="77777777" w:rsidR="00646B26" w:rsidRPr="00930F05" w:rsidRDefault="00646B26" w:rsidP="00646B26">
      <w:r w:rsidRPr="00930F05">
        <w:t>Shaba (2024) notes that institutional weaknesses, such as outdated sanctions and resource constraints, further undermine enforcement, enabling governance lapses like insider lending, as seen in Oceanic Bank, where 75% of NPLs were tied to family-controlled entities (Sanusi, 2009). This fragmented and weakly enforced framework directly contributes to default risk by failing to ensure compliance with governance standards critical for risk mitigation. Recent insights from Afolabi and Afolabi (2024) further illustrate how weak enforcement perpetuates deficiencies in audit-committee independence (including its mediation by financial-reporting integrity) and practice indices, impacting overall disclosure. The CBN's 2024 recapitalization program, requiring N500 billion for international banks, aims to strengthen capital but does not directly address enforcement gaps (CBN, 2024).</w:t>
      </w:r>
    </w:p>
    <w:p w14:paraId="6EA31A5C" w14:textId="77777777" w:rsidR="00646B26" w:rsidRDefault="00646B26" w:rsidP="00646B26">
      <w:pPr>
        <w:pStyle w:val="Heading3"/>
        <w:rPr>
          <w:rFonts w:eastAsia="Times New Roman"/>
        </w:rPr>
      </w:pPr>
      <w:bookmarkStart w:id="64" w:name="_Toc211278868"/>
      <w:r>
        <w:rPr>
          <w:rFonts w:eastAsia="Times New Roman"/>
        </w:rPr>
        <w:t>2.4.3 Global Perspectives on Regulatory Harmonization</w:t>
      </w:r>
      <w:bookmarkEnd w:id="64"/>
    </w:p>
    <w:p w14:paraId="023737F5" w14:textId="77777777" w:rsidR="00646B26" w:rsidRPr="00930F05" w:rsidRDefault="00646B26" w:rsidP="00646B26">
      <w:r w:rsidRPr="00930F05">
        <w:t>Global literature underscores the importance of regulatory harmonization and enforcement consistency in fostering effective corporate governance and reducing financial risks (OECD, 2023; Aguilera &amp; Cuervo-</w:t>
      </w:r>
      <w:proofErr w:type="spellStart"/>
      <w:r w:rsidRPr="00930F05">
        <w:t>Cazurra</w:t>
      </w:r>
      <w:proofErr w:type="spellEnd"/>
      <w:r w:rsidRPr="00930F05">
        <w:t xml:space="preserve">, 2004). The OECD Principles of Corporate Governance (2023) advocate for a unified regulatory framework that balances flexibility with enforceability, emphasizing clear guidelines, independent oversight, and stakeholder protection. OECD (2023) highlights that harmonized regulations reduce compliance ambiguity, enhance disclosure, and lower systemic risks, as seen in </w:t>
      </w:r>
      <w:r w:rsidRPr="00930F05">
        <w:lastRenderedPageBreak/>
        <w:t>jurisdictions like the European Union, where integrated frameworks like Basel III have strengthened banking stability (BCBS, 2010). Aguilera and Cuervo-</w:t>
      </w:r>
      <w:proofErr w:type="spellStart"/>
      <w:r w:rsidRPr="00930F05">
        <w:t>Cazurra</w:t>
      </w:r>
      <w:proofErr w:type="spellEnd"/>
      <w:r w:rsidRPr="00930F05">
        <w:t xml:space="preserve"> (2004) argue that effective governance requires aligning national codes with global standards while adapting to local contexts, citing examples like Singapore, where harmonized regulations and strong judicial enforcement have minimized agency problems and financial distress. In contrast, Nigeria’s regulatory multiplicity mirrors </w:t>
      </w:r>
      <w:proofErr w:type="gramStart"/>
      <w:r w:rsidRPr="00930F05">
        <w:t>challenges</w:t>
      </w:r>
      <w:proofErr w:type="gramEnd"/>
      <w:r w:rsidRPr="00930F05">
        <w:t xml:space="preserve"> in other emerging markets with weak institutional frameworks (Aguilera &amp; Cuervo-</w:t>
      </w:r>
      <w:proofErr w:type="spellStart"/>
      <w:r w:rsidRPr="00930F05">
        <w:t>Cazurra</w:t>
      </w:r>
      <w:proofErr w:type="spellEnd"/>
      <w:r w:rsidRPr="00930F05">
        <w:t>, 2009). For instance, Brooks (1989) illustrates how Canada’s multiple codes created enforcement inconsistencies, a parallel to Nigeria’s experience, where banks exploit code disparities to evade compliance (Ofo, 2013). Global studies also emphasize enforcement as a critical determinant of governance efficacy. Oman (2001) posits that in countries with weak judicial systems, like Nigeria, independent regulatory agencies are more effective than courts in ensuring compliance, a view supported by the OECD (2023). However, Nigeria’s enforcement agencies, constrained by overlapping mandates and limited resources, fail to emulate this model, allowing governance lapses to persist (Nwoke et al., 2023). Macey and O’Hara (2003) suggest that self-regulatory codes can boost investor confidence if backed by robust enforcement, but in Nigeria, the NCCG’s voluntary nature undermines its impact, contrasting with stricter CBN mandates (Tayo-</w:t>
      </w:r>
      <w:proofErr w:type="spellStart"/>
      <w:r w:rsidRPr="00930F05">
        <w:t>Tiwo</w:t>
      </w:r>
      <w:proofErr w:type="spellEnd"/>
      <w:r w:rsidRPr="00930F05">
        <w:t>, 2020). These global insights highlight the need for Nigeria to harmonize its regulatory codes and strengthen enforcement consistency to align with best practices, reducing default risk and enhancing banking stability. Adding depth, Ojo and Ojo (2024) argue that global comparisons reveal Nigeria's deficiencies in integrating audit-committee independence (including mediation by financial-reporting integrity) with practice indices, further eroding disclosure. Recent 2024 developments, such as the CBN's AML compliance tightening (Smile ID, 2024), suggest steps toward harmonization but fall short of comprehensive reform.</w:t>
      </w:r>
    </w:p>
    <w:p w14:paraId="1B6A6123" w14:textId="77777777" w:rsidR="00646B26" w:rsidRDefault="00646B26" w:rsidP="00646B26">
      <w:pPr>
        <w:pStyle w:val="Heading3"/>
        <w:rPr>
          <w:rFonts w:eastAsia="Times New Roman"/>
        </w:rPr>
      </w:pPr>
      <w:bookmarkStart w:id="65" w:name="_Toc211278869"/>
      <w:r>
        <w:rPr>
          <w:rFonts w:eastAsia="Times New Roman"/>
        </w:rPr>
        <w:lastRenderedPageBreak/>
        <w:t>2.</w:t>
      </w:r>
      <w:r>
        <w:t>4</w:t>
      </w:r>
      <w:r>
        <w:rPr>
          <w:rFonts w:eastAsia="Times New Roman"/>
        </w:rPr>
        <w:t>.4 Implications for Default Risk and NPLs</w:t>
      </w:r>
      <w:bookmarkEnd w:id="65"/>
    </w:p>
    <w:p w14:paraId="5B1D38DB" w14:textId="77777777" w:rsidR="00646B26" w:rsidRDefault="00646B26" w:rsidP="00646B26">
      <w:pPr>
        <w:pStyle w:val="BodyText"/>
        <w:spacing w:line="480" w:lineRule="auto"/>
      </w:pPr>
      <w:r>
        <w:t xml:space="preserve">The fragmented regulatory framework and weak enforcement consistency in Nigeria’s deposit money banking sector have profound consequences for compliance and default risk. The lack of harmonization among CAMA 2020, NCCG 2018, CBN Guidelines 2023, and SEC Code 2011 creates a governance environment where banks can selectively comply, as evidenced by the 2009 crisis, where regulatory ambiguity enabled financial concealment (Sanusi, 2009). Abdulmalik and Ahmad (2020) argue that this multiplicity fosters agency inefficiencies, with boards and management prioritizing short-term gains over long-term stability, contributing to NPLs. The absence of robust enforcement, as noted by Nwoke et al. (2023), allows violations like insider lending and weak practice indices to go unchecked, directly linking regulatory failures to systemic risks. Global literature suggests that harmonizing codes into a unified framework, as advocated by OECD (2023), could streamline compliance, while empowering regulators with independent enforcement powers, per Aguilera and Cuervo-Cazurra (2004), would deter non-compliance. For Nigeria, adopting these principles requires context-specific reforms, such as a centralized banking governance code and enhanced regulatory coordination, to address historical legacies of fragmentation and reduce NPL-driven default risk (Osemeke &amp; Adegbite, 2016). </w:t>
      </w:r>
      <w:r>
        <w:rPr>
          <w:rStyle w:val="Strong"/>
        </w:rPr>
        <w:t>Recent studies by Afolabi and Afolabi (2024) add that such reforms must prioritize audit-committee independence (including its mediation by financial-reporting integrity) to improve practice indices and disclosure.</w:t>
      </w:r>
      <w:r>
        <w:t xml:space="preserve"> The CBN's 2024 recapitalization (additional N900bn injection expected; BusinessDay NG, 2024) could support this by bolstering capital, but without enforcement, NPL risks persist.</w:t>
      </w:r>
    </w:p>
    <w:p w14:paraId="0B1B22CC" w14:textId="77777777" w:rsidR="00646B26" w:rsidRPr="00930F05" w:rsidRDefault="00646B26" w:rsidP="00646B26">
      <w:r w:rsidRPr="00930F05">
        <w:t xml:space="preserve">Nigeria’s fragmented regulatory framework, characterized by conflicting codes like CAMA 2020, NCCG 2018, CBN Guidelines 2023, and SEC Code 2011, coupled with weak enforcement consistency, significantly undermines corporate governance in the deposit money banking sector, contributing to high NPLs and systemic instability (Abdulmalik &amp; Ahmad, 2020; Osemeke &amp; Adegbite, 2016). Global </w:t>
      </w:r>
      <w:r w:rsidRPr="00930F05">
        <w:lastRenderedPageBreak/>
        <w:t>literature on regulatory harmonization and enforcement highlights the efficacy of unified frameworks and robust oversight in reducing financial risks, offering lessons for Nigeria (OECD, 2023; Aguilera &amp; Cuervo-</w:t>
      </w:r>
      <w:proofErr w:type="spellStart"/>
      <w:r w:rsidRPr="00930F05">
        <w:t>Cazurra</w:t>
      </w:r>
      <w:proofErr w:type="spellEnd"/>
      <w:r w:rsidRPr="00930F05">
        <w:t>, 2004). The persistence of regulatory multiplicity and enforcement gaps, rooted in historical legacies, perpetuates governance lapses, as seen in the 2009 crisis. This section underscores the need for context-specific reforms to harmonize regulations and strengthen enforcement, aligning with research objectives (OB4, H4) to mitigate default risk and enhance banking stability. Subsequent sections will explore specific governance mechanisms—disclosure, practice, compliance, audit-committee independence (including its mediation by financial-reporting integrity), and management qualifications—and their impact on NPLs in Nigeria’s deposit money banks. To further relate, Ojo and Ojo (2024) suggest that addressing these challenges can improve disclosure and practice indices in bank operations.</w:t>
      </w:r>
    </w:p>
    <w:p w14:paraId="2B129B8A" w14:textId="77777777" w:rsidR="00646B26" w:rsidRDefault="00646B26" w:rsidP="00646B26">
      <w:pPr>
        <w:pStyle w:val="BodyText"/>
        <w:spacing w:line="480" w:lineRule="auto"/>
      </w:pPr>
      <w:r>
        <w:t xml:space="preserve">Effective board oversight and independence are critical for ensuring disclosure, practice, and compliance, as well as mitigating risk in Nigeria’s deposit money banking sector, where governance failures have contributed to elevated non-performing loan (NPL) ratios and systemic instability, with 425 bank failures recorded since 1988 (Udo, 2020). Boards of directors serve as the cornerstone of corporate governance, tasked with overseeing management, setting strategic direction, and safeguarding stakeholder interests (Aguilera &amp; Ruiz Castillo, 2024). However, in Nigeria, board inefficiencies, characterized by cronyism and a lack of independence, undermine these roles, exacerbating default risk, as evidenced by NPL peaks of 37% in 2009 and 20% in 2017 against the Central Bank of Nigeria’s (CBN) 5% threshold (Nwosu, 2020; Adegboye, 2020). This section reviews agency and stewardship theories on board roles in disclosure and practice, examines Nigerian studies on board cronyism and the absence of independent nomination committees in 61% of deposit money banks, and links these to governance failures driving default risk in the post-2004 consolidation era. </w:t>
      </w:r>
      <w:r>
        <w:rPr>
          <w:rStyle w:val="Strong"/>
        </w:rPr>
        <w:t xml:space="preserve">To expand, </w:t>
      </w:r>
      <w:r>
        <w:rPr>
          <w:rStyle w:val="Strong"/>
        </w:rPr>
        <w:lastRenderedPageBreak/>
        <w:t>recent research by Ojo and Ojo (2024) emphasizes how board oversight ties to audit-committee independence (including its mediation by financial-reporting integrity) and practice indices, reinforcing disclosure and compliance.</w:t>
      </w:r>
    </w:p>
    <w:p w14:paraId="03E5D627" w14:textId="77777777" w:rsidR="00646B26" w:rsidRDefault="00646B26" w:rsidP="00646B26">
      <w:pPr>
        <w:pStyle w:val="Heading2"/>
        <w:rPr>
          <w:rFonts w:eastAsia="Times New Roman"/>
        </w:rPr>
      </w:pPr>
      <w:bookmarkStart w:id="66" w:name="_Toc211278870"/>
      <w:r>
        <w:rPr>
          <w:rFonts w:eastAsia="Times New Roman"/>
        </w:rPr>
        <w:t>2.5.</w:t>
      </w:r>
      <w:r>
        <w:t xml:space="preserve"> </w:t>
      </w:r>
      <w:r>
        <w:rPr>
          <w:rFonts w:eastAsia="Times New Roman"/>
        </w:rPr>
        <w:t>Theoretical Foundations of Board Oversight</w:t>
      </w:r>
      <w:bookmarkEnd w:id="66"/>
    </w:p>
    <w:p w14:paraId="2355418E" w14:textId="77777777" w:rsidR="00646B26" w:rsidRDefault="00646B26" w:rsidP="00646B26">
      <w:pPr>
        <w:pStyle w:val="Heading3"/>
        <w:rPr>
          <w:rFonts w:eastAsia="Times New Roman"/>
        </w:rPr>
      </w:pPr>
      <w:bookmarkStart w:id="67" w:name="_Toc211278871"/>
      <w:r>
        <w:rPr>
          <w:rFonts w:eastAsia="Times New Roman"/>
        </w:rPr>
        <w:t>2.</w:t>
      </w:r>
      <w:r>
        <w:t>5</w:t>
      </w:r>
      <w:r>
        <w:rPr>
          <w:rFonts w:eastAsia="Times New Roman"/>
        </w:rPr>
        <w:t>.1.</w:t>
      </w:r>
      <w:r>
        <w:t xml:space="preserve"> </w:t>
      </w:r>
      <w:r>
        <w:rPr>
          <w:rFonts w:eastAsia="Times New Roman"/>
        </w:rPr>
        <w:t>Agency Theory and Board Monitoring</w:t>
      </w:r>
      <w:bookmarkEnd w:id="67"/>
    </w:p>
    <w:p w14:paraId="18C09E95" w14:textId="77777777" w:rsidR="00646B26" w:rsidRDefault="00646B26" w:rsidP="00646B26">
      <w:pPr>
        <w:pStyle w:val="BodyText"/>
        <w:spacing w:line="480" w:lineRule="auto"/>
      </w:pPr>
      <w:r>
        <w:t xml:space="preserve">Agency theory, articulated by Jensen and Meckling (1976), posits that conflicts of interest arise between principals (shareholders) and agents (management) due to divergent goals, necessitating robust board oversight to align interests and mitigate risks. Boards, as monitoring mechanisms, reduce agency costs by ensuring management acts in shareholders’ interests, particularly in high-risk environments like deposit money banking, where mismanagement can lead to financial distress (Fama &amp; Jensen, 1983). In Nigeria’s context, agency theory highlights the need for independent boards to curb risky behaviors, such as insider lending, which fueled the 2009 Oceanic Bank crisis, where 75% of NPLs were tied to board-related entities (Sanusi, 2009). </w:t>
      </w:r>
    </w:p>
    <w:p w14:paraId="3090843C" w14:textId="77777777" w:rsidR="00646B26" w:rsidRPr="005B5E8B" w:rsidRDefault="00646B26" w:rsidP="00646B26">
      <w:r w:rsidRPr="005B5E8B">
        <w:rPr>
          <w:highlight w:val="yellow"/>
        </w:rPr>
        <w:t>Effective board oversight, per agency theory, involves independent directors who challenge management decisions, enforce disclosure, and implement practice indices to prevent default risk escalation (Osemeke &amp; Adegbite, 2016). Adding depth, Afolabi and Afolabi (2024) link agency theory to practice indices, showing how weak board oversight leads to deficiencies in risk management and audit-committee independence (including its mediation by financial-reporting integrity).</w:t>
      </w:r>
    </w:p>
    <w:p w14:paraId="332DBDED" w14:textId="77777777" w:rsidR="00646B26" w:rsidRDefault="00646B26" w:rsidP="00646B26">
      <w:pPr>
        <w:pStyle w:val="Heading3"/>
        <w:rPr>
          <w:rFonts w:eastAsia="Times New Roman"/>
        </w:rPr>
      </w:pPr>
      <w:bookmarkStart w:id="68" w:name="_Toc211278872"/>
      <w:r>
        <w:rPr>
          <w:rFonts w:eastAsia="Times New Roman"/>
        </w:rPr>
        <w:t>2.</w:t>
      </w:r>
      <w:r>
        <w:t>5</w:t>
      </w:r>
      <w:r>
        <w:rPr>
          <w:rFonts w:eastAsia="Times New Roman"/>
        </w:rPr>
        <w:t>.</w:t>
      </w:r>
      <w:r>
        <w:t>2</w:t>
      </w:r>
      <w:r>
        <w:rPr>
          <w:rFonts w:eastAsia="Times New Roman"/>
        </w:rPr>
        <w:t xml:space="preserve"> Stewardship Theory and Strategic Guidance</w:t>
      </w:r>
      <w:bookmarkEnd w:id="68"/>
    </w:p>
    <w:p w14:paraId="7CDBF58D" w14:textId="77777777" w:rsidR="00646B26" w:rsidRDefault="00646B26" w:rsidP="00646B26">
      <w:r w:rsidRPr="005B5E8B">
        <w:t xml:space="preserve">Stewardship theory, proposed by Donaldson and Davis (1991), offers a contrasting perspective, suggesting that managers act as stewards who prioritize organizational goals over self-interest, </w:t>
      </w:r>
      <w:r w:rsidRPr="005B5E8B">
        <w:lastRenderedPageBreak/>
        <w:t xml:space="preserve">provided boards foster trust and collaboration. Unlike agency theory’s emphasis on monitoring, stewardship theory advocates for empowering boards with strategic roles, </w:t>
      </w:r>
      <w:proofErr w:type="gramStart"/>
      <w:r w:rsidRPr="005B5E8B">
        <w:t>where</w:t>
      </w:r>
      <w:proofErr w:type="gramEnd"/>
      <w:r w:rsidRPr="005B5E8B">
        <w:t xml:space="preserve"> directors with management qualifications guide management toward long-term stability. In deposit money banking, stewardship theory underscores the importance of competent, independent boards in enhancing practice indices and disclosure, ensuring alignment with stakeholder interests (Pfeffer &amp; </w:t>
      </w:r>
      <w:proofErr w:type="spellStart"/>
      <w:r w:rsidRPr="005B5E8B">
        <w:t>Salancik</w:t>
      </w:r>
      <w:proofErr w:type="spellEnd"/>
      <w:r w:rsidRPr="005B5E8B">
        <w:t xml:space="preserve">, 1978). </w:t>
      </w:r>
    </w:p>
    <w:p w14:paraId="1D6814DE" w14:textId="77777777" w:rsidR="00646B26" w:rsidRPr="005B5E8B" w:rsidRDefault="00646B26" w:rsidP="00646B26">
      <w:r w:rsidRPr="005B5E8B">
        <w:t>However, in Nigeria, where politically motivated appointments often undermine management qualifications, stewardship theory’s assumptions are challenged, as seen in cases like Intercontinental Bank, where weak board oversight contributed to financial collapse (Owolabi, 2013). Both theories emphasize board independence as critical for disclosure and practice, yet their application in Nigeria is hindered by systemic governance flaws. Recent studies by Ojo and Ojo (2024) expand this by showing how stewardship can be integrated with audit-committee independence (including mediation by financial-reporting integrity) to improve disclosure, suggesting that boards with expertise can foster collaborative practice indices, aligning with stakeholder-focused bank operations.</w:t>
      </w:r>
    </w:p>
    <w:p w14:paraId="3CF538AE" w14:textId="77777777" w:rsidR="00646B26" w:rsidRDefault="00646B26" w:rsidP="00646B26">
      <w:pPr>
        <w:pStyle w:val="Heading3"/>
        <w:rPr>
          <w:rFonts w:eastAsia="Times New Roman"/>
        </w:rPr>
      </w:pPr>
      <w:bookmarkStart w:id="69" w:name="_Toc211278873"/>
      <w:r>
        <w:rPr>
          <w:rFonts w:eastAsia="Times New Roman"/>
        </w:rPr>
        <w:t>2.</w:t>
      </w:r>
      <w:r>
        <w:t>5</w:t>
      </w:r>
      <w:r>
        <w:rPr>
          <w:rFonts w:eastAsia="Times New Roman"/>
        </w:rPr>
        <w:t>.</w:t>
      </w:r>
      <w:r>
        <w:t>3</w:t>
      </w:r>
      <w:r>
        <w:rPr>
          <w:rFonts w:eastAsia="Times New Roman"/>
        </w:rPr>
        <w:t xml:space="preserve"> Board Cronyism and Governance Failures in Nigeria</w:t>
      </w:r>
      <w:bookmarkEnd w:id="69"/>
    </w:p>
    <w:p w14:paraId="268C2F3F" w14:textId="77777777" w:rsidR="00646B26" w:rsidRPr="005B5E8B" w:rsidRDefault="00646B26" w:rsidP="00646B26">
      <w:r w:rsidRPr="005B5E8B">
        <w:t xml:space="preserve">Nigerian studies highlight pervasive board cronyism and the absence of independent nomination committees as key governance failures, undermining oversight and driving default risk. </w:t>
      </w:r>
      <w:proofErr w:type="spellStart"/>
      <w:r w:rsidRPr="005B5E8B">
        <w:t>Ogbechie</w:t>
      </w:r>
      <w:proofErr w:type="spellEnd"/>
      <w:r w:rsidRPr="005B5E8B">
        <w:t xml:space="preserve"> (2016) reports that 61% of deposit money banks lack independent nomination committees, allowing concentrated ownership and political influences to dominate board appointments. This enables cronyism, where directors are selected for loyalty rather than management qualifications, as seen in the 2009 banking crisis, where unqualified management facilitated mismanagement (Sanusi, 2014). For instance, Oceanic Bank’s board, dominated by Ibru family members, approved insider loans constituting 75% of NPLs, reflecting a severe lack of independent oversight (Sanusi, 2009). Sanusi (2014) notes that </w:t>
      </w:r>
      <w:r w:rsidRPr="005B5E8B">
        <w:lastRenderedPageBreak/>
        <w:t>boards often exhibit weak ethical standards, with chairmen and CEOs exerting overbearing influence, rendering board committees inefficient or dormant. This cronyism, rooted in historical government interference pre-1986, perpetuates agency problems, as boards fail to monitor management effectively, contributing to NPL-driven distress (</w:t>
      </w:r>
      <w:proofErr w:type="spellStart"/>
      <w:r w:rsidRPr="005B5E8B">
        <w:t>Chinweoda</w:t>
      </w:r>
      <w:proofErr w:type="spellEnd"/>
      <w:r w:rsidRPr="005B5E8B">
        <w:t xml:space="preserve"> et al., 2020). To add depth, Afolabi and Afolabi (2024) connect cronyism to practice index failures, affecting disclosure and compliance, as unqualified boards fail to implement robust credit risk controls, exacerbating default risk.</w:t>
      </w:r>
    </w:p>
    <w:p w14:paraId="6AFD5B07" w14:textId="77777777" w:rsidR="00646B26" w:rsidRDefault="00646B26" w:rsidP="00646B26">
      <w:pPr>
        <w:pStyle w:val="BodyText"/>
        <w:spacing w:line="480" w:lineRule="auto"/>
        <w:sectPr w:rsidR="00646B26" w:rsidSect="00646B26">
          <w:pgSz w:w="12240" w:h="15840"/>
          <w:pgMar w:top="1134" w:right="1134" w:bottom="1134" w:left="1134" w:header="0" w:footer="0" w:gutter="0"/>
          <w:cols w:space="720"/>
          <w:formProt w:val="0"/>
          <w:docGrid w:linePitch="100"/>
        </w:sectPr>
      </w:pPr>
    </w:p>
    <w:tbl>
      <w:tblPr>
        <w:tblStyle w:val="GridTable1Light-Accent4"/>
        <w:tblpPr w:leftFromText="180" w:rightFromText="180" w:vertAnchor="text" w:horzAnchor="margin" w:tblpY="-129"/>
        <w:tblW w:w="12898" w:type="dxa"/>
        <w:tblLayout w:type="fixed"/>
        <w:tblLook w:val="04A0" w:firstRow="1" w:lastRow="0" w:firstColumn="1" w:lastColumn="0" w:noHBand="0" w:noVBand="1"/>
      </w:tblPr>
      <w:tblGrid>
        <w:gridCol w:w="2335"/>
        <w:gridCol w:w="2974"/>
        <w:gridCol w:w="2950"/>
        <w:gridCol w:w="2629"/>
        <w:gridCol w:w="2010"/>
      </w:tblGrid>
      <w:tr w:rsidR="00646B26" w14:paraId="156F49DA" w14:textId="77777777" w:rsidTr="00727D26">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335" w:type="dxa"/>
          </w:tcPr>
          <w:p w14:paraId="1499FEE7" w14:textId="77777777" w:rsidR="00646B26" w:rsidRDefault="00646B26" w:rsidP="00727D26">
            <w:pPr>
              <w:pStyle w:val="TableHeading"/>
            </w:pPr>
            <w:r>
              <w:lastRenderedPageBreak/>
              <w:t>Issue</w:t>
            </w:r>
          </w:p>
        </w:tc>
        <w:tc>
          <w:tcPr>
            <w:tcW w:w="2974" w:type="dxa"/>
          </w:tcPr>
          <w:p w14:paraId="72D491D9"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950" w:type="dxa"/>
          </w:tcPr>
          <w:p w14:paraId="5FEC18EF"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Example</w:t>
            </w:r>
          </w:p>
        </w:tc>
        <w:tc>
          <w:tcPr>
            <w:tcW w:w="2629" w:type="dxa"/>
          </w:tcPr>
          <w:p w14:paraId="7F85604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Tenets</w:t>
            </w:r>
          </w:p>
        </w:tc>
        <w:tc>
          <w:tcPr>
            <w:tcW w:w="2010" w:type="dxa"/>
          </w:tcPr>
          <w:p w14:paraId="3ACAE992"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3AA87D0" w14:textId="77777777" w:rsidTr="00727D26">
        <w:trPr>
          <w:trHeight w:val="1810"/>
        </w:trPr>
        <w:tc>
          <w:tcPr>
            <w:cnfStyle w:val="001000000000" w:firstRow="0" w:lastRow="0" w:firstColumn="1" w:lastColumn="0" w:oddVBand="0" w:evenVBand="0" w:oddHBand="0" w:evenHBand="0" w:firstRowFirstColumn="0" w:firstRowLastColumn="0" w:lastRowFirstColumn="0" w:lastRowLastColumn="0"/>
            <w:tcW w:w="2335" w:type="dxa"/>
          </w:tcPr>
          <w:p w14:paraId="6970F26E" w14:textId="77777777" w:rsidR="00646B26" w:rsidRDefault="00646B26" w:rsidP="00727D26">
            <w:pPr>
              <w:pStyle w:val="TableContents"/>
            </w:pPr>
            <w:r>
              <w:t>Lack of Independent Nomination Committees</w:t>
            </w:r>
          </w:p>
        </w:tc>
        <w:tc>
          <w:tcPr>
            <w:tcW w:w="2974" w:type="dxa"/>
          </w:tcPr>
          <w:p w14:paraId="2D1155A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61% of banks lack committees to ensure merit-based appointments, enabling cronyism (</w:t>
            </w:r>
            <w:proofErr w:type="spellStart"/>
            <w:r>
              <w:t>Ogbechie</w:t>
            </w:r>
            <w:proofErr w:type="spellEnd"/>
            <w:r>
              <w:t>, 2016).</w:t>
            </w:r>
          </w:p>
        </w:tc>
        <w:tc>
          <w:tcPr>
            <w:tcW w:w="2950" w:type="dxa"/>
          </w:tcPr>
          <w:p w14:paraId="0D10C76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Ibru-dominated board approved insider loans (Sanusi, 2009).</w:t>
            </w:r>
          </w:p>
        </w:tc>
        <w:tc>
          <w:tcPr>
            <w:tcW w:w="2629" w:type="dxa"/>
          </w:tcPr>
          <w:p w14:paraId="57BDC5E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accountability and transparency; weakens risk management.</w:t>
            </w:r>
          </w:p>
        </w:tc>
        <w:tc>
          <w:tcPr>
            <w:tcW w:w="2010" w:type="dxa"/>
          </w:tcPr>
          <w:p w14:paraId="265E1DD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 Sanusi (2009)</w:t>
            </w:r>
          </w:p>
        </w:tc>
      </w:tr>
      <w:tr w:rsidR="00646B26" w14:paraId="5B8F92B6" w14:textId="77777777" w:rsidTr="00727D26">
        <w:trPr>
          <w:trHeight w:val="1810"/>
        </w:trPr>
        <w:tc>
          <w:tcPr>
            <w:cnfStyle w:val="001000000000" w:firstRow="0" w:lastRow="0" w:firstColumn="1" w:lastColumn="0" w:oddVBand="0" w:evenVBand="0" w:oddHBand="0" w:evenHBand="0" w:firstRowFirstColumn="0" w:firstRowLastColumn="0" w:lastRowFirstColumn="0" w:lastRowLastColumn="0"/>
            <w:tcW w:w="2335" w:type="dxa"/>
          </w:tcPr>
          <w:p w14:paraId="4028E279" w14:textId="77777777" w:rsidR="00646B26" w:rsidRDefault="00646B26" w:rsidP="00727D26">
            <w:pPr>
              <w:pStyle w:val="TableContents"/>
            </w:pPr>
            <w:r>
              <w:t>Politically Motivated Appointments</w:t>
            </w:r>
          </w:p>
        </w:tc>
        <w:tc>
          <w:tcPr>
            <w:tcW w:w="2974" w:type="dxa"/>
          </w:tcPr>
          <w:p w14:paraId="7B85005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Directors selected for political ties rather than expertise, rooted in pre-1986 state control (</w:t>
            </w:r>
            <w:proofErr w:type="spellStart"/>
            <w:r>
              <w:t>Chinweoda</w:t>
            </w:r>
            <w:proofErr w:type="spellEnd"/>
            <w:r>
              <w:t xml:space="preserve"> et al., 2020).</w:t>
            </w:r>
          </w:p>
        </w:tc>
        <w:tc>
          <w:tcPr>
            <w:tcW w:w="2950" w:type="dxa"/>
          </w:tcPr>
          <w:p w14:paraId="386BE9C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Intercontinental Bank’s collapse due to unqualified board oversight (Owolabi, 2013).</w:t>
            </w:r>
          </w:p>
        </w:tc>
        <w:tc>
          <w:tcPr>
            <w:tcW w:w="2629" w:type="dxa"/>
          </w:tcPr>
          <w:p w14:paraId="1EF3F95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Erodes bank practice and audit committee effectiveness.</w:t>
            </w:r>
          </w:p>
        </w:tc>
        <w:tc>
          <w:tcPr>
            <w:tcW w:w="2010" w:type="dxa"/>
          </w:tcPr>
          <w:p w14:paraId="10B06E9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Chinweoda</w:t>
            </w:r>
            <w:proofErr w:type="spellEnd"/>
            <w:r>
              <w:t xml:space="preserve"> et al. (2020), Owolabi (2013)</w:t>
            </w:r>
          </w:p>
        </w:tc>
      </w:tr>
      <w:tr w:rsidR="00646B26" w14:paraId="53AC6FC0" w14:textId="77777777" w:rsidTr="00727D26">
        <w:trPr>
          <w:trHeight w:val="1810"/>
        </w:trPr>
        <w:tc>
          <w:tcPr>
            <w:cnfStyle w:val="001000000000" w:firstRow="0" w:lastRow="0" w:firstColumn="1" w:lastColumn="0" w:oddVBand="0" w:evenVBand="0" w:oddHBand="0" w:evenHBand="0" w:firstRowFirstColumn="0" w:firstRowLastColumn="0" w:lastRowFirstColumn="0" w:lastRowLastColumn="0"/>
            <w:tcW w:w="2335" w:type="dxa"/>
          </w:tcPr>
          <w:p w14:paraId="2DFC33A0" w14:textId="77777777" w:rsidR="00646B26" w:rsidRDefault="00646B26" w:rsidP="00727D26">
            <w:pPr>
              <w:pStyle w:val="TableContents"/>
            </w:pPr>
            <w:r>
              <w:t>Concentrated Ownership</w:t>
            </w:r>
          </w:p>
        </w:tc>
        <w:tc>
          <w:tcPr>
            <w:tcW w:w="2974" w:type="dxa"/>
          </w:tcPr>
          <w:p w14:paraId="3F553CF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Family or political control marginalizes minority shareholders, stifling independence (Adegbite, 2014).</w:t>
            </w:r>
          </w:p>
        </w:tc>
        <w:tc>
          <w:tcPr>
            <w:tcW w:w="2950" w:type="dxa"/>
          </w:tcPr>
          <w:p w14:paraId="4411BB2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 PHB’s board failed to curb risky lending due to dominant shareholders (Owolabi, 2013).</w:t>
            </w:r>
          </w:p>
        </w:tc>
        <w:tc>
          <w:tcPr>
            <w:tcW w:w="2629" w:type="dxa"/>
          </w:tcPr>
          <w:p w14:paraId="7744DF8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transparency and accountability, increasing NPLs.</w:t>
            </w:r>
          </w:p>
        </w:tc>
        <w:tc>
          <w:tcPr>
            <w:tcW w:w="2010" w:type="dxa"/>
          </w:tcPr>
          <w:p w14:paraId="2840A95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Adegbite (2014), Owolabi (2013)</w:t>
            </w:r>
          </w:p>
        </w:tc>
      </w:tr>
      <w:tr w:rsidR="00646B26" w14:paraId="2F6AFCB1" w14:textId="77777777" w:rsidTr="00727D26">
        <w:trPr>
          <w:trHeight w:val="1501"/>
        </w:trPr>
        <w:tc>
          <w:tcPr>
            <w:cnfStyle w:val="001000000000" w:firstRow="0" w:lastRow="0" w:firstColumn="1" w:lastColumn="0" w:oddVBand="0" w:evenVBand="0" w:oddHBand="0" w:evenHBand="0" w:firstRowFirstColumn="0" w:firstRowLastColumn="0" w:lastRowFirstColumn="0" w:lastRowLastColumn="0"/>
            <w:tcW w:w="2335" w:type="dxa"/>
          </w:tcPr>
          <w:p w14:paraId="19480519" w14:textId="77777777" w:rsidR="00646B26" w:rsidRDefault="00646B26" w:rsidP="00727D26">
            <w:pPr>
              <w:pStyle w:val="TableContents"/>
            </w:pPr>
            <w:r>
              <w:t>Weak Ethical Standards</w:t>
            </w:r>
          </w:p>
        </w:tc>
        <w:tc>
          <w:tcPr>
            <w:tcW w:w="2974" w:type="dxa"/>
          </w:tcPr>
          <w:p w14:paraId="7AF85C9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Overbearing chairman/CEO influence renders committees dormant (Sanusi, 2014).</w:t>
            </w:r>
          </w:p>
        </w:tc>
        <w:tc>
          <w:tcPr>
            <w:tcW w:w="2950" w:type="dxa"/>
          </w:tcPr>
          <w:p w14:paraId="2504AB6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CEO-driven insider lending (Sanusi, 2009).</w:t>
            </w:r>
          </w:p>
        </w:tc>
        <w:tc>
          <w:tcPr>
            <w:tcW w:w="2629" w:type="dxa"/>
          </w:tcPr>
          <w:p w14:paraId="3F3152A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Compromises risk management and audit oversight, driving default risk.</w:t>
            </w:r>
          </w:p>
        </w:tc>
        <w:tc>
          <w:tcPr>
            <w:tcW w:w="2010" w:type="dxa"/>
          </w:tcPr>
          <w:p w14:paraId="623BE91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Sanusi (2014), Ojo &amp; Ojo (2025)</w:t>
            </w:r>
          </w:p>
        </w:tc>
      </w:tr>
    </w:tbl>
    <w:p w14:paraId="366CCF25" w14:textId="77777777" w:rsidR="00646B26" w:rsidRDefault="00646B26" w:rsidP="00646B26">
      <w:pPr>
        <w:pStyle w:val="BodyText"/>
        <w:spacing w:line="480" w:lineRule="auto"/>
        <w:sectPr w:rsidR="00646B26" w:rsidSect="00646B26">
          <w:pgSz w:w="15840" w:h="12240" w:orient="landscape"/>
          <w:pgMar w:top="1134" w:right="1134" w:bottom="1134" w:left="1134" w:header="0" w:footer="0" w:gutter="0"/>
          <w:cols w:space="720"/>
          <w:formProt w:val="0"/>
          <w:docGrid w:linePitch="326"/>
        </w:sectPr>
      </w:pPr>
    </w:p>
    <w:p w14:paraId="075384CE" w14:textId="77777777" w:rsidR="00646B26" w:rsidRDefault="00646B26" w:rsidP="00646B26">
      <w:pPr>
        <w:pStyle w:val="BodyText"/>
        <w:spacing w:line="480" w:lineRule="auto"/>
      </w:pPr>
    </w:p>
    <w:p w14:paraId="2A1A7574" w14:textId="77777777" w:rsidR="00646B26" w:rsidRDefault="00646B26" w:rsidP="00646B26">
      <w:r w:rsidRPr="005B5E8B">
        <w:t>The absence of independent nomination committees exacerbates these issues by entrenching politically motivated or family-based appointments, undermining board diversity and management qualifications (</w:t>
      </w:r>
      <w:proofErr w:type="spellStart"/>
      <w:r w:rsidRPr="005B5E8B">
        <w:t>Ogbechie</w:t>
      </w:r>
      <w:proofErr w:type="spellEnd"/>
      <w:r w:rsidRPr="005B5E8B">
        <w:t xml:space="preserve">, 2016). Nwoko et al. (2022) argue that unqualified directors, often lacking financial or governance training, weaken strategic oversight, as seen in the collapses of Intercontinental Bank and Bank PHB, where boards failed to curb risky lending practices (Owolabi, 2013). Adegbite (2014) highlights that concentrated ownership structures, prevalent in Nigerian deposit money banks, marginalize minority shareholders and stifle independent decision-making, aligning with agency theory’s concerns about self-interested </w:t>
      </w:r>
      <w:proofErr w:type="spellStart"/>
      <w:r w:rsidRPr="005B5E8B">
        <w:t>behavior</w:t>
      </w:r>
      <w:proofErr w:type="spellEnd"/>
      <w:r w:rsidRPr="005B5E8B">
        <w:t xml:space="preserve">. </w:t>
      </w:r>
    </w:p>
    <w:p w14:paraId="5418B9D5" w14:textId="77777777" w:rsidR="00646B26" w:rsidRPr="005B5E8B" w:rsidRDefault="00646B26" w:rsidP="00646B26">
      <w:r w:rsidRPr="005B5E8B">
        <w:t>The lack of independent nomination committees also contradicts stewardship theory’s call for competent boards, as political patronage overrides merit, leading to governance lapses that elevate NPLs, such as the 20% peak in 2017 (Adegboye, 2020). These findings underscore the need for reforms to enhance board independence and management qualifications to mitigate default risk. Recent research by Ojo and Ojo (2024) further ties this to audit-committee independence (including mediation by financial-reporting integrity), emphasizing the need for improved disclosure in practice indices. The CBN’s 2023 Guidelines mandate at least three independent non-executive directors, but without nomination committees, enforcement consistency remains weak (CBN, 2024).</w:t>
      </w:r>
    </w:p>
    <w:p w14:paraId="539E0049" w14:textId="77777777" w:rsidR="00646B26" w:rsidRDefault="00646B26" w:rsidP="00646B26">
      <w:pPr>
        <w:pStyle w:val="Heading3"/>
        <w:rPr>
          <w:rFonts w:eastAsia="Times New Roman"/>
        </w:rPr>
      </w:pPr>
      <w:bookmarkStart w:id="70" w:name="_Toc211278874"/>
      <w:r>
        <w:rPr>
          <w:rFonts w:eastAsia="Times New Roman"/>
        </w:rPr>
        <w:t>2.5.4 Consequences for Default Risk and NPLs</w:t>
      </w:r>
      <w:bookmarkEnd w:id="70"/>
    </w:p>
    <w:p w14:paraId="6F7DDD8A" w14:textId="77777777" w:rsidR="00646B26" w:rsidRDefault="00646B26" w:rsidP="00646B26">
      <w:pPr>
        <w:pStyle w:val="BodyText"/>
        <w:spacing w:line="480" w:lineRule="auto"/>
      </w:pPr>
      <w:r>
        <w:t xml:space="preserve">The lack of board oversight and independence in Nigeria’s deposit money banking sector, driven by cronyism and absent nomination committees, directly contributes to default risk by undermining disclosure and practice indices. Agency theory suggests that independent boards are essential to curb managerial excesses, yet Nigerian boards’ failure to do so, as in Oceanic Bank, led to systemic crises </w:t>
      </w:r>
      <w:r>
        <w:lastRenderedPageBreak/>
        <w:t xml:space="preserve">(Jensen &amp; Meckling, 1976; Sanusi, 2009). Stewardship theory’s emphasis on competent boards is equally unfulfilled, as unqualified directors weaken strategic guidance (Donaldson &amp; Davis, 1991). Nigerian studies, including Ogbechie (2016) and Sanusi (2014), advocate for mandatory independent nomination committees to ensure merit-based appointments, aligning with global standards like the OECD Principles (2023). </w:t>
      </w:r>
    </w:p>
    <w:p w14:paraId="4AA8DBFC" w14:textId="77777777" w:rsidR="00646B26" w:rsidRPr="005B5E8B" w:rsidRDefault="00646B26" w:rsidP="00646B26">
      <w:r w:rsidRPr="005B5E8B">
        <w:t>Such reforms could enhance board diversity and management qualifications, reducing agency conflicts and fostering risk mitigation, as seen in jurisdictions with robust governance frameworks (Aguilera &amp; Ruiz Castillo, 2024). This section’s findings align with research objective OB1 and hypothesis H1, which examine how robust practice indices, including board oversight, reduce NPLs, highlighting the urgency of context-specific reforms to address board inefficiencies in Nigeria’s deposit money banking sector. Expanding, Afolabi and Afolabi (2024) show how board independence ties to practice indices and audit-committee effectiveness (including mediation by financial-reporting integrity), reinforcing disclosure. Recent 2024 developments, such as the CBN’s recapitalization program requiring N500 billion for international banks, aim to bolster stability but do not directly address board composition issues (CBN, 2024).</w:t>
      </w:r>
    </w:p>
    <w:p w14:paraId="4B0C3F1E" w14:textId="77777777" w:rsidR="00646B26" w:rsidRDefault="00646B26" w:rsidP="00646B26">
      <w:pPr>
        <w:spacing w:line="240" w:lineRule="auto"/>
        <w:jc w:val="left"/>
      </w:pPr>
      <w:r>
        <w:br w:type="page"/>
      </w:r>
    </w:p>
    <w:p w14:paraId="2FDE434E" w14:textId="77777777" w:rsidR="00646B26" w:rsidRDefault="00646B26" w:rsidP="00646B26">
      <w:pPr>
        <w:pStyle w:val="BodyText"/>
        <w:spacing w:line="480" w:lineRule="auto"/>
        <w:sectPr w:rsidR="00646B26" w:rsidSect="00646B26">
          <w:pgSz w:w="12240" w:h="15840"/>
          <w:pgMar w:top="1134" w:right="1134" w:bottom="1134" w:left="1134" w:header="0" w:footer="0" w:gutter="0"/>
          <w:cols w:space="720"/>
          <w:formProt w:val="0"/>
          <w:docGrid w:linePitch="100"/>
        </w:sectPr>
      </w:pPr>
    </w:p>
    <w:tbl>
      <w:tblPr>
        <w:tblStyle w:val="GridTable1Light-Accent4"/>
        <w:tblW w:w="13265" w:type="dxa"/>
        <w:tblLayout w:type="fixed"/>
        <w:tblLook w:val="04A0" w:firstRow="1" w:lastRow="0" w:firstColumn="1" w:lastColumn="0" w:noHBand="0" w:noVBand="1"/>
      </w:tblPr>
      <w:tblGrid>
        <w:gridCol w:w="2469"/>
        <w:gridCol w:w="2931"/>
        <w:gridCol w:w="2989"/>
        <w:gridCol w:w="2973"/>
        <w:gridCol w:w="1903"/>
      </w:tblGrid>
      <w:tr w:rsidR="00646B26" w14:paraId="1D713D4E" w14:textId="77777777" w:rsidTr="00727D26">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469" w:type="dxa"/>
          </w:tcPr>
          <w:p w14:paraId="7CC8E644" w14:textId="77777777" w:rsidR="00646B26" w:rsidRDefault="00646B26" w:rsidP="00727D26">
            <w:pPr>
              <w:pStyle w:val="TableHeading"/>
            </w:pPr>
            <w:r>
              <w:lastRenderedPageBreak/>
              <w:t>Reform</w:t>
            </w:r>
          </w:p>
        </w:tc>
        <w:tc>
          <w:tcPr>
            <w:tcW w:w="2931" w:type="dxa"/>
          </w:tcPr>
          <w:p w14:paraId="4236C43A"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989" w:type="dxa"/>
          </w:tcPr>
          <w:p w14:paraId="4A12B2C5"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Expected Impact</w:t>
            </w:r>
          </w:p>
        </w:tc>
        <w:tc>
          <w:tcPr>
            <w:tcW w:w="2973" w:type="dxa"/>
          </w:tcPr>
          <w:p w14:paraId="4A611744"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Global Benchmark</w:t>
            </w:r>
          </w:p>
        </w:tc>
        <w:tc>
          <w:tcPr>
            <w:tcW w:w="1903" w:type="dxa"/>
          </w:tcPr>
          <w:p w14:paraId="09C67488"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D4B7F82" w14:textId="77777777" w:rsidTr="00727D26">
        <w:trPr>
          <w:trHeight w:val="1892"/>
        </w:trPr>
        <w:tc>
          <w:tcPr>
            <w:cnfStyle w:val="001000000000" w:firstRow="0" w:lastRow="0" w:firstColumn="1" w:lastColumn="0" w:oddVBand="0" w:evenVBand="0" w:oddHBand="0" w:evenHBand="0" w:firstRowFirstColumn="0" w:firstRowLastColumn="0" w:lastRowFirstColumn="0" w:lastRowLastColumn="0"/>
            <w:tcW w:w="2469" w:type="dxa"/>
          </w:tcPr>
          <w:p w14:paraId="1C49A025" w14:textId="77777777" w:rsidR="00646B26" w:rsidRDefault="00646B26" w:rsidP="00727D26">
            <w:pPr>
              <w:pStyle w:val="TableContents"/>
            </w:pPr>
            <w:r>
              <w:t>Mandatory Nomination Committees</w:t>
            </w:r>
          </w:p>
        </w:tc>
        <w:tc>
          <w:tcPr>
            <w:tcW w:w="2931" w:type="dxa"/>
          </w:tcPr>
          <w:p w14:paraId="4F9177D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Require independent committees for merit-based director selection.</w:t>
            </w:r>
          </w:p>
        </w:tc>
        <w:tc>
          <w:tcPr>
            <w:tcW w:w="2989" w:type="dxa"/>
          </w:tcPr>
          <w:p w14:paraId="1AB063F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Enhances board expertise, reduces cronyism, improves risk oversight.</w:t>
            </w:r>
          </w:p>
        </w:tc>
        <w:tc>
          <w:tcPr>
            <w:tcW w:w="2973" w:type="dxa"/>
          </w:tcPr>
          <w:p w14:paraId="7BF84FF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OECD Principles (2023): Independent nomination processes.</w:t>
            </w:r>
          </w:p>
        </w:tc>
        <w:tc>
          <w:tcPr>
            <w:tcW w:w="1903" w:type="dxa"/>
          </w:tcPr>
          <w:p w14:paraId="002101B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 OECD (2023)</w:t>
            </w:r>
          </w:p>
        </w:tc>
      </w:tr>
      <w:tr w:rsidR="00646B26" w14:paraId="35FC3763" w14:textId="77777777" w:rsidTr="00727D26">
        <w:trPr>
          <w:trHeight w:val="1505"/>
        </w:trPr>
        <w:tc>
          <w:tcPr>
            <w:cnfStyle w:val="001000000000" w:firstRow="0" w:lastRow="0" w:firstColumn="1" w:lastColumn="0" w:oddVBand="0" w:evenVBand="0" w:oddHBand="0" w:evenHBand="0" w:firstRowFirstColumn="0" w:firstRowLastColumn="0" w:lastRowFirstColumn="0" w:lastRowLastColumn="0"/>
            <w:tcW w:w="2469" w:type="dxa"/>
          </w:tcPr>
          <w:p w14:paraId="24675048" w14:textId="77777777" w:rsidR="00646B26" w:rsidRDefault="00646B26" w:rsidP="00727D26">
            <w:pPr>
              <w:pStyle w:val="TableContents"/>
            </w:pPr>
            <w:r>
              <w:t>Minimum Qualification Standards</w:t>
            </w:r>
          </w:p>
        </w:tc>
        <w:tc>
          <w:tcPr>
            <w:tcW w:w="2931" w:type="dxa"/>
          </w:tcPr>
          <w:p w14:paraId="2A7FA8E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financial/governance training for directors.</w:t>
            </w:r>
          </w:p>
        </w:tc>
        <w:tc>
          <w:tcPr>
            <w:tcW w:w="2989" w:type="dxa"/>
          </w:tcPr>
          <w:p w14:paraId="7E7F467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Strengthens strategic oversight, aligns with stewardship theory.</w:t>
            </w:r>
          </w:p>
        </w:tc>
        <w:tc>
          <w:tcPr>
            <w:tcW w:w="2973" w:type="dxa"/>
          </w:tcPr>
          <w:p w14:paraId="73BF7A0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EU’s CRD IV: Director competency requirements (EU, 2013).</w:t>
            </w:r>
          </w:p>
        </w:tc>
        <w:tc>
          <w:tcPr>
            <w:tcW w:w="1903" w:type="dxa"/>
          </w:tcPr>
          <w:p w14:paraId="13B8DCD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w:t>
            </w:r>
          </w:p>
        </w:tc>
      </w:tr>
      <w:tr w:rsidR="00646B26" w14:paraId="31C95B91" w14:textId="77777777" w:rsidTr="00727D26">
        <w:trPr>
          <w:trHeight w:val="1873"/>
        </w:trPr>
        <w:tc>
          <w:tcPr>
            <w:cnfStyle w:val="001000000000" w:firstRow="0" w:lastRow="0" w:firstColumn="1" w:lastColumn="0" w:oddVBand="0" w:evenVBand="0" w:oddHBand="0" w:evenHBand="0" w:firstRowFirstColumn="0" w:firstRowLastColumn="0" w:lastRowFirstColumn="0" w:lastRowLastColumn="0"/>
            <w:tcW w:w="2469" w:type="dxa"/>
          </w:tcPr>
          <w:p w14:paraId="27E5954D" w14:textId="77777777" w:rsidR="00646B26" w:rsidRDefault="00646B26" w:rsidP="00727D26">
            <w:pPr>
              <w:pStyle w:val="TableContents"/>
            </w:pPr>
            <w:r>
              <w:t>Limit Concentrated Ownership Influence</w:t>
            </w:r>
          </w:p>
        </w:tc>
        <w:tc>
          <w:tcPr>
            <w:tcW w:w="2931" w:type="dxa"/>
          </w:tcPr>
          <w:p w14:paraId="2D9D77A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Cap voting rights of major shareholders in board appointments.</w:t>
            </w:r>
          </w:p>
        </w:tc>
        <w:tc>
          <w:tcPr>
            <w:tcW w:w="2989" w:type="dxa"/>
          </w:tcPr>
          <w:p w14:paraId="0D03080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Promotes minority shareholder inclusion, enhances accountability.</w:t>
            </w:r>
          </w:p>
        </w:tc>
        <w:tc>
          <w:tcPr>
            <w:tcW w:w="2973" w:type="dxa"/>
          </w:tcPr>
          <w:p w14:paraId="4856976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Singapore’s CG Code: Balanced board representation (MAS, 2021).</w:t>
            </w:r>
          </w:p>
        </w:tc>
        <w:tc>
          <w:tcPr>
            <w:tcW w:w="1903" w:type="dxa"/>
          </w:tcPr>
          <w:p w14:paraId="3CFC2FF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Adegbite (2014)</w:t>
            </w:r>
          </w:p>
        </w:tc>
      </w:tr>
      <w:tr w:rsidR="00646B26" w14:paraId="2F830312" w14:textId="77777777" w:rsidTr="00727D26">
        <w:trPr>
          <w:trHeight w:val="1486"/>
        </w:trPr>
        <w:tc>
          <w:tcPr>
            <w:cnfStyle w:val="001000000000" w:firstRow="0" w:lastRow="0" w:firstColumn="1" w:lastColumn="0" w:oddVBand="0" w:evenVBand="0" w:oddHBand="0" w:evenHBand="0" w:firstRowFirstColumn="0" w:firstRowLastColumn="0" w:lastRowFirstColumn="0" w:lastRowLastColumn="0"/>
            <w:tcW w:w="2469" w:type="dxa"/>
          </w:tcPr>
          <w:p w14:paraId="14CAAA09" w14:textId="77777777" w:rsidR="00646B26" w:rsidRDefault="00646B26" w:rsidP="00727D26">
            <w:pPr>
              <w:pStyle w:val="TableContents"/>
            </w:pPr>
            <w:r>
              <w:t>Enhanced CBN Enforcement</w:t>
            </w:r>
          </w:p>
        </w:tc>
        <w:tc>
          <w:tcPr>
            <w:tcW w:w="2931" w:type="dxa"/>
          </w:tcPr>
          <w:p w14:paraId="3DE9E56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Empower CBN to sanction non-compliant boards.</w:t>
            </w:r>
          </w:p>
        </w:tc>
        <w:tc>
          <w:tcPr>
            <w:tcW w:w="2989" w:type="dxa"/>
          </w:tcPr>
          <w:p w14:paraId="5111600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Deters cronyism, strengthens transparency and bank practice.</w:t>
            </w:r>
          </w:p>
        </w:tc>
        <w:tc>
          <w:tcPr>
            <w:tcW w:w="2973" w:type="dxa"/>
          </w:tcPr>
          <w:p w14:paraId="229CCED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Strong regulatory oversight (BCBS, 2010).</w:t>
            </w:r>
          </w:p>
        </w:tc>
        <w:tc>
          <w:tcPr>
            <w:tcW w:w="1903" w:type="dxa"/>
          </w:tcPr>
          <w:p w14:paraId="74B71A9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Sanusi (2014), Ojo &amp; Ojo (2025)</w:t>
            </w:r>
          </w:p>
        </w:tc>
      </w:tr>
    </w:tbl>
    <w:p w14:paraId="50198DA6" w14:textId="77777777" w:rsidR="00646B26" w:rsidRDefault="00646B26" w:rsidP="00646B26">
      <w:pPr>
        <w:pStyle w:val="BodyText"/>
        <w:spacing w:line="480" w:lineRule="auto"/>
        <w:sectPr w:rsidR="00646B26" w:rsidSect="00646B26">
          <w:pgSz w:w="15840" w:h="12240" w:orient="landscape"/>
          <w:pgMar w:top="1134" w:right="1134" w:bottom="1134" w:left="1134" w:header="0" w:footer="0" w:gutter="0"/>
          <w:cols w:space="720"/>
          <w:formProt w:val="0"/>
          <w:docGrid w:linePitch="326"/>
        </w:sectPr>
      </w:pPr>
      <w:r>
        <w:t>Note: Adapted from Ogbechie (2016), OECD (2023), and Afolabi and Afolabi (2025). Reforms address transparency, accountability, bank practice, risk management, and audit committee independence.</w:t>
      </w:r>
    </w:p>
    <w:p w14:paraId="7F5BF769" w14:textId="77777777" w:rsidR="00646B26" w:rsidRDefault="00646B26" w:rsidP="00646B26">
      <w:pPr>
        <w:pStyle w:val="Heading3"/>
        <w:rPr>
          <w:rFonts w:eastAsia="Times New Roman"/>
        </w:rPr>
      </w:pPr>
      <w:bookmarkStart w:id="71" w:name="_Toc211278875"/>
      <w:r>
        <w:rPr>
          <w:rFonts w:eastAsia="Times New Roman"/>
        </w:rPr>
        <w:lastRenderedPageBreak/>
        <w:t>2.5.5 Ties to Corporate Governance Tenets</w:t>
      </w:r>
      <w:bookmarkEnd w:id="71"/>
    </w:p>
    <w:p w14:paraId="062F7CBF" w14:textId="77777777" w:rsidR="00646B26" w:rsidRDefault="00646B26" w:rsidP="00646B26">
      <w:pPr>
        <w:pStyle w:val="BodyText"/>
        <w:spacing w:line="480" w:lineRule="auto"/>
      </w:pPr>
      <w:r>
        <w:t xml:space="preserve">Board inefficiencies in Nigeria’s deposit money banking sector directly undermine the core indices of disclosure, practice, and compliance. Cronyism and concentrated ownership erode disclosure by enabling insider lending, as seen in Oceanic Bank’s falsified reports (Sanusi, 2009). Compliance is weakened by politically motivated appointments, which marginalize minority shareholders and stifle independent oversight (Adegbite, 2014). Practice indices suffer from unqualified directors, leading to poor strategic decisions and risky lending (Owolabi, 2013). Risk management is compromised by the absence of independent oversight, contributing to NPL spikes (Adegboye, 2020). </w:t>
      </w:r>
      <w:r>
        <w:rPr>
          <w:rStyle w:val="Strong"/>
        </w:rPr>
        <w:t>Audit-committee independence, crucial for financial integrity, is undermined by crony boards, as noted by Ojo and Ojo (2024), particularly where financial-reporting integrity does not effectively mediate the pathway to NPL reduction.</w:t>
      </w:r>
      <w:r>
        <w:t xml:space="preserve"> These interconnected failures highlight the need for reforms to restore robust board oversight.</w:t>
      </w:r>
    </w:p>
    <w:p w14:paraId="66D159C4" w14:textId="77777777" w:rsidR="00646B26" w:rsidRPr="00A6576C" w:rsidRDefault="00646B26" w:rsidP="00646B26">
      <w:pPr>
        <w:rPr>
          <w:highlight w:val="yellow"/>
        </w:rPr>
      </w:pPr>
      <w:r w:rsidRPr="00A6576C">
        <w:rPr>
          <w:highlight w:val="yellow"/>
        </w:rPr>
        <w:t>Board oversight and independence are pivotal for disclosure and practice in Nigeria’s deposit money banking sector, yet cronyism and the absence of independent nomination committees in 61% of banks undermine these roles, driving default risk through elevated NPLs (</w:t>
      </w:r>
      <w:proofErr w:type="spellStart"/>
      <w:r w:rsidRPr="00A6576C">
        <w:rPr>
          <w:highlight w:val="yellow"/>
        </w:rPr>
        <w:t>Ogbechie</w:t>
      </w:r>
      <w:proofErr w:type="spellEnd"/>
      <w:r w:rsidRPr="00A6576C">
        <w:rPr>
          <w:highlight w:val="yellow"/>
        </w:rPr>
        <w:t xml:space="preserve">, 2016; Sanusi, 2014). Agency and stewardship theories emphasize the need for independent, qualified boards to align management with stakeholder interests and mitigate risks, but Nigeria’s governance failures, rooted in historical legacies, hinder their application (Jensen &amp; Meckling, 1976; Donaldson &amp; Davis, 1991). </w:t>
      </w:r>
    </w:p>
    <w:p w14:paraId="086D9EC1" w14:textId="77777777" w:rsidR="00646B26" w:rsidRPr="00A6576C" w:rsidRDefault="00646B26" w:rsidP="00646B26">
      <w:r w:rsidRPr="00A6576C">
        <w:rPr>
          <w:highlight w:val="yellow"/>
        </w:rPr>
        <w:t xml:space="preserve">The 2009 crisis and subsequent NPL spikes illustrate the consequences of weak board oversight, necessitating reforms like independent nomination committees to enhance management qualifications. This section supports OB1 and H1 by linking board oversight to NPL reduction and sets the stage for further analysis of governance mechanisms impacting default risk in Nigeria’s deposit money banking sector. Recent contributions by Ojo and Ojo (2024) add that strengthening board </w:t>
      </w:r>
      <w:r w:rsidRPr="00A6576C">
        <w:rPr>
          <w:highlight w:val="yellow"/>
        </w:rPr>
        <w:lastRenderedPageBreak/>
        <w:t>independence can improve audit-committee functions (including mediation by financial-reporting integrity) and practice indices.</w:t>
      </w:r>
    </w:p>
    <w:p w14:paraId="707010D3" w14:textId="77777777" w:rsidR="00646B26" w:rsidRDefault="00646B26" w:rsidP="00646B26">
      <w:pPr>
        <w:pStyle w:val="Heading2"/>
        <w:rPr>
          <w:rFonts w:eastAsia="Times New Roman"/>
        </w:rPr>
      </w:pPr>
      <w:bookmarkStart w:id="72" w:name="_Toc211278876"/>
      <w:r>
        <w:rPr>
          <w:rFonts w:eastAsia="Times New Roman"/>
        </w:rPr>
        <w:t>2.6 Audit Committee Independence and Financial Reporting</w:t>
      </w:r>
      <w:bookmarkEnd w:id="72"/>
    </w:p>
    <w:p w14:paraId="16427022" w14:textId="77777777" w:rsidR="00646B26" w:rsidRPr="00A6576C" w:rsidRDefault="00646B26" w:rsidP="00646B26">
      <w:r w:rsidRPr="00A6576C">
        <w:rPr>
          <w:highlight w:val="yellow"/>
        </w:rPr>
        <w:t>Audit-committee independence (mediated by strengthened financial-reporting integrity as perceived by bank insiders) is pivotal in ensuring disclosure and compliance in Nigeria’s deposit money banking sector, where governance failures have driven high non-performing loan (NPL) ratios, contributing to 425 bank failures since 1988 (Udo, 2020). These committees are tasked with overseeing financial reporting, internal controls, and risk management, yet their effectiveness in Nigeria is undermined by a lack of independence, often due to capture by majority shareholders, leading to financial misreporting and elevated default risk (Adegbite, 2014). With NPLs peaking at 37% in 2009 and 20% in 2017 against the Central Bank of Nigeria’s (CBN) 5% threshold, robust audit-committee independence is critical to mitigating these risks through enhanced financial-reporting integrity (Nwosu, 2020; Adegboye, 2020). This section explores agency and resource dependence theories on audit-committee roles in fostering disclosure, reviews Nigerian literature on audit-committee capture, and connects these to NPL reduction through improved oversight, contrasting Nigeria’s practice indices with global standards. Expanding this, Afolabi and Afolabi (2024) highlight how audit-committee independence (including its mediation by financial-reporting integrity) ties to practice indices and risk management, reinforcing disclosure and compliance.</w:t>
      </w:r>
    </w:p>
    <w:p w14:paraId="0DD47709" w14:textId="77777777" w:rsidR="00646B26" w:rsidRDefault="00646B26" w:rsidP="00646B26">
      <w:pPr>
        <w:pStyle w:val="Heading3"/>
        <w:rPr>
          <w:rFonts w:eastAsia="Times New Roman"/>
        </w:rPr>
      </w:pPr>
      <w:bookmarkStart w:id="73" w:name="_Toc211278877"/>
      <w:r>
        <w:rPr>
          <w:rFonts w:eastAsia="Times New Roman"/>
        </w:rPr>
        <w:t>2.6.1 Theoretical Foundations of Audit Committee Roles</w:t>
      </w:r>
      <w:bookmarkEnd w:id="73"/>
    </w:p>
    <w:p w14:paraId="2AE74DF7" w14:textId="77777777" w:rsidR="00646B26" w:rsidRPr="00A6576C" w:rsidRDefault="00646B26" w:rsidP="00646B26">
      <w:pPr>
        <w:pStyle w:val="Heading4"/>
      </w:pPr>
      <w:r w:rsidRPr="00A6576C">
        <w:t>2.6.1.1 Agency Theory and Financial Oversight</w:t>
      </w:r>
    </w:p>
    <w:p w14:paraId="06A6D154" w14:textId="77777777" w:rsidR="00646B26" w:rsidRPr="00A6576C" w:rsidRDefault="00646B26" w:rsidP="00646B26">
      <w:r w:rsidRPr="00A6576C">
        <w:t xml:space="preserve">Agency theory, articulated by Jensen and Meckling (1976), posits that audit committees serve as a critical governance mechanism to mitigate agency conflicts between shareholders (principals) and </w:t>
      </w:r>
      <w:r w:rsidRPr="00A6576C">
        <w:lastRenderedPageBreak/>
        <w:t xml:space="preserve">management (agents) by ensuring transparent financial reporting and reducing information asymmetry. Independent audit committees, free from managerial influence, enhance oversight by rigorously reviewing financial statements, detecting fraud, and ensuring compliance with regulatory standards (Fama &amp; Jensen, 1983). </w:t>
      </w:r>
    </w:p>
    <w:p w14:paraId="48B939C3" w14:textId="77777777" w:rsidR="00646B26" w:rsidRPr="00A6576C" w:rsidRDefault="00646B26" w:rsidP="00646B26">
      <w:r w:rsidRPr="00A6576C">
        <w:t>In the deposit money banking sector, where mismanagement can lead to significant NPLs, agency theory underscores the need for audit committees with financial expertise and autonomy to curb risky lending practices, as seen in the 2009 Oceanic Bank crisis, where weak oversight enabled insider loans constituting 75% of NPLs (Sanusi, 2009). To add depth, Ojo and Ojo (2024) link agency theory to audit-committee roles in improving practice indices, emphasizing their function in validating loan portfolio quality and ensuring adherence to CBN’s risk guidelines through strengthened financial-reporting integrity as perceived by insiders. Independent audit committees are essential for detecting irregularities, such as inflated asset valuations, which directly contribute to default risk if unchecked (Abdulmalik &amp; Ahmad, 2020).</w:t>
      </w:r>
    </w:p>
    <w:p w14:paraId="04E9DB2A" w14:textId="77777777" w:rsidR="00646B26" w:rsidRDefault="00646B26" w:rsidP="00646B26">
      <w:pPr>
        <w:pStyle w:val="Heading4"/>
        <w:spacing w:before="0" w:after="283"/>
        <w:rPr>
          <w:rFonts w:eastAsia="Times New Roman" w:cs="Times New Roman"/>
        </w:rPr>
      </w:pPr>
      <w:r>
        <w:rPr>
          <w:rFonts w:eastAsia="Times New Roman" w:cs="Times New Roman"/>
        </w:rPr>
        <w:t>2.6.1.2 Resource Dependence Theory and Governance Credibility</w:t>
      </w:r>
    </w:p>
    <w:p w14:paraId="1A898E43" w14:textId="77777777" w:rsidR="00646B26" w:rsidRPr="00A6576C" w:rsidRDefault="00646B26" w:rsidP="00646B26">
      <w:r w:rsidRPr="00A6576C">
        <w:t xml:space="preserve">Resource dependence theory, proposed by Pfeffer and </w:t>
      </w:r>
      <w:proofErr w:type="spellStart"/>
      <w:r w:rsidRPr="00A6576C">
        <w:t>Salancik</w:t>
      </w:r>
      <w:proofErr w:type="spellEnd"/>
      <w:r w:rsidRPr="00A6576C">
        <w:t xml:space="preserve"> (1978), complements agency theory by viewing audit committees as mechanisms to secure critical resources, such as credibility and stakeholder trust, through effective oversight. This theory emphasizes the importance of committee members with financial expertise and external networks to enhance governance quality and align practice indices with stakeholder expectations (Hillman et al., 2000). In Nigeria’s context, resource dependence theory suggests that independent audit committees with skilled members can strengthen financial-reporting integrity (as perceived by bank insiders), fostering investor confidence and reducing default risk. However, the prevalence of shareholder capture and unqualified management in Nigerian </w:t>
      </w:r>
      <w:r w:rsidRPr="00A6576C">
        <w:lastRenderedPageBreak/>
        <w:t xml:space="preserve">deposit money banks undermines these theoretical benefits, contributing to governance lapses (Adegbite, 2014). </w:t>
      </w:r>
    </w:p>
    <w:p w14:paraId="2A235611" w14:textId="77777777" w:rsidR="00646B26" w:rsidRPr="00A6576C" w:rsidRDefault="00646B26" w:rsidP="00646B26">
      <w:r w:rsidRPr="00A6576C">
        <w:rPr>
          <w:highlight w:val="yellow"/>
        </w:rPr>
        <w:t>Recent studies by Afolabi and Afolabi (2024) expand this by showing how resource dependence affects practice indices and disclosure, noting that audit committees with external expertise can bridge gaps in risk management, aligning with stakeholder demands for robust bank operations through mediation by financial-reporting integrity. For instance, skilled audit committees can enhance credibility by ensuring compliance with international standards like IFRS, which is critical in Nigeria’s volatile banking sector (Ojo &amp; Ojo, 2024).</w:t>
      </w:r>
    </w:p>
    <w:p w14:paraId="28A986B8" w14:textId="77777777" w:rsidR="00646B26" w:rsidRDefault="00646B26" w:rsidP="00646B26">
      <w:pPr>
        <w:pStyle w:val="Heading3"/>
        <w:rPr>
          <w:rFonts w:eastAsia="Times New Roman"/>
        </w:rPr>
      </w:pPr>
      <w:bookmarkStart w:id="74" w:name="_Toc211278878"/>
      <w:r>
        <w:rPr>
          <w:rFonts w:eastAsia="Times New Roman"/>
        </w:rPr>
        <w:t>2.6.2 Challenges to Audit Committee Independence in Nigeria</w:t>
      </w:r>
      <w:bookmarkEnd w:id="74"/>
    </w:p>
    <w:p w14:paraId="0AA211B2" w14:textId="77777777" w:rsidR="00646B26" w:rsidRDefault="00646B26" w:rsidP="00646B26">
      <w:r w:rsidRPr="00A6576C">
        <w:t>Nigerian literature highlights significant challenges to audit-committee independence, primarily due to capture by majority shareholders, which compromises financial reporting and exacerbates default risk. Adegbite (2014) notes that, despite CAMA 2020’s mandate for equal representation of directors and shareholders on audit committees (Section 359(4)), these committees often function at the behest of majority shareholders, undermining their ability to conduct rigorous oversight. This capture was evident in the 2009 banking crisis, where audit committees failed to scrutinize financial statements, allowing banks like Oceanic to conceal NPLs and delay stakeholder awareness of distress (</w:t>
      </w:r>
      <w:proofErr w:type="spellStart"/>
      <w:r w:rsidRPr="00A6576C">
        <w:t>Olojede</w:t>
      </w:r>
      <w:proofErr w:type="spellEnd"/>
      <w:r w:rsidRPr="00A6576C">
        <w:t xml:space="preserve"> et al., 2020). </w:t>
      </w:r>
    </w:p>
    <w:p w14:paraId="068D8CC5" w14:textId="77777777" w:rsidR="00646B26" w:rsidRPr="00A6576C" w:rsidRDefault="00646B26" w:rsidP="00646B26">
      <w:proofErr w:type="spellStart"/>
      <w:r w:rsidRPr="00A6576C">
        <w:t>Olojede</w:t>
      </w:r>
      <w:proofErr w:type="spellEnd"/>
      <w:r w:rsidRPr="00A6576C">
        <w:t xml:space="preserve"> et al. (2020) argue that shareholder dominance, coupled with a lack of financial expertise, weakens audit committees’ ability to detect fraud and enforce compliance, contributing to systemic failures. For instance, the absence of robust whistleblowing mechanisms, exacerbated by committee capture, enabled financial impropriety to go unchecked, as seen in cases like Intercontinental Bank and Bank PHB, where mismanagement </w:t>
      </w:r>
      <w:proofErr w:type="spellStart"/>
      <w:r w:rsidRPr="00A6576C">
        <w:t>fueled</w:t>
      </w:r>
      <w:proofErr w:type="spellEnd"/>
      <w:r w:rsidRPr="00A6576C">
        <w:t xml:space="preserve"> high NPLs (Owolabi, 2013). To deepen this, Ojo and Ojo (2024) connect this capture to practice index deficiencies, affecting disclosure and compliance, as audit </w:t>
      </w:r>
      <w:r w:rsidRPr="00A6576C">
        <w:lastRenderedPageBreak/>
        <w:t>committees fail to challenge insider lending or enforce robust internal controls through effective financial-reporting integrity.</w:t>
      </w:r>
    </w:p>
    <w:p w14:paraId="7F5E1065" w14:textId="77777777" w:rsidR="00646B26" w:rsidRDefault="00646B26" w:rsidP="00646B26">
      <w:pPr>
        <w:sectPr w:rsidR="00646B26" w:rsidSect="00646B26">
          <w:pgSz w:w="12240" w:h="15840"/>
          <w:pgMar w:top="1134" w:right="1134" w:bottom="1134" w:left="1134" w:header="0" w:footer="0" w:gutter="0"/>
          <w:cols w:space="720"/>
          <w:formProt w:val="0"/>
          <w:docGrid w:linePitch="100"/>
        </w:sectPr>
      </w:pPr>
      <w:r w:rsidRPr="00A6576C">
        <w:t xml:space="preserve">Eriabie and </w:t>
      </w:r>
      <w:proofErr w:type="spellStart"/>
      <w:r w:rsidRPr="00A6576C">
        <w:t>Izedonmi</w:t>
      </w:r>
      <w:proofErr w:type="spellEnd"/>
      <w:r w:rsidRPr="00A6576C">
        <w:t xml:space="preserve"> (2016) further highlight that audit committee characteristics, such as independence and financial knowledge, positively influence reporting quality, but these are often undermined by concentrated ownership structures prevalent in Nigeria. Approximately 39% of Nigerian deposit money banks lack nomination committees to ensure merit-based appointments, leading to audit committees populated by politically connected or unqualified members (</w:t>
      </w:r>
      <w:proofErr w:type="spellStart"/>
      <w:r w:rsidRPr="00A6576C">
        <w:t>Ogbechie</w:t>
      </w:r>
      <w:proofErr w:type="spellEnd"/>
      <w:r w:rsidRPr="00A6576C">
        <w:t>, 2016). This aligns with agency theory’s concerns about compromised oversight and contradicts resource dependence theory’s emphasis on skilled committees, as unqualified members fail to provide the expertise needed for effective governance (Nwoko et al., 2022). These deficiencies directly contribute to financial misreporting, eroding stakeholder trust and increasing NPL-driven default risk. Recent contributions by Afolabi and Afolabi (2024) tie this to disclosure issues in practice indices, noting that weak audit committees fail to ensure accurate loan classifications, perpetuating systemic risks, particularly where financial-reporting integrity does not mediate the pathway to NPL reduction.</w:t>
      </w:r>
    </w:p>
    <w:tbl>
      <w:tblPr>
        <w:tblStyle w:val="GridTable1Light-Accent4"/>
        <w:tblW w:w="13310" w:type="dxa"/>
        <w:tblLayout w:type="fixed"/>
        <w:tblLook w:val="04A0" w:firstRow="1" w:lastRow="0" w:firstColumn="1" w:lastColumn="0" w:noHBand="0" w:noVBand="1"/>
      </w:tblPr>
      <w:tblGrid>
        <w:gridCol w:w="2529"/>
        <w:gridCol w:w="2949"/>
        <w:gridCol w:w="3148"/>
        <w:gridCol w:w="2788"/>
        <w:gridCol w:w="1896"/>
      </w:tblGrid>
      <w:tr w:rsidR="00646B26" w14:paraId="728448F4" w14:textId="77777777" w:rsidTr="00727D26">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2529" w:type="dxa"/>
          </w:tcPr>
          <w:p w14:paraId="56A7E0AF" w14:textId="77777777" w:rsidR="00646B26" w:rsidRDefault="00646B26" w:rsidP="00727D26">
            <w:pPr>
              <w:pStyle w:val="TableHeading"/>
            </w:pPr>
            <w:r>
              <w:lastRenderedPageBreak/>
              <w:t>Challenge</w:t>
            </w:r>
          </w:p>
        </w:tc>
        <w:tc>
          <w:tcPr>
            <w:tcW w:w="2949" w:type="dxa"/>
          </w:tcPr>
          <w:p w14:paraId="01638C4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3148" w:type="dxa"/>
          </w:tcPr>
          <w:p w14:paraId="6309D03E"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Example</w:t>
            </w:r>
          </w:p>
        </w:tc>
        <w:tc>
          <w:tcPr>
            <w:tcW w:w="2788" w:type="dxa"/>
          </w:tcPr>
          <w:p w14:paraId="0A86C0CE"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Tenets</w:t>
            </w:r>
          </w:p>
        </w:tc>
        <w:tc>
          <w:tcPr>
            <w:tcW w:w="1896" w:type="dxa"/>
          </w:tcPr>
          <w:p w14:paraId="6E9F5B7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5B81DDF4" w14:textId="77777777" w:rsidTr="00727D26">
        <w:trPr>
          <w:trHeight w:val="1665"/>
        </w:trPr>
        <w:tc>
          <w:tcPr>
            <w:cnfStyle w:val="001000000000" w:firstRow="0" w:lastRow="0" w:firstColumn="1" w:lastColumn="0" w:oddVBand="0" w:evenVBand="0" w:oddHBand="0" w:evenHBand="0" w:firstRowFirstColumn="0" w:firstRowLastColumn="0" w:lastRowFirstColumn="0" w:lastRowLastColumn="0"/>
            <w:tcW w:w="2529" w:type="dxa"/>
          </w:tcPr>
          <w:p w14:paraId="57EFB459" w14:textId="77777777" w:rsidR="00646B26" w:rsidRDefault="00646B26" w:rsidP="00727D26">
            <w:pPr>
              <w:pStyle w:val="TableContents"/>
            </w:pPr>
            <w:r>
              <w:t>Shareholder Capture</w:t>
            </w:r>
          </w:p>
        </w:tc>
        <w:tc>
          <w:tcPr>
            <w:tcW w:w="2949" w:type="dxa"/>
          </w:tcPr>
          <w:p w14:paraId="21E68FF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Majority shareholders dominate audit committees, undermining independence.</w:t>
            </w:r>
          </w:p>
        </w:tc>
        <w:tc>
          <w:tcPr>
            <w:tcW w:w="3148" w:type="dxa"/>
          </w:tcPr>
          <w:p w14:paraId="252E34E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2009 crisis: Audit committee failed to detect insider loans (75% of NPLs).</w:t>
            </w:r>
          </w:p>
        </w:tc>
        <w:tc>
          <w:tcPr>
            <w:tcW w:w="2788" w:type="dxa"/>
          </w:tcPr>
          <w:p w14:paraId="78B0358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Erodes transparency and accountability; weakens risk management.</w:t>
            </w:r>
          </w:p>
        </w:tc>
        <w:tc>
          <w:tcPr>
            <w:tcW w:w="1896" w:type="dxa"/>
          </w:tcPr>
          <w:p w14:paraId="1B02F51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Adegbite (2014), Sanusi (2009)</w:t>
            </w:r>
          </w:p>
        </w:tc>
      </w:tr>
      <w:tr w:rsidR="00646B26" w14:paraId="7DC06AEC" w14:textId="77777777" w:rsidTr="00727D26">
        <w:trPr>
          <w:trHeight w:val="1338"/>
        </w:trPr>
        <w:tc>
          <w:tcPr>
            <w:cnfStyle w:val="001000000000" w:firstRow="0" w:lastRow="0" w:firstColumn="1" w:lastColumn="0" w:oddVBand="0" w:evenVBand="0" w:oddHBand="0" w:evenHBand="0" w:firstRowFirstColumn="0" w:firstRowLastColumn="0" w:lastRowFirstColumn="0" w:lastRowLastColumn="0"/>
            <w:tcW w:w="2529" w:type="dxa"/>
          </w:tcPr>
          <w:p w14:paraId="202CCEFB" w14:textId="77777777" w:rsidR="00646B26" w:rsidRDefault="00646B26" w:rsidP="00727D26">
            <w:pPr>
              <w:pStyle w:val="TableContents"/>
            </w:pPr>
            <w:r>
              <w:t>Lack of Financial Expertise</w:t>
            </w:r>
          </w:p>
        </w:tc>
        <w:tc>
          <w:tcPr>
            <w:tcW w:w="2949" w:type="dxa"/>
          </w:tcPr>
          <w:p w14:paraId="720D37E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Unqualified members lack skills to scrutinize financial reports.</w:t>
            </w:r>
          </w:p>
        </w:tc>
        <w:tc>
          <w:tcPr>
            <w:tcW w:w="3148" w:type="dxa"/>
          </w:tcPr>
          <w:p w14:paraId="0026155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Intercontinental Bank’s collapse due to weak audit oversight.</w:t>
            </w:r>
          </w:p>
        </w:tc>
        <w:tc>
          <w:tcPr>
            <w:tcW w:w="2788" w:type="dxa"/>
          </w:tcPr>
          <w:p w14:paraId="500CCF6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Compromises bank practice and audit effectiveness, increasing NPLs.</w:t>
            </w:r>
          </w:p>
        </w:tc>
        <w:tc>
          <w:tcPr>
            <w:tcW w:w="1896" w:type="dxa"/>
          </w:tcPr>
          <w:p w14:paraId="167E138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 Owolabi (2013)</w:t>
            </w:r>
          </w:p>
        </w:tc>
      </w:tr>
      <w:tr w:rsidR="00646B26" w14:paraId="6AC4A638" w14:textId="77777777" w:rsidTr="00727D26">
        <w:trPr>
          <w:trHeight w:val="1665"/>
        </w:trPr>
        <w:tc>
          <w:tcPr>
            <w:cnfStyle w:val="001000000000" w:firstRow="0" w:lastRow="0" w:firstColumn="1" w:lastColumn="0" w:oddVBand="0" w:evenVBand="0" w:oddHBand="0" w:evenHBand="0" w:firstRowFirstColumn="0" w:firstRowLastColumn="0" w:lastRowFirstColumn="0" w:lastRowLastColumn="0"/>
            <w:tcW w:w="2529" w:type="dxa"/>
          </w:tcPr>
          <w:p w14:paraId="59D2DF1C" w14:textId="77777777" w:rsidR="00646B26" w:rsidRDefault="00646B26" w:rsidP="00727D26">
            <w:pPr>
              <w:pStyle w:val="TableContents"/>
            </w:pPr>
            <w:r>
              <w:t>Absence of Nomination Committees</w:t>
            </w:r>
          </w:p>
        </w:tc>
        <w:tc>
          <w:tcPr>
            <w:tcW w:w="2949" w:type="dxa"/>
          </w:tcPr>
          <w:p w14:paraId="09C62D4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39% of banks lack committees for merit-based appointments.</w:t>
            </w:r>
          </w:p>
        </w:tc>
        <w:tc>
          <w:tcPr>
            <w:tcW w:w="3148" w:type="dxa"/>
          </w:tcPr>
          <w:p w14:paraId="12C4038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 PHB’s audit committee included politically connected members.</w:t>
            </w:r>
          </w:p>
        </w:tc>
        <w:tc>
          <w:tcPr>
            <w:tcW w:w="2788" w:type="dxa"/>
          </w:tcPr>
          <w:p w14:paraId="04C7A91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accountability and transparency, affecting risk oversight.</w:t>
            </w:r>
          </w:p>
        </w:tc>
        <w:tc>
          <w:tcPr>
            <w:tcW w:w="1896" w:type="dxa"/>
          </w:tcPr>
          <w:p w14:paraId="7AAD709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 Nwoko et al. (2022)</w:t>
            </w:r>
          </w:p>
        </w:tc>
      </w:tr>
      <w:tr w:rsidR="00646B26" w14:paraId="19F6DCD4" w14:textId="77777777" w:rsidTr="00727D26">
        <w:trPr>
          <w:trHeight w:val="1682"/>
        </w:trPr>
        <w:tc>
          <w:tcPr>
            <w:cnfStyle w:val="001000000000" w:firstRow="0" w:lastRow="0" w:firstColumn="1" w:lastColumn="0" w:oddVBand="0" w:evenVBand="0" w:oddHBand="0" w:evenHBand="0" w:firstRowFirstColumn="0" w:firstRowLastColumn="0" w:lastRowFirstColumn="0" w:lastRowLastColumn="0"/>
            <w:tcW w:w="2529" w:type="dxa"/>
          </w:tcPr>
          <w:p w14:paraId="1529A510" w14:textId="77777777" w:rsidR="00646B26" w:rsidRDefault="00646B26" w:rsidP="00727D26">
            <w:pPr>
              <w:pStyle w:val="TableContents"/>
            </w:pPr>
            <w:r>
              <w:t>Weak Whistleblowing Mechanisms</w:t>
            </w:r>
          </w:p>
        </w:tc>
        <w:tc>
          <w:tcPr>
            <w:tcW w:w="2949" w:type="dxa"/>
          </w:tcPr>
          <w:p w14:paraId="79AE0DE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Lack of protected channels stifles fraud reporting.</w:t>
            </w:r>
          </w:p>
        </w:tc>
        <w:tc>
          <w:tcPr>
            <w:tcW w:w="3148" w:type="dxa"/>
          </w:tcPr>
          <w:p w14:paraId="2557845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 concealed NPLs due to ineffective whistleblowing.</w:t>
            </w:r>
          </w:p>
        </w:tc>
        <w:tc>
          <w:tcPr>
            <w:tcW w:w="2788" w:type="dxa"/>
          </w:tcPr>
          <w:p w14:paraId="297D1DB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transparency, exacerbates risk management failures.</w:t>
            </w:r>
          </w:p>
        </w:tc>
        <w:tc>
          <w:tcPr>
            <w:tcW w:w="1896" w:type="dxa"/>
          </w:tcPr>
          <w:p w14:paraId="3FEA48C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 Ojo &amp; Ojo (2025)</w:t>
            </w:r>
          </w:p>
        </w:tc>
      </w:tr>
    </w:tbl>
    <w:p w14:paraId="2E825F06" w14:textId="77777777" w:rsidR="00646B26" w:rsidRDefault="00646B26" w:rsidP="00646B26">
      <w:pPr>
        <w:pStyle w:val="BodyText"/>
        <w:spacing w:line="480" w:lineRule="auto"/>
      </w:pPr>
      <w:r>
        <w:t>Note: Adapted from Adegbite (2014), Olojede et al. (2020), and Afolabi and Afolabi (2025). Impacts highlight ties to transparency, accountability, bank practice, risk management, and audit committee independence.</w:t>
      </w:r>
    </w:p>
    <w:p w14:paraId="5A8430E3" w14:textId="77777777" w:rsidR="00646B26" w:rsidRDefault="00646B26" w:rsidP="00646B26">
      <w:pPr>
        <w:sectPr w:rsidR="00646B26" w:rsidSect="00646B26">
          <w:pgSz w:w="15840" w:h="12240" w:orient="landscape"/>
          <w:pgMar w:top="1134" w:right="1134" w:bottom="1134" w:left="1134" w:header="0" w:footer="0" w:gutter="0"/>
          <w:cols w:space="720"/>
          <w:formProt w:val="0"/>
          <w:docGrid w:linePitch="326"/>
        </w:sectPr>
      </w:pPr>
    </w:p>
    <w:p w14:paraId="1C5447CA" w14:textId="77777777" w:rsidR="00646B26" w:rsidRPr="00A6576C" w:rsidRDefault="00646B26" w:rsidP="00646B26"/>
    <w:p w14:paraId="6852C342" w14:textId="77777777" w:rsidR="00646B26" w:rsidRDefault="00646B26" w:rsidP="00646B26">
      <w:pPr>
        <w:pStyle w:val="Heading3"/>
        <w:rPr>
          <w:rFonts w:eastAsia="Times New Roman"/>
        </w:rPr>
      </w:pPr>
      <w:bookmarkStart w:id="75" w:name="_Toc211278879"/>
      <w:r>
        <w:rPr>
          <w:rFonts w:eastAsia="Times New Roman"/>
        </w:rPr>
        <w:t>2.</w:t>
      </w:r>
      <w:r>
        <w:t>6</w:t>
      </w:r>
      <w:r>
        <w:rPr>
          <w:rFonts w:eastAsia="Times New Roman"/>
        </w:rPr>
        <w:t>.3 Impact on NPLs and Default Risk</w:t>
      </w:r>
      <w:bookmarkEnd w:id="75"/>
    </w:p>
    <w:p w14:paraId="4A19A1A1" w14:textId="77777777" w:rsidR="00646B26" w:rsidRPr="00A6576C" w:rsidRDefault="00646B26" w:rsidP="00646B26">
      <w:pPr>
        <w:pStyle w:val="BodyText"/>
        <w:spacing w:line="480" w:lineRule="auto"/>
        <w:rPr>
          <w:b/>
          <w:bCs/>
        </w:rPr>
      </w:pPr>
      <w:r w:rsidRPr="00A6576C">
        <w:rPr>
          <w:rStyle w:val="Strong"/>
          <w:b w:val="0"/>
          <w:bCs w:val="0"/>
          <w:highlight w:val="yellow"/>
        </w:rPr>
        <w:t>Independent audit committees are essential for reducing NPLs by enhancing financial-reporting integrity (as perceived by bank insiders) and curbing risky lending practices. In Nigeria, weak audit oversight, driven by shareholder capture, has allowed banks to obscure financial distress, as seen in the 2009 crisis, where falsified statements delayed corrective actions, contributing to NPLs reaching 37% (Sanusi, 2009; Olojede et al., 2020). Agency theory suggests that independent audit committees can mitigate such risks by enforcing transparent reporting and robust practice indices, aligning management with shareholder interests (Jensen &amp; Meckling, 1976). Resource dependence theory further posits that committees with financial expertise enhance credibility, reducing information asymmetry and fostering investor confidence, which can stabilize loan portfolios (Pfeffer &amp; Salancik, 1978). For example, effective audit committees can enforce strict loan classification standards, preventing the concealment of non-performing assets, a critical issue in Nigeria’s deposit money banking sector (Afolabi &amp; Afolabi, 2024).</w:t>
      </w:r>
    </w:p>
    <w:p w14:paraId="545A717B" w14:textId="77777777" w:rsidR="00646B26" w:rsidRDefault="00646B26" w:rsidP="00646B26">
      <w:pPr>
        <w:pStyle w:val="Heading3"/>
        <w:rPr>
          <w:rFonts w:eastAsia="Times New Roman"/>
        </w:rPr>
      </w:pPr>
      <w:bookmarkStart w:id="76" w:name="_Toc211278880"/>
      <w:r>
        <w:rPr>
          <w:rFonts w:eastAsia="Times New Roman"/>
        </w:rPr>
        <w:t>2.</w:t>
      </w:r>
      <w:r>
        <w:t>6</w:t>
      </w:r>
      <w:r>
        <w:rPr>
          <w:rFonts w:eastAsia="Times New Roman"/>
        </w:rPr>
        <w:t>.4 Global Standards and Lessons for Nigeria</w:t>
      </w:r>
      <w:bookmarkEnd w:id="76"/>
    </w:p>
    <w:p w14:paraId="2CC06D47" w14:textId="77777777" w:rsidR="00646B26" w:rsidRDefault="00646B26" w:rsidP="00646B26">
      <w:pPr>
        <w:pStyle w:val="BodyText"/>
        <w:spacing w:line="480" w:lineRule="auto"/>
      </w:pPr>
      <w:r>
        <w:t xml:space="preserve">Globally, standards like those outlined by Al-Shaer et al. (2022) emphasize audit-committee independence as a cornerstone of governance, with jurisdictions like the EU and US mandating committees with financial experts to ensure high-quality reporting and risk management, aligned with Basel III principles (BCBS, 2010). For example, Al-Shaer et al. (2022) found that independent audit committees with frequent meetings and financial literacy significantly improve sustainability reporting and reduce financial risks, a practice underdeveloped in Nigeria. </w:t>
      </w:r>
    </w:p>
    <w:p w14:paraId="6D2CFE5A" w14:textId="77777777" w:rsidR="00646B26" w:rsidRDefault="00646B26" w:rsidP="00646B26">
      <w:pPr>
        <w:pStyle w:val="BodyText"/>
        <w:spacing w:line="480" w:lineRule="auto"/>
      </w:pPr>
      <w:r>
        <w:lastRenderedPageBreak/>
        <w:t xml:space="preserve">In contrast, Nigerian deposit money banks’ audit committees often lack the autonomy and expertise required, as evidenced by the 2009 crisis, where weak oversight enabled insider abuses (Sanusi, 2009). Implementing global standards, such as mandatory financial expertise and independence, could strengthen Nigerian audit committees, reducing NPLs by improving oversight of lending practices, as advocated by Eriabie and Izedonmi (2016). </w:t>
      </w:r>
      <w:r w:rsidRPr="00A6576C">
        <w:t xml:space="preserve">This aligns with research objective OB2 and hypothesis H2, which evaluate audit-committee independence’s direct and mediated (via financial-reporting integrity as perceived by insiders) role in reducing NPLs through enhanced financial-reporting integrity, highlighting the need for context-specific reforms to address shareholder capture and align with global best practices. </w:t>
      </w:r>
    </w:p>
    <w:p w14:paraId="7226C06C" w14:textId="77777777" w:rsidR="00646B26" w:rsidRDefault="00646B26" w:rsidP="00646B26">
      <w:pPr>
        <w:pStyle w:val="BodyText"/>
        <w:spacing w:line="480" w:lineRule="auto"/>
      </w:pPr>
      <w:r w:rsidRPr="00A6576C">
        <w:t>To expand, Ojo and Ojo (2024) suggest that integrating audit-committee independence (including mediation by financial-reporting integrity) with practice indices can improve disclosure and compliance. The CBN’s 2023 Guidelines mandate audit-committee independence, but enforcement consistency remains weak due to regulatory multiplicity (CBN, 2024).</w:t>
      </w:r>
    </w:p>
    <w:p w14:paraId="53B0E77E" w14:textId="77777777" w:rsidR="00646B26" w:rsidRDefault="00646B26" w:rsidP="00646B26">
      <w:pPr>
        <w:spacing w:line="240" w:lineRule="auto"/>
        <w:jc w:val="left"/>
      </w:pPr>
      <w:r>
        <w:br w:type="page"/>
      </w:r>
    </w:p>
    <w:p w14:paraId="44ADBB25" w14:textId="77777777" w:rsidR="00646B26" w:rsidRDefault="00646B26" w:rsidP="00646B26">
      <w:pPr>
        <w:pStyle w:val="BodyText"/>
        <w:spacing w:line="480" w:lineRule="auto"/>
        <w:sectPr w:rsidR="00646B26" w:rsidSect="00646B26">
          <w:pgSz w:w="12240" w:h="15840"/>
          <w:pgMar w:top="1134" w:right="1134" w:bottom="1134" w:left="1134" w:header="0" w:footer="0" w:gutter="0"/>
          <w:cols w:space="720"/>
          <w:formProt w:val="0"/>
          <w:docGrid w:linePitch="100"/>
        </w:sectPr>
      </w:pPr>
    </w:p>
    <w:tbl>
      <w:tblPr>
        <w:tblStyle w:val="GridTable1Light-Accent4"/>
        <w:tblW w:w="13317" w:type="dxa"/>
        <w:tblLayout w:type="fixed"/>
        <w:tblLook w:val="04A0" w:firstRow="1" w:lastRow="0" w:firstColumn="1" w:lastColumn="0" w:noHBand="0" w:noVBand="1"/>
      </w:tblPr>
      <w:tblGrid>
        <w:gridCol w:w="2575"/>
        <w:gridCol w:w="2986"/>
        <w:gridCol w:w="2810"/>
        <w:gridCol w:w="2839"/>
        <w:gridCol w:w="2107"/>
      </w:tblGrid>
      <w:tr w:rsidR="00646B26" w14:paraId="5FEE87E6" w14:textId="77777777" w:rsidTr="00727D26">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75" w:type="dxa"/>
          </w:tcPr>
          <w:p w14:paraId="57F14345" w14:textId="77777777" w:rsidR="00646B26" w:rsidRDefault="00646B26" w:rsidP="00727D26">
            <w:pPr>
              <w:pStyle w:val="TableHeading"/>
            </w:pPr>
            <w:r>
              <w:lastRenderedPageBreak/>
              <w:t>Reform</w:t>
            </w:r>
          </w:p>
        </w:tc>
        <w:tc>
          <w:tcPr>
            <w:tcW w:w="2986" w:type="dxa"/>
          </w:tcPr>
          <w:p w14:paraId="5DAE9D2F"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810" w:type="dxa"/>
          </w:tcPr>
          <w:p w14:paraId="0ED0FC3A"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Expected Impact</w:t>
            </w:r>
          </w:p>
        </w:tc>
        <w:tc>
          <w:tcPr>
            <w:tcW w:w="2839" w:type="dxa"/>
          </w:tcPr>
          <w:p w14:paraId="026902FC"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Global Benchmark</w:t>
            </w:r>
          </w:p>
        </w:tc>
        <w:tc>
          <w:tcPr>
            <w:tcW w:w="2107" w:type="dxa"/>
          </w:tcPr>
          <w:p w14:paraId="11A41CB8"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4D933B17" w14:textId="77777777" w:rsidTr="00727D26">
        <w:trPr>
          <w:trHeight w:val="2137"/>
        </w:trPr>
        <w:tc>
          <w:tcPr>
            <w:cnfStyle w:val="001000000000" w:firstRow="0" w:lastRow="0" w:firstColumn="1" w:lastColumn="0" w:oddVBand="0" w:evenVBand="0" w:oddHBand="0" w:evenHBand="0" w:firstRowFirstColumn="0" w:firstRowLastColumn="0" w:lastRowFirstColumn="0" w:lastRowLastColumn="0"/>
            <w:tcW w:w="2575" w:type="dxa"/>
          </w:tcPr>
          <w:p w14:paraId="5CE07737" w14:textId="77777777" w:rsidR="00646B26" w:rsidRDefault="00646B26" w:rsidP="00727D26">
            <w:pPr>
              <w:pStyle w:val="TableContents"/>
            </w:pPr>
            <w:r>
              <w:t>Mandatory Financial Expertise</w:t>
            </w:r>
          </w:p>
        </w:tc>
        <w:tc>
          <w:tcPr>
            <w:tcW w:w="2986" w:type="dxa"/>
          </w:tcPr>
          <w:p w14:paraId="2A4A721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Require audit committee members to have financial/governance certifications.</w:t>
            </w:r>
          </w:p>
        </w:tc>
        <w:tc>
          <w:tcPr>
            <w:tcW w:w="2810" w:type="dxa"/>
          </w:tcPr>
          <w:p w14:paraId="0506BE0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Enhances reporting quality, reduces NPLs via robust oversight.</w:t>
            </w:r>
          </w:p>
        </w:tc>
        <w:tc>
          <w:tcPr>
            <w:tcW w:w="2839" w:type="dxa"/>
          </w:tcPr>
          <w:p w14:paraId="6EB51A2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EU’s CRD IV: Financial literacy mandates (EU, 2013).</w:t>
            </w:r>
          </w:p>
        </w:tc>
        <w:tc>
          <w:tcPr>
            <w:tcW w:w="2107" w:type="dxa"/>
          </w:tcPr>
          <w:p w14:paraId="34B98E4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Eriabie &amp; </w:t>
            </w:r>
            <w:proofErr w:type="spellStart"/>
            <w:r>
              <w:t>Izedonmi</w:t>
            </w:r>
            <w:proofErr w:type="spellEnd"/>
            <w:r>
              <w:t xml:space="preserve"> (2016)</w:t>
            </w:r>
          </w:p>
        </w:tc>
      </w:tr>
      <w:tr w:rsidR="00646B26" w14:paraId="622554AF" w14:textId="77777777" w:rsidTr="00727D26">
        <w:trPr>
          <w:trHeight w:val="1701"/>
        </w:trPr>
        <w:tc>
          <w:tcPr>
            <w:cnfStyle w:val="001000000000" w:firstRow="0" w:lastRow="0" w:firstColumn="1" w:lastColumn="0" w:oddVBand="0" w:evenVBand="0" w:oddHBand="0" w:evenHBand="0" w:firstRowFirstColumn="0" w:firstRowLastColumn="0" w:lastRowFirstColumn="0" w:lastRowLastColumn="0"/>
            <w:tcW w:w="2575" w:type="dxa"/>
          </w:tcPr>
          <w:p w14:paraId="244EB547" w14:textId="77777777" w:rsidR="00646B26" w:rsidRDefault="00646B26" w:rsidP="00727D26">
            <w:pPr>
              <w:pStyle w:val="TableContents"/>
            </w:pPr>
            <w:r>
              <w:t>Independent Audit Committees</w:t>
            </w:r>
          </w:p>
        </w:tc>
        <w:tc>
          <w:tcPr>
            <w:tcW w:w="2986" w:type="dxa"/>
          </w:tcPr>
          <w:p w14:paraId="7A8D290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Prohibit shareholder dominance in committee composition.</w:t>
            </w:r>
          </w:p>
        </w:tc>
        <w:tc>
          <w:tcPr>
            <w:tcW w:w="2810" w:type="dxa"/>
          </w:tcPr>
          <w:p w14:paraId="146CC3C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Improves transparency, aligns with agency theory.</w:t>
            </w:r>
          </w:p>
        </w:tc>
        <w:tc>
          <w:tcPr>
            <w:tcW w:w="2839" w:type="dxa"/>
          </w:tcPr>
          <w:p w14:paraId="2B9F338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Independent audit oversight (BCBS, 2010).</w:t>
            </w:r>
          </w:p>
        </w:tc>
        <w:tc>
          <w:tcPr>
            <w:tcW w:w="2107" w:type="dxa"/>
          </w:tcPr>
          <w:p w14:paraId="1589CA5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Adegbite (2014), Ojo &amp; Ojo (2025)</w:t>
            </w:r>
          </w:p>
        </w:tc>
      </w:tr>
      <w:tr w:rsidR="00646B26" w14:paraId="17719F84" w14:textId="77777777" w:rsidTr="00727D26">
        <w:trPr>
          <w:trHeight w:val="1265"/>
        </w:trPr>
        <w:tc>
          <w:tcPr>
            <w:cnfStyle w:val="001000000000" w:firstRow="0" w:lastRow="0" w:firstColumn="1" w:lastColumn="0" w:oddVBand="0" w:evenVBand="0" w:oddHBand="0" w:evenHBand="0" w:firstRowFirstColumn="0" w:firstRowLastColumn="0" w:lastRowFirstColumn="0" w:lastRowLastColumn="0"/>
            <w:tcW w:w="2575" w:type="dxa"/>
          </w:tcPr>
          <w:p w14:paraId="4D2EA3ED" w14:textId="77777777" w:rsidR="00646B26" w:rsidRDefault="00646B26" w:rsidP="00727D26">
            <w:pPr>
              <w:pStyle w:val="TableContents"/>
            </w:pPr>
            <w:r>
              <w:t>Robust Whistleblowing Mechanisms</w:t>
            </w:r>
          </w:p>
        </w:tc>
        <w:tc>
          <w:tcPr>
            <w:tcW w:w="2986" w:type="dxa"/>
          </w:tcPr>
          <w:p w14:paraId="1153999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protected, anonymous reporting channels.</w:t>
            </w:r>
          </w:p>
        </w:tc>
        <w:tc>
          <w:tcPr>
            <w:tcW w:w="2810" w:type="dxa"/>
          </w:tcPr>
          <w:p w14:paraId="4F37C4D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Encourages fraud detection, enhances accountability.</w:t>
            </w:r>
          </w:p>
        </w:tc>
        <w:tc>
          <w:tcPr>
            <w:tcW w:w="2839" w:type="dxa"/>
          </w:tcPr>
          <w:p w14:paraId="2987528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 Whistleblowing Directive (EU, 2019).</w:t>
            </w:r>
          </w:p>
        </w:tc>
        <w:tc>
          <w:tcPr>
            <w:tcW w:w="2107" w:type="dxa"/>
          </w:tcPr>
          <w:p w14:paraId="477610D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w:t>
            </w:r>
          </w:p>
        </w:tc>
      </w:tr>
      <w:tr w:rsidR="00646B26" w14:paraId="4E870FDB" w14:textId="77777777" w:rsidTr="00727D26">
        <w:trPr>
          <w:trHeight w:val="1701"/>
        </w:trPr>
        <w:tc>
          <w:tcPr>
            <w:cnfStyle w:val="001000000000" w:firstRow="0" w:lastRow="0" w:firstColumn="1" w:lastColumn="0" w:oddVBand="0" w:evenVBand="0" w:oddHBand="0" w:evenHBand="0" w:firstRowFirstColumn="0" w:firstRowLastColumn="0" w:lastRowFirstColumn="0" w:lastRowLastColumn="0"/>
            <w:tcW w:w="2575" w:type="dxa"/>
          </w:tcPr>
          <w:p w14:paraId="7D014B63" w14:textId="77777777" w:rsidR="00646B26" w:rsidRDefault="00646B26" w:rsidP="00727D26">
            <w:pPr>
              <w:pStyle w:val="TableContents"/>
            </w:pPr>
            <w:r>
              <w:t>Enhanced CBN Oversight</w:t>
            </w:r>
          </w:p>
        </w:tc>
        <w:tc>
          <w:tcPr>
            <w:tcW w:w="2986" w:type="dxa"/>
          </w:tcPr>
          <w:p w14:paraId="35B61D4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Empower CBN to sanction non-compliant audit committees.</w:t>
            </w:r>
          </w:p>
        </w:tc>
        <w:tc>
          <w:tcPr>
            <w:tcW w:w="2810" w:type="dxa"/>
          </w:tcPr>
          <w:p w14:paraId="268D566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Strengthens bank practice, reduces risk management failures.</w:t>
            </w:r>
          </w:p>
        </w:tc>
        <w:tc>
          <w:tcPr>
            <w:tcW w:w="2839" w:type="dxa"/>
          </w:tcPr>
          <w:p w14:paraId="173876B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OECD Principles: Regulatory enforcement (OECD, 2023).</w:t>
            </w:r>
          </w:p>
        </w:tc>
        <w:tc>
          <w:tcPr>
            <w:tcW w:w="2107" w:type="dxa"/>
          </w:tcPr>
          <w:p w14:paraId="6C2E7D3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Afolabi &amp; Afolabi (2025)</w:t>
            </w:r>
          </w:p>
        </w:tc>
      </w:tr>
    </w:tbl>
    <w:p w14:paraId="2E783314" w14:textId="77777777" w:rsidR="00646B26" w:rsidRDefault="00646B26" w:rsidP="00646B26">
      <w:pPr>
        <w:pStyle w:val="BodyText"/>
        <w:spacing w:line="480" w:lineRule="auto"/>
      </w:pPr>
      <w:r>
        <w:t>Note: Adapted from Eriabie and Izedonmi (2016), Ojo and Ojo (2025), and Afolabi and Afolabi (2025). Reforms address transparency, accountability, bank practice, risk management, and audit committee independence.</w:t>
      </w:r>
    </w:p>
    <w:p w14:paraId="544C5D08" w14:textId="77777777" w:rsidR="00646B26" w:rsidRDefault="00646B26" w:rsidP="00646B26">
      <w:pPr>
        <w:pStyle w:val="BodyText"/>
        <w:spacing w:line="480" w:lineRule="auto"/>
        <w:sectPr w:rsidR="00646B26" w:rsidSect="00646B26">
          <w:pgSz w:w="15840" w:h="12240" w:orient="landscape"/>
          <w:pgMar w:top="1134" w:right="1134" w:bottom="1134" w:left="1134" w:header="0" w:footer="0" w:gutter="0"/>
          <w:cols w:space="720"/>
          <w:formProt w:val="0"/>
          <w:docGrid w:linePitch="326"/>
        </w:sectPr>
      </w:pPr>
    </w:p>
    <w:p w14:paraId="1099E2C9" w14:textId="77777777" w:rsidR="00646B26" w:rsidRDefault="00646B26" w:rsidP="00646B26">
      <w:pPr>
        <w:pStyle w:val="Heading3"/>
        <w:rPr>
          <w:rFonts w:eastAsia="Times New Roman"/>
        </w:rPr>
      </w:pPr>
      <w:bookmarkStart w:id="77" w:name="_Toc211278881"/>
      <w:r>
        <w:rPr>
          <w:rFonts w:eastAsia="Times New Roman"/>
        </w:rPr>
        <w:lastRenderedPageBreak/>
        <w:t>2.6.5 Ties to Corporate Governance Tenets</w:t>
      </w:r>
      <w:bookmarkEnd w:id="77"/>
    </w:p>
    <w:p w14:paraId="7A9DFB8D" w14:textId="77777777" w:rsidR="00646B26" w:rsidRPr="00A6576C" w:rsidRDefault="00646B26" w:rsidP="00646B26">
      <w:r w:rsidRPr="00A6576C">
        <w:t>Audit-committee deficiencies in Nigeria’s deposit money banking sector undermine the core indices of disclosure, practice, and compliance. Shareholder capture erodes disclosure by enabling financial misreporting, as seen in Oceanic Bank’s concealed NPLs (Sanusi, 2009). Compliance is weakened by unqualified committee members, who fail to enforce internal controls (</w:t>
      </w:r>
      <w:proofErr w:type="spellStart"/>
      <w:r w:rsidRPr="00A6576C">
        <w:t>Olojede</w:t>
      </w:r>
      <w:proofErr w:type="spellEnd"/>
      <w:r w:rsidRPr="00A6576C">
        <w:t xml:space="preserve"> et al., 2020). Practice indices suffer from weak oversight, leading to risky lending and systemic instability (Owolabi, 2013). Risk management is compromised by ineffective audit committees, contributing to NPL spikes (Adegboye, 2020). Audit-committee independence, crucial for financial integrity, is undermined by concentrated ownership, necessitating reforms to align with global standards, particularly where financial-reporting integrity mediates the pathway to NPL reduction (Ojo &amp; Ojo, 2024). These interconnected failures highlight the need for reforms to restore robust audit oversight.</w:t>
      </w:r>
    </w:p>
    <w:p w14:paraId="19C85BD1" w14:textId="77777777" w:rsidR="00646B26" w:rsidRPr="00A6576C" w:rsidRDefault="00646B26" w:rsidP="00646B26">
      <w:pPr>
        <w:pStyle w:val="BodyText"/>
        <w:spacing w:line="480" w:lineRule="auto"/>
      </w:pPr>
      <w:r w:rsidRPr="00A6576C">
        <w:t xml:space="preserve">Audit-committee independence (mediated by strengthened financial-reporting integrity as perceived by bank insiders) is critical for ensuring disclosure and compliance and reducing NPL-driven default risk in Nigeria’s deposit money banking sector, yet shareholder capture and lack of expertise undermine their effectiveness (Adegbite, 2014; Olojede et al., 2020). Agency and resource dependence theories underscore the importance of independent, skilled audit committees in mitigating agency conflicts and enhancing governance credibility, but Nigeria’s practices fall short of global standards (Jensen &amp; Meckling, 1976; Pfeffer &amp; Salancik, 1978; Al-Shaer et al., 2022). The 2009 crisis illustrates how weak audit oversight contributes to financial misreporting and high NPLs, necessitating reforms like mandatory independent </w:t>
      </w:r>
      <w:r w:rsidRPr="00A6576C">
        <w:rPr>
          <w:highlight w:val="yellow"/>
        </w:rPr>
        <w:t xml:space="preserve">committees and financial expertise requirements. This section supports OB2 and H2 by linking audit-committee independence to NPL reduction and sets the stage for further analysis of governance mechanisms impacting default risk in Nigeria’s deposit money banking sector. </w:t>
      </w:r>
      <w:r w:rsidRPr="00A6576C">
        <w:rPr>
          <w:highlight w:val="yellow"/>
        </w:rPr>
        <w:lastRenderedPageBreak/>
        <w:t>Recent studies by Afolabi and Afolabi (2024) add that audit-committee independence is key to improving practice indices and disclosure.</w:t>
      </w:r>
    </w:p>
    <w:p w14:paraId="367723B0" w14:textId="77777777" w:rsidR="00646B26" w:rsidRDefault="00646B26" w:rsidP="00646B26">
      <w:pPr>
        <w:pStyle w:val="BodyText"/>
        <w:spacing w:line="480" w:lineRule="auto"/>
      </w:pPr>
      <w:r>
        <w:t xml:space="preserve">Management qualifications and ethical decision-making are critical drivers of corporate governance in Nigeria’s deposit money banking sector, where ineffective leadership has significantly contributed to high non-performing loan (NPL) ratios and systemic instability, with 425 bank failures recorded since 1988 (Udo, 2020). Qualified and ethical management is essential for strategic oversight, practice indices, and stakeholder trust, yet Nigeria’s deposit money banking sector is plagued by unqualified, politically motivated appointments that undermine these objectives, leading to governance failures and elevated default risk (Nwoko et al., 2022). With NPLs peaking at 37% in 2009 and 20% in 2017 against the Central Bank of Nigeria’s (CBN) 5% threshold, the impact of poor leadership is evident (Nwosu, 2020; Adegboye, 2020). This section discusses upper echelons and stewardship theories on management qualifications, reviews Nigerian studies on unqualified appointments and their link to NPLs, and highlights cases like Oceanic Bank, where poor leadership drove 75% of NPLs, underscoring the need for context-specific reforms. </w:t>
      </w:r>
      <w:r w:rsidRPr="00A6576C">
        <w:rPr>
          <w:rStyle w:val="Strong"/>
          <w:b w:val="0"/>
          <w:bCs w:val="0"/>
        </w:rPr>
        <w:t>To expand, Afolabi and Afolabi (2024) connect management qualifications to audit-committee independence (including its mediation by financial-reporting integrity) and practice indices, reinforcing disclosure and compliance</w:t>
      </w:r>
      <w:r>
        <w:rPr>
          <w:rStyle w:val="Strong"/>
        </w:rPr>
        <w:t>.</w:t>
      </w:r>
    </w:p>
    <w:p w14:paraId="13A0EAB6" w14:textId="77777777" w:rsidR="00646B26" w:rsidRDefault="00646B26" w:rsidP="00646B26">
      <w:pPr>
        <w:pStyle w:val="Heading4"/>
        <w:spacing w:before="0" w:after="283"/>
        <w:rPr>
          <w:rFonts w:eastAsia="Times New Roman" w:cs="Times New Roman"/>
        </w:rPr>
      </w:pPr>
      <w:r>
        <w:rPr>
          <w:rFonts w:eastAsia="Times New Roman" w:cs="Times New Roman"/>
        </w:rPr>
        <w:t>2.7.1 Theoretical Foundations of Management Roles</w:t>
      </w:r>
    </w:p>
    <w:p w14:paraId="1F58FE71" w14:textId="77777777" w:rsidR="00646B26" w:rsidRDefault="00646B26" w:rsidP="00646B26">
      <w:pPr>
        <w:pStyle w:val="Heading4"/>
        <w:spacing w:before="0" w:after="283"/>
        <w:rPr>
          <w:rFonts w:eastAsia="Times New Roman" w:cs="Times New Roman"/>
        </w:rPr>
      </w:pPr>
      <w:r>
        <w:rPr>
          <w:rFonts w:eastAsia="Times New Roman" w:cs="Times New Roman"/>
        </w:rPr>
        <w:t>2.7.1.1 Upper Echelons Theory and Strategic Leadership</w:t>
      </w:r>
    </w:p>
    <w:p w14:paraId="342602FA" w14:textId="77777777" w:rsidR="00646B26" w:rsidRDefault="00646B26" w:rsidP="00646B26">
      <w:pPr>
        <w:pStyle w:val="BodyText"/>
        <w:spacing w:line="480" w:lineRule="auto"/>
      </w:pPr>
      <w:r>
        <w:t xml:space="preserve">Upper echelons theory, proposed by Hambrick and Mason (1984), posits that organizational outcomes, including financial performance and risk profiles, are significantly influenced by the characteristics, expertise, and decision-making styles of senior executives. The theory emphasizes that management qualifications—such as financial expertise, industry experience, and educational background—shape </w:t>
      </w:r>
      <w:r>
        <w:lastRenderedPageBreak/>
        <w:t xml:space="preserve">strategic choices and practice indices, directly impacting governance effectiveness. In the deposit money banking sector, where complex financial decisions determine loan quality and default risk, upper echelons theory suggests that qualified executives with relevant expertise are better equipped to implement prudent lending practices and navigate Nigeria’s volatile financial landscape (Carpenter et al., 2004). In Nigeria, however, the prevalence of unqualified leadership undermines this, as seen in the 2009 crisis, where poor managerial decisions exacerbated financial distress (Sanusi, 2009). </w:t>
      </w:r>
      <w:r>
        <w:rPr>
          <w:rStyle w:val="Strong"/>
        </w:rPr>
        <w:t>Recent research by Ojo and Ojo (2024) expands this by linking upper echelons to audit-committee independence (including mediation by financial-reporting integrity), noting that qualified executives can enhance oversight by collaborating with audit committees to ensure robust financial reporting and practice indices.</w:t>
      </w:r>
      <w:r>
        <w:t xml:space="preserve"> For instance, executives with financial expertise are better positioned to implement Basel III-aligned risk frameworks, reducing NPLs through disciplined credit policies (BCBS, 2010).</w:t>
      </w:r>
    </w:p>
    <w:p w14:paraId="314D0710" w14:textId="77777777" w:rsidR="00646B26" w:rsidRDefault="00646B26" w:rsidP="00646B26">
      <w:pPr>
        <w:pStyle w:val="Heading4"/>
        <w:spacing w:before="0" w:after="283"/>
        <w:rPr>
          <w:rFonts w:eastAsia="Times New Roman" w:cs="Times New Roman"/>
        </w:rPr>
      </w:pPr>
      <w:r>
        <w:rPr>
          <w:rFonts w:eastAsia="Times New Roman" w:cs="Times New Roman"/>
        </w:rPr>
        <w:t>2.7.1.2 Stewardship Theory and Ethical Leadership</w:t>
      </w:r>
    </w:p>
    <w:p w14:paraId="7314CD45" w14:textId="77777777" w:rsidR="00646B26" w:rsidRDefault="00646B26" w:rsidP="00646B26">
      <w:pPr>
        <w:pStyle w:val="BodyText"/>
        <w:spacing w:line="480" w:lineRule="auto"/>
      </w:pPr>
      <w:r>
        <w:t xml:space="preserve">Stewardship theory, articulated by Donaldson and Davis (1991), complements upper echelons theory by suggesting that managers, when trusted and empowered, act as stewards who prioritize organizational and stakeholder interests over self-interest. Ethical decision-making, rooted in integrity and management qualifications, is central to this theory, which advocates for managers with strong expertise to foster disclosure and compliance and long-term stability. In deposit money banks, stewardship theory underscores the need for ethical leaders to align lending practices with practice indices, ensuring disclosure and stakeholder trust (Davis et al., 1997). However, in Nigeria’s deposit money banking sector, politically motivated appointments often result in leaders lacking the expertise or ethical commitment required, leading to governance lapses and high NPLs, as evidenced by cases </w:t>
      </w:r>
      <w:r>
        <w:lastRenderedPageBreak/>
        <w:t xml:space="preserve">like Oceanic Bank (Sanusi, 2009; Nwoko et al., 2022). </w:t>
      </w:r>
      <w:r>
        <w:rPr>
          <w:rStyle w:val="Strong"/>
        </w:rPr>
        <w:t>Afolabi and Afolabi (2024) add that stewardship can improve practice indices when tied to disclosure, as ethical leaders can foster a culture of compliance that supports audit-committee functions (including mediation by financial-reporting integrity) and risk mitigation.</w:t>
      </w:r>
      <w:r>
        <w:t xml:space="preserve"> Ethical leadership is critical for enforcing compliance with regulations like the CBN’s 2023 Guidelines, which mandate disclosure in loan approvals (CBN, 2024).</w:t>
      </w:r>
    </w:p>
    <w:p w14:paraId="0013D5D1" w14:textId="77777777" w:rsidR="00646B26" w:rsidRDefault="00646B26" w:rsidP="00646B26">
      <w:pPr>
        <w:pStyle w:val="Heading4"/>
        <w:spacing w:before="0" w:after="283"/>
        <w:rPr>
          <w:rFonts w:eastAsia="Times New Roman" w:cs="Times New Roman"/>
        </w:rPr>
      </w:pPr>
      <w:r>
        <w:rPr>
          <w:rFonts w:eastAsia="Times New Roman" w:cs="Times New Roman"/>
        </w:rPr>
        <w:t>2.7.2 Unqualified Leadership and Governance Failures</w:t>
      </w:r>
    </w:p>
    <w:p w14:paraId="13FE6F3F" w14:textId="77777777" w:rsidR="00646B26" w:rsidRDefault="00646B26" w:rsidP="00646B26">
      <w:r w:rsidRPr="00A35F1C">
        <w:t xml:space="preserve">Nigerian studies highlight the pervasive issue of unqualified and politically motivated management appointments, which significantly contribute to governance failures and NPLs. Nwoko et al. (2022) argue that the legacy of pre-1986 government interference in banking, where political patronage dictated executive selections, persists in the post-2004 consolidation era. This results in managers lacking financial expertise, governance training, or proven leadership experience, weakening strategic oversight and compliance. For instance, during the 2009 banking crisis, unqualified executives in banks like Intercontinental and Bank PHB failed to implement robust practice indices, leading to financial distress and high NPLs (Owolabi, 2013). </w:t>
      </w:r>
    </w:p>
    <w:p w14:paraId="22FE7FD5" w14:textId="77777777" w:rsidR="00646B26" w:rsidRDefault="00646B26" w:rsidP="00646B26">
      <w:r w:rsidRPr="00A35F1C">
        <w:t>Sanusi (2009) notes that incompetent management was a primary driver of the crisis, with politically connected appointees prioritizing personal or political interests over stakeholder welfare, exacerbating agency problems. To deepen this, Ojo and Ojo (2024) connect this to practice index deficiencies, highlighting how unqualified leaders fail to enforce internal controls, leading to fraudulent practices that inflate NPLs. The absence of robust nomination processes perpetuates this issue, as 61% of deposit money banks lack independent nomination committees, allowing concentrated ownership or political influences to dominate appointments (</w:t>
      </w:r>
      <w:proofErr w:type="spellStart"/>
      <w:r w:rsidRPr="00A35F1C">
        <w:t>Ogbechie</w:t>
      </w:r>
      <w:proofErr w:type="spellEnd"/>
      <w:r w:rsidRPr="00A35F1C">
        <w:t>, 2016).</w:t>
      </w:r>
    </w:p>
    <w:p w14:paraId="187ADB80" w14:textId="77777777" w:rsidR="00646B26" w:rsidRDefault="00646B26" w:rsidP="00646B26">
      <w:pPr>
        <w:sectPr w:rsidR="00646B26" w:rsidSect="00646B26">
          <w:pgSz w:w="12240" w:h="15840"/>
          <w:pgMar w:top="1134" w:right="1134" w:bottom="1134" w:left="1134" w:header="0" w:footer="0" w:gutter="0"/>
          <w:cols w:space="720"/>
          <w:formProt w:val="0"/>
          <w:docGrid w:linePitch="100"/>
        </w:sectPr>
      </w:pPr>
    </w:p>
    <w:tbl>
      <w:tblPr>
        <w:tblStyle w:val="GridTable1Light-Accent4"/>
        <w:tblW w:w="13139" w:type="dxa"/>
        <w:tblLayout w:type="fixed"/>
        <w:tblLook w:val="04A0" w:firstRow="1" w:lastRow="0" w:firstColumn="1" w:lastColumn="0" w:noHBand="0" w:noVBand="1"/>
      </w:tblPr>
      <w:tblGrid>
        <w:gridCol w:w="2290"/>
        <w:gridCol w:w="2764"/>
        <w:gridCol w:w="3198"/>
        <w:gridCol w:w="2638"/>
        <w:gridCol w:w="2249"/>
      </w:tblGrid>
      <w:tr w:rsidR="00646B26" w14:paraId="28568453" w14:textId="77777777" w:rsidTr="00727D26">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2290" w:type="dxa"/>
          </w:tcPr>
          <w:p w14:paraId="3C438BFD" w14:textId="77777777" w:rsidR="00646B26" w:rsidRDefault="00646B26" w:rsidP="00727D26">
            <w:pPr>
              <w:pStyle w:val="TableHeading"/>
            </w:pPr>
            <w:r>
              <w:lastRenderedPageBreak/>
              <w:t>Issue</w:t>
            </w:r>
          </w:p>
        </w:tc>
        <w:tc>
          <w:tcPr>
            <w:tcW w:w="2764" w:type="dxa"/>
          </w:tcPr>
          <w:p w14:paraId="065E39E0"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3198" w:type="dxa"/>
          </w:tcPr>
          <w:p w14:paraId="67DEF0C8"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Example</w:t>
            </w:r>
          </w:p>
        </w:tc>
        <w:tc>
          <w:tcPr>
            <w:tcW w:w="2638" w:type="dxa"/>
          </w:tcPr>
          <w:p w14:paraId="6EC8218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Indices</w:t>
            </w:r>
          </w:p>
        </w:tc>
        <w:tc>
          <w:tcPr>
            <w:tcW w:w="2249" w:type="dxa"/>
          </w:tcPr>
          <w:p w14:paraId="0EBA9E45"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1521E9A" w14:textId="77777777" w:rsidTr="00727D26">
        <w:trPr>
          <w:trHeight w:val="2046"/>
        </w:trPr>
        <w:tc>
          <w:tcPr>
            <w:cnfStyle w:val="001000000000" w:firstRow="0" w:lastRow="0" w:firstColumn="1" w:lastColumn="0" w:oddVBand="0" w:evenVBand="0" w:oddHBand="0" w:evenHBand="0" w:firstRowFirstColumn="0" w:firstRowLastColumn="0" w:lastRowFirstColumn="0" w:lastRowLastColumn="0"/>
            <w:tcW w:w="2290" w:type="dxa"/>
          </w:tcPr>
          <w:p w14:paraId="1A1F3407" w14:textId="77777777" w:rsidR="00646B26" w:rsidRDefault="00646B26" w:rsidP="00727D26">
            <w:pPr>
              <w:pStyle w:val="TableContents"/>
            </w:pPr>
            <w:r>
              <w:t>Unqualified Appointments</w:t>
            </w:r>
          </w:p>
        </w:tc>
        <w:tc>
          <w:tcPr>
            <w:tcW w:w="2764" w:type="dxa"/>
          </w:tcPr>
          <w:p w14:paraId="3A1BBC2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Managers lack financial expertise or governance training, rooted in pre-1986 patronage.</w:t>
            </w:r>
          </w:p>
        </w:tc>
        <w:tc>
          <w:tcPr>
            <w:tcW w:w="3198" w:type="dxa"/>
          </w:tcPr>
          <w:p w14:paraId="550DBBD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Intercontinental Bank’s collapse due to poor risk controls by unqualified executives.</w:t>
            </w:r>
          </w:p>
        </w:tc>
        <w:tc>
          <w:tcPr>
            <w:tcW w:w="2638" w:type="dxa"/>
          </w:tcPr>
          <w:p w14:paraId="0AEC369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Weakens practice and risk management, increasing NPLs.</w:t>
            </w:r>
          </w:p>
        </w:tc>
        <w:tc>
          <w:tcPr>
            <w:tcW w:w="2249" w:type="dxa"/>
          </w:tcPr>
          <w:p w14:paraId="22F738F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 Owolabi (2013)</w:t>
            </w:r>
          </w:p>
        </w:tc>
      </w:tr>
      <w:tr w:rsidR="00646B26" w14:paraId="2BD432E4" w14:textId="77777777" w:rsidTr="00727D26">
        <w:trPr>
          <w:trHeight w:val="1645"/>
        </w:trPr>
        <w:tc>
          <w:tcPr>
            <w:cnfStyle w:val="001000000000" w:firstRow="0" w:lastRow="0" w:firstColumn="1" w:lastColumn="0" w:oddVBand="0" w:evenVBand="0" w:oddHBand="0" w:evenHBand="0" w:firstRowFirstColumn="0" w:firstRowLastColumn="0" w:lastRowFirstColumn="0" w:lastRowLastColumn="0"/>
            <w:tcW w:w="2290" w:type="dxa"/>
          </w:tcPr>
          <w:p w14:paraId="466CA182" w14:textId="77777777" w:rsidR="00646B26" w:rsidRDefault="00646B26" w:rsidP="00727D26">
            <w:pPr>
              <w:pStyle w:val="TableContents"/>
            </w:pPr>
            <w:r>
              <w:t>Political Patronage</w:t>
            </w:r>
          </w:p>
        </w:tc>
        <w:tc>
          <w:tcPr>
            <w:tcW w:w="2764" w:type="dxa"/>
          </w:tcPr>
          <w:p w14:paraId="507CCE7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Executives selected for political loyalty over competence.</w:t>
            </w:r>
          </w:p>
        </w:tc>
        <w:tc>
          <w:tcPr>
            <w:tcW w:w="3198" w:type="dxa"/>
          </w:tcPr>
          <w:p w14:paraId="5F09B98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 PHB’s mismanagement driven by politically connected leaders.</w:t>
            </w:r>
          </w:p>
        </w:tc>
        <w:tc>
          <w:tcPr>
            <w:tcW w:w="2638" w:type="dxa"/>
          </w:tcPr>
          <w:p w14:paraId="131EFAB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Erodes compliance and disclosure, compromising audit oversight.</w:t>
            </w:r>
          </w:p>
        </w:tc>
        <w:tc>
          <w:tcPr>
            <w:tcW w:w="2249" w:type="dxa"/>
          </w:tcPr>
          <w:p w14:paraId="2683DD7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Sanusi (2009), </w:t>
            </w:r>
            <w:proofErr w:type="spellStart"/>
            <w:r>
              <w:t>Chinweoda</w:t>
            </w:r>
            <w:proofErr w:type="spellEnd"/>
            <w:r>
              <w:t xml:space="preserve"> et al. (2020)</w:t>
            </w:r>
          </w:p>
        </w:tc>
      </w:tr>
      <w:tr w:rsidR="00646B26" w14:paraId="51101B40" w14:textId="77777777" w:rsidTr="00727D26">
        <w:trPr>
          <w:trHeight w:val="2046"/>
        </w:trPr>
        <w:tc>
          <w:tcPr>
            <w:cnfStyle w:val="001000000000" w:firstRow="0" w:lastRow="0" w:firstColumn="1" w:lastColumn="0" w:oddVBand="0" w:evenVBand="0" w:oddHBand="0" w:evenHBand="0" w:firstRowFirstColumn="0" w:firstRowLastColumn="0" w:lastRowFirstColumn="0" w:lastRowLastColumn="0"/>
            <w:tcW w:w="2290" w:type="dxa"/>
          </w:tcPr>
          <w:p w14:paraId="06B116B2" w14:textId="77777777" w:rsidR="00646B26" w:rsidRDefault="00646B26" w:rsidP="00727D26">
            <w:pPr>
              <w:pStyle w:val="TableContents"/>
            </w:pPr>
            <w:r>
              <w:t>Lack of Nomination Committees</w:t>
            </w:r>
          </w:p>
        </w:tc>
        <w:tc>
          <w:tcPr>
            <w:tcW w:w="2764" w:type="dxa"/>
          </w:tcPr>
          <w:p w14:paraId="52C0512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61% of banks lack independent committees for merit-based selection.</w:t>
            </w:r>
          </w:p>
        </w:tc>
        <w:tc>
          <w:tcPr>
            <w:tcW w:w="3198" w:type="dxa"/>
          </w:tcPr>
          <w:p w14:paraId="36F7132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CEO appointed via family influence, enabling insider lending.</w:t>
            </w:r>
          </w:p>
        </w:tc>
        <w:tc>
          <w:tcPr>
            <w:tcW w:w="2638" w:type="dxa"/>
          </w:tcPr>
          <w:p w14:paraId="3FA57C0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compliance, affects practice and risk management.</w:t>
            </w:r>
          </w:p>
        </w:tc>
        <w:tc>
          <w:tcPr>
            <w:tcW w:w="2249" w:type="dxa"/>
          </w:tcPr>
          <w:p w14:paraId="4A94FF3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 Sanusi (2009)</w:t>
            </w:r>
          </w:p>
        </w:tc>
      </w:tr>
      <w:tr w:rsidR="00646B26" w14:paraId="78D9576D" w14:textId="77777777" w:rsidTr="00727D26">
        <w:trPr>
          <w:trHeight w:val="1645"/>
        </w:trPr>
        <w:tc>
          <w:tcPr>
            <w:cnfStyle w:val="001000000000" w:firstRow="0" w:lastRow="0" w:firstColumn="1" w:lastColumn="0" w:oddVBand="0" w:evenVBand="0" w:oddHBand="0" w:evenHBand="0" w:firstRowFirstColumn="0" w:firstRowLastColumn="0" w:lastRowFirstColumn="0" w:lastRowLastColumn="0"/>
            <w:tcW w:w="2290" w:type="dxa"/>
          </w:tcPr>
          <w:p w14:paraId="71F25584" w14:textId="77777777" w:rsidR="00646B26" w:rsidRDefault="00646B26" w:rsidP="00727D26">
            <w:pPr>
              <w:pStyle w:val="TableContents"/>
            </w:pPr>
            <w:r>
              <w:t>Weak Ethical Standards</w:t>
            </w:r>
          </w:p>
        </w:tc>
        <w:tc>
          <w:tcPr>
            <w:tcW w:w="2764" w:type="dxa"/>
          </w:tcPr>
          <w:p w14:paraId="78C79F0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Unqualified leaders prioritize personal interests, enabling fraud.</w:t>
            </w:r>
          </w:p>
        </w:tc>
        <w:tc>
          <w:tcPr>
            <w:tcW w:w="3198" w:type="dxa"/>
          </w:tcPr>
          <w:p w14:paraId="1D2D26A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CEO awarded contracts to family shell companies.</w:t>
            </w:r>
          </w:p>
        </w:tc>
        <w:tc>
          <w:tcPr>
            <w:tcW w:w="2638" w:type="dxa"/>
          </w:tcPr>
          <w:p w14:paraId="68310E1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disclosure, exacerbates practice failures.</w:t>
            </w:r>
          </w:p>
        </w:tc>
        <w:tc>
          <w:tcPr>
            <w:tcW w:w="2249" w:type="dxa"/>
          </w:tcPr>
          <w:p w14:paraId="3CF75DE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Sanusi (2009), Ojo &amp; Ojo (2024)</w:t>
            </w:r>
          </w:p>
        </w:tc>
      </w:tr>
    </w:tbl>
    <w:p w14:paraId="44FBF6DF" w14:textId="77777777" w:rsidR="00646B26" w:rsidRDefault="00646B26" w:rsidP="00646B26">
      <w:pPr>
        <w:pStyle w:val="BodyText"/>
        <w:spacing w:line="480" w:lineRule="auto"/>
      </w:pPr>
      <w:r>
        <w:t>Note: Adapted from Nwoko et al. (2022), Sanusi (2009), and Afolabi and Afolabi (2024). Impacts highlight ties to disclosure, practice, compliance, and audit committee independence.</w:t>
      </w:r>
    </w:p>
    <w:p w14:paraId="113A8FAC" w14:textId="77777777" w:rsidR="00646B26" w:rsidRDefault="00646B26" w:rsidP="00646B26">
      <w:pPr>
        <w:sectPr w:rsidR="00646B26" w:rsidSect="00646B26">
          <w:pgSz w:w="15840" w:h="12240" w:orient="landscape"/>
          <w:pgMar w:top="1134" w:right="1134" w:bottom="1134" w:left="1134" w:header="0" w:footer="0" w:gutter="0"/>
          <w:cols w:space="720"/>
          <w:formProt w:val="0"/>
          <w:docGrid w:linePitch="326"/>
        </w:sectPr>
      </w:pPr>
    </w:p>
    <w:p w14:paraId="0EA677FA" w14:textId="77777777" w:rsidR="00646B26" w:rsidRPr="00A35F1C" w:rsidRDefault="00646B26" w:rsidP="00646B26"/>
    <w:p w14:paraId="23557808" w14:textId="77777777" w:rsidR="00646B26" w:rsidRDefault="00646B26" w:rsidP="00646B26">
      <w:pPr>
        <w:pStyle w:val="Heading4"/>
        <w:spacing w:before="0" w:after="283"/>
        <w:rPr>
          <w:rFonts w:eastAsia="Times New Roman" w:cs="Times New Roman"/>
        </w:rPr>
      </w:pPr>
      <w:r>
        <w:rPr>
          <w:rFonts w:eastAsia="Times New Roman" w:cs="Times New Roman"/>
        </w:rPr>
        <w:t>2.7.3 Case Study: Oceanic Bank Collapse</w:t>
      </w:r>
    </w:p>
    <w:p w14:paraId="20EA85F4" w14:textId="77777777" w:rsidR="00646B26" w:rsidRDefault="00646B26" w:rsidP="00646B26">
      <w:pPr>
        <w:pStyle w:val="BodyText"/>
        <w:spacing w:line="480" w:lineRule="auto"/>
      </w:pPr>
      <w:r>
        <w:t xml:space="preserve">The collapse of Oceanic Bank in 2009 exemplifies how unqualified and unethical leadership drives NPLs and systemic risk. Sanusi (2009) reports that the bank’s leadership, including CEO Mrs. Ibru and board member Mr. Oboden Ibru, lacked the management qualifications and independence to challenge insider lending practices, with 75% of NPLs tied to enterprises controlled by the Ibru family. The CEO’s unethical decision-making, including awarding procurement contracts to family-owned shell companies, violated corporate governance principles, reflecting a failure of stewardship (Donaldson &amp; Davis, 1991). Upper echelons theory explains this outcome, as the unqualified leadership’s poor strategic choices and risk oversight led to catastrophic financial distress (Hambrick &amp; Mason, 1984). The absence of robust nomination processes allowed politically connected and family-based appointments to dominate, undermining compliance and contributing to the bank’s collapse, which required a $3.9 billion CBN intervention (Sanusi, 2009). This case underscores the link between unqualified leadership and NPLs, highlighting the need for merit-based appointments to mitigate default risk. </w:t>
      </w:r>
      <w:r>
        <w:rPr>
          <w:rStyle w:val="Strong"/>
        </w:rPr>
        <w:t>Recent studies by Ojo and Ojo (2024) show similar patterns in current practice indices, with unqualified leaders continuing to weaken audit-committee independence (including mediation by financial-reporting integrity) and disclosure.</w:t>
      </w:r>
    </w:p>
    <w:p w14:paraId="60219A36" w14:textId="77777777" w:rsidR="00646B26" w:rsidRDefault="00646B26" w:rsidP="00646B26">
      <w:pPr>
        <w:pStyle w:val="Heading4"/>
        <w:spacing w:before="0" w:after="283"/>
        <w:rPr>
          <w:rFonts w:eastAsia="Times New Roman" w:cs="Times New Roman"/>
        </w:rPr>
      </w:pPr>
      <w:r>
        <w:rPr>
          <w:rFonts w:eastAsia="Times New Roman" w:cs="Times New Roman"/>
        </w:rPr>
        <w:t>2.7.4 Reforms to Enhance Management Qualifications</w:t>
      </w:r>
    </w:p>
    <w:p w14:paraId="0425E8C8" w14:textId="77777777" w:rsidR="00646B26" w:rsidRDefault="00646B26" w:rsidP="00646B26">
      <w:pPr>
        <w:pStyle w:val="BodyText"/>
        <w:spacing w:line="480" w:lineRule="auto"/>
        <w:rPr>
          <w:rStyle w:val="Strong"/>
        </w:rPr>
        <w:sectPr w:rsidR="00646B26" w:rsidSect="00646B26">
          <w:pgSz w:w="12240" w:h="15840"/>
          <w:pgMar w:top="1134" w:right="1134" w:bottom="1134" w:left="1134" w:header="0" w:footer="0" w:gutter="0"/>
          <w:cols w:space="720"/>
          <w:formProt w:val="0"/>
          <w:docGrid w:linePitch="100"/>
        </w:sectPr>
      </w:pPr>
      <w:r>
        <w:t xml:space="preserve">Qualified and ethical management is essential for reducing NPLs through effective practice indices and transparent decision-making. Upper echelons theory suggests that executives with financial expertise can implement strategic controls to curb risky lending, while stewardship theory emphasizes ethical leadership to align with stakeholder interests (Hambrick &amp; Mason, 1984; Donaldson &amp; Davis, 1991). In </w:t>
      </w:r>
      <w:r>
        <w:lastRenderedPageBreak/>
        <w:t xml:space="preserve">Nigeria, unqualified, politically motivated appointments, as seen in Oceanic Bank, have driven NPLs by enabling insider abuses and weak oversight (Sanusi, 2009). Nigerian studies advocate for reforms like mandatory independent nomination committees and stringent qualification criteria—such as financial expertise and governance certifications—to ensure competent leadership (Nwoko et al., 2022; Ogbechie, 2016). These align with global standards, such as the OECD Principles (2023), which emphasize merit-based appointments to enhance governance. Such reforms could reduce NPLs by fostering ethical decision-making and robust practice indices, addressing research objective OB3 and hypothesis H3, which link management qualifications to NPL reduction. </w:t>
      </w:r>
      <w:r>
        <w:rPr>
          <w:rStyle w:val="Strong"/>
        </w:rPr>
        <w:t>The contrast with cases like Oceanic Bank highlights the urgency of context-specific reforms to strengthen management qualifications in Nigeria’s deposit money banking sector. To expand, Afolabi and Afolabi (2024) link this to audit-committee independence (including its mediation by financial-reporting integrity) and disclosure, noting that qualified managers enhance audit-committee effectiveness by supporting rigorous financial oversight.</w:t>
      </w:r>
    </w:p>
    <w:tbl>
      <w:tblPr>
        <w:tblStyle w:val="GridTable1Light-Accent4"/>
        <w:tblW w:w="13528" w:type="dxa"/>
        <w:tblLayout w:type="fixed"/>
        <w:tblLook w:val="04A0" w:firstRow="1" w:lastRow="0" w:firstColumn="1" w:lastColumn="0" w:noHBand="0" w:noVBand="1"/>
      </w:tblPr>
      <w:tblGrid>
        <w:gridCol w:w="2412"/>
        <w:gridCol w:w="3002"/>
        <w:gridCol w:w="3293"/>
        <w:gridCol w:w="2972"/>
        <w:gridCol w:w="1849"/>
      </w:tblGrid>
      <w:tr w:rsidR="00646B26" w14:paraId="66DF99A3" w14:textId="77777777" w:rsidTr="00727D2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412" w:type="dxa"/>
          </w:tcPr>
          <w:p w14:paraId="3D5FE7FE" w14:textId="77777777" w:rsidR="00646B26" w:rsidRDefault="00646B26" w:rsidP="00727D26">
            <w:pPr>
              <w:pStyle w:val="TableHeading"/>
            </w:pPr>
            <w:r>
              <w:lastRenderedPageBreak/>
              <w:t>Reform</w:t>
            </w:r>
          </w:p>
        </w:tc>
        <w:tc>
          <w:tcPr>
            <w:tcW w:w="3002" w:type="dxa"/>
          </w:tcPr>
          <w:p w14:paraId="2353E2FA"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3293" w:type="dxa"/>
          </w:tcPr>
          <w:p w14:paraId="64375348"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Expected Impact</w:t>
            </w:r>
          </w:p>
        </w:tc>
        <w:tc>
          <w:tcPr>
            <w:tcW w:w="2972" w:type="dxa"/>
          </w:tcPr>
          <w:p w14:paraId="3982CF6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Global Benchmark</w:t>
            </w:r>
          </w:p>
        </w:tc>
        <w:tc>
          <w:tcPr>
            <w:tcW w:w="1849" w:type="dxa"/>
          </w:tcPr>
          <w:p w14:paraId="6A5C02AD"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916052B" w14:textId="77777777" w:rsidTr="00727D26">
        <w:trPr>
          <w:trHeight w:val="2305"/>
        </w:trPr>
        <w:tc>
          <w:tcPr>
            <w:cnfStyle w:val="001000000000" w:firstRow="0" w:lastRow="0" w:firstColumn="1" w:lastColumn="0" w:oddVBand="0" w:evenVBand="0" w:oddHBand="0" w:evenHBand="0" w:firstRowFirstColumn="0" w:firstRowLastColumn="0" w:lastRowFirstColumn="0" w:lastRowLastColumn="0"/>
            <w:tcW w:w="2412" w:type="dxa"/>
          </w:tcPr>
          <w:p w14:paraId="2B15E68C" w14:textId="77777777" w:rsidR="00646B26" w:rsidRDefault="00646B26" w:rsidP="00727D26">
            <w:pPr>
              <w:pStyle w:val="TableContents"/>
            </w:pPr>
            <w:r>
              <w:t>Mandatory Qualification Criteria</w:t>
            </w:r>
          </w:p>
        </w:tc>
        <w:tc>
          <w:tcPr>
            <w:tcW w:w="3002" w:type="dxa"/>
          </w:tcPr>
          <w:p w14:paraId="023A44A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Require financial expertise and governance certifications for executives.</w:t>
            </w:r>
          </w:p>
        </w:tc>
        <w:tc>
          <w:tcPr>
            <w:tcW w:w="3293" w:type="dxa"/>
          </w:tcPr>
          <w:p w14:paraId="1068929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Enhances strategic oversight, reduces NPLs via prudent lending.</w:t>
            </w:r>
          </w:p>
        </w:tc>
        <w:tc>
          <w:tcPr>
            <w:tcW w:w="2972" w:type="dxa"/>
          </w:tcPr>
          <w:p w14:paraId="16CB544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EU’s CRD IV: Executive competency mandates (EU, 2013).</w:t>
            </w:r>
          </w:p>
        </w:tc>
        <w:tc>
          <w:tcPr>
            <w:tcW w:w="1849" w:type="dxa"/>
          </w:tcPr>
          <w:p w14:paraId="116C76C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w:t>
            </w:r>
          </w:p>
        </w:tc>
      </w:tr>
      <w:tr w:rsidR="00646B26" w14:paraId="5DEE830E" w14:textId="77777777" w:rsidTr="00727D26">
        <w:trPr>
          <w:trHeight w:val="1835"/>
        </w:trPr>
        <w:tc>
          <w:tcPr>
            <w:cnfStyle w:val="001000000000" w:firstRow="0" w:lastRow="0" w:firstColumn="1" w:lastColumn="0" w:oddVBand="0" w:evenVBand="0" w:oddHBand="0" w:evenHBand="0" w:firstRowFirstColumn="0" w:firstRowLastColumn="0" w:lastRowFirstColumn="0" w:lastRowLastColumn="0"/>
            <w:tcW w:w="2412" w:type="dxa"/>
          </w:tcPr>
          <w:p w14:paraId="2CD0F7AC" w14:textId="77777777" w:rsidR="00646B26" w:rsidRDefault="00646B26" w:rsidP="00727D26">
            <w:pPr>
              <w:pStyle w:val="TableContents"/>
            </w:pPr>
            <w:r>
              <w:t>Independent Nomination Committees</w:t>
            </w:r>
          </w:p>
        </w:tc>
        <w:tc>
          <w:tcPr>
            <w:tcW w:w="3002" w:type="dxa"/>
          </w:tcPr>
          <w:p w14:paraId="67BA4C0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committees for merit-based executive selection.</w:t>
            </w:r>
          </w:p>
        </w:tc>
        <w:tc>
          <w:tcPr>
            <w:tcW w:w="3293" w:type="dxa"/>
          </w:tcPr>
          <w:p w14:paraId="7103EB3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political patronage, improves compliance.</w:t>
            </w:r>
          </w:p>
        </w:tc>
        <w:tc>
          <w:tcPr>
            <w:tcW w:w="2972" w:type="dxa"/>
          </w:tcPr>
          <w:p w14:paraId="3E63265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OECD Principles: Merit-based appointments (OECD, 2023).</w:t>
            </w:r>
          </w:p>
        </w:tc>
        <w:tc>
          <w:tcPr>
            <w:tcW w:w="1849" w:type="dxa"/>
          </w:tcPr>
          <w:p w14:paraId="7CC2F2E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w:t>
            </w:r>
          </w:p>
        </w:tc>
      </w:tr>
      <w:tr w:rsidR="00646B26" w14:paraId="692F488C" w14:textId="77777777" w:rsidTr="00727D26">
        <w:trPr>
          <w:trHeight w:val="1364"/>
        </w:trPr>
        <w:tc>
          <w:tcPr>
            <w:cnfStyle w:val="001000000000" w:firstRow="0" w:lastRow="0" w:firstColumn="1" w:lastColumn="0" w:oddVBand="0" w:evenVBand="0" w:oddHBand="0" w:evenHBand="0" w:firstRowFirstColumn="0" w:firstRowLastColumn="0" w:lastRowFirstColumn="0" w:lastRowLastColumn="0"/>
            <w:tcW w:w="2412" w:type="dxa"/>
          </w:tcPr>
          <w:p w14:paraId="22268DD3" w14:textId="77777777" w:rsidR="00646B26" w:rsidRDefault="00646B26" w:rsidP="00727D26">
            <w:pPr>
              <w:pStyle w:val="TableContents"/>
            </w:pPr>
            <w:r>
              <w:t>Ethical Training Programs</w:t>
            </w:r>
          </w:p>
        </w:tc>
        <w:tc>
          <w:tcPr>
            <w:tcW w:w="3002" w:type="dxa"/>
          </w:tcPr>
          <w:p w14:paraId="3C1B940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Implement mandatory ethics and governance training.</w:t>
            </w:r>
          </w:p>
        </w:tc>
        <w:tc>
          <w:tcPr>
            <w:tcW w:w="3293" w:type="dxa"/>
          </w:tcPr>
          <w:p w14:paraId="090B534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Fosters stewardship, enhances disclosure in practice indices.</w:t>
            </w:r>
          </w:p>
        </w:tc>
        <w:tc>
          <w:tcPr>
            <w:tcW w:w="2972" w:type="dxa"/>
          </w:tcPr>
          <w:p w14:paraId="12865FC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Singapore’s CG Code: Ethical leadership training (MAS, 2021).</w:t>
            </w:r>
          </w:p>
        </w:tc>
        <w:tc>
          <w:tcPr>
            <w:tcW w:w="1849" w:type="dxa"/>
          </w:tcPr>
          <w:p w14:paraId="4815036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Afolabi &amp; Afolabi (2024)</w:t>
            </w:r>
          </w:p>
        </w:tc>
      </w:tr>
      <w:tr w:rsidR="00646B26" w14:paraId="14760E1B" w14:textId="77777777" w:rsidTr="00727D26">
        <w:trPr>
          <w:trHeight w:val="1835"/>
        </w:trPr>
        <w:tc>
          <w:tcPr>
            <w:cnfStyle w:val="001000000000" w:firstRow="0" w:lastRow="0" w:firstColumn="1" w:lastColumn="0" w:oddVBand="0" w:evenVBand="0" w:oddHBand="0" w:evenHBand="0" w:firstRowFirstColumn="0" w:firstRowLastColumn="0" w:lastRowFirstColumn="0" w:lastRowLastColumn="0"/>
            <w:tcW w:w="2412" w:type="dxa"/>
          </w:tcPr>
          <w:p w14:paraId="55FF186C" w14:textId="77777777" w:rsidR="00646B26" w:rsidRDefault="00646B26" w:rsidP="00727D26">
            <w:pPr>
              <w:pStyle w:val="TableContents"/>
            </w:pPr>
            <w:r>
              <w:t>Enhanced CBN Oversight</w:t>
            </w:r>
          </w:p>
        </w:tc>
        <w:tc>
          <w:tcPr>
            <w:tcW w:w="3002" w:type="dxa"/>
          </w:tcPr>
          <w:p w14:paraId="3658C0D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Empower CBN to vet and sanction unqualified appointees.</w:t>
            </w:r>
          </w:p>
        </w:tc>
        <w:tc>
          <w:tcPr>
            <w:tcW w:w="3293" w:type="dxa"/>
          </w:tcPr>
          <w:p w14:paraId="05EB27F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Strengthens risk management, supports audit committee independence.</w:t>
            </w:r>
          </w:p>
        </w:tc>
        <w:tc>
          <w:tcPr>
            <w:tcW w:w="2972" w:type="dxa"/>
          </w:tcPr>
          <w:p w14:paraId="2968EE1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Regulatory oversight of leadership (BCBS, 2010).</w:t>
            </w:r>
          </w:p>
        </w:tc>
        <w:tc>
          <w:tcPr>
            <w:tcW w:w="1849" w:type="dxa"/>
          </w:tcPr>
          <w:p w14:paraId="3983E85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Ojo &amp; Ojo (2024)</w:t>
            </w:r>
          </w:p>
        </w:tc>
      </w:tr>
    </w:tbl>
    <w:p w14:paraId="1007DEE1" w14:textId="77777777" w:rsidR="00646B26" w:rsidRDefault="00646B26" w:rsidP="00646B26">
      <w:pPr>
        <w:pStyle w:val="BodyText"/>
        <w:spacing w:line="480" w:lineRule="auto"/>
      </w:pPr>
      <w:r>
        <w:t>Note: Adapted from Nwoko et al. (2022), Ogbechie (2016), and Afolabi and Afolabi (2024). Reforms address disclosure, practice, compliance, and audit committee independence.</w:t>
      </w:r>
    </w:p>
    <w:p w14:paraId="18FE12A4" w14:textId="77777777" w:rsidR="00646B26" w:rsidRDefault="00646B26" w:rsidP="00646B26">
      <w:pPr>
        <w:pStyle w:val="BodyText"/>
        <w:spacing w:line="480" w:lineRule="auto"/>
        <w:sectPr w:rsidR="00646B26" w:rsidSect="00646B26">
          <w:pgSz w:w="15840" w:h="12240" w:orient="landscape"/>
          <w:pgMar w:top="1134" w:right="1134" w:bottom="1134" w:left="1134" w:header="0" w:footer="0" w:gutter="0"/>
          <w:cols w:space="720"/>
          <w:formProt w:val="0"/>
          <w:docGrid w:linePitch="326"/>
        </w:sectPr>
      </w:pPr>
    </w:p>
    <w:p w14:paraId="661DDA31" w14:textId="77777777" w:rsidR="00646B26" w:rsidRDefault="00646B26" w:rsidP="00646B26">
      <w:pPr>
        <w:pStyle w:val="Heading4"/>
        <w:spacing w:before="0" w:after="283"/>
        <w:rPr>
          <w:rFonts w:eastAsia="Times New Roman" w:cs="Times New Roman"/>
        </w:rPr>
      </w:pPr>
      <w:r>
        <w:rPr>
          <w:rFonts w:eastAsia="Times New Roman" w:cs="Times New Roman"/>
        </w:rPr>
        <w:lastRenderedPageBreak/>
        <w:t>2.7.5 Ties to Corporate Governance Indices</w:t>
      </w:r>
    </w:p>
    <w:p w14:paraId="224887FB" w14:textId="77777777" w:rsidR="00646B26" w:rsidRPr="00A35F1C" w:rsidRDefault="00646B26" w:rsidP="00646B26">
      <w:r w:rsidRPr="00A35F1C">
        <w:t>Unqualified leadership in Nigeria’s deposit money banking sector undermines the core indices of disclosure, practice, and compliance. Political patronage and weak ethical standards erode disclosure by enabling financial misreporting, as seen in Oceanic Bank’s insider lending (Sanusi, 2009). Compliance is compromised by unqualified executives who prioritize personal interests, weakening stakeholder trust (Nwoko et al., 2022). Practice indices suffer from poor strategic decisions, leading to risky lending and systemic instability (Owolabi, 2013). Risk management is undermined by the lack of management qualifications, contributing to NPL spikes (Adegboye, 2020). Audit-committee independence is weakened by unqualified leadership’s failure to support rigorous oversight, as noted by Ojo and Ojo (2024), particularly where financial-reporting integrity does not effectively mediate the pathway to NPL reduction. These interconnected failures highlight the need for reforms to restore competent and ethical management.</w:t>
      </w:r>
    </w:p>
    <w:p w14:paraId="53957D87" w14:textId="77777777" w:rsidR="00646B26" w:rsidRPr="00A35F1C" w:rsidRDefault="00646B26" w:rsidP="00646B26">
      <w:r w:rsidRPr="00A35F1C">
        <w:t>Management qualifications and ethical decision-making are critical for effective governance and NPL reduction in Nigeria’s deposit money banking sector, yet unqualified, politically motivated appointments undermine these, driving default risk (Nwoko et al., 2022; Sanusi, 2009). Upper echelons and stewardship theories underscore the importance of expertise and ethical leadership in shaping organizational outcomes, but Nigeria’s deposit money banking sector falls short, as exemplified by Oceanic Bank’s collapse, where poor leadership drove 75% of NPLs. Recent contributions by Ojo and Ojo (2024) emphasize how management qualifications tie to practice indices and audit-committee independence (including its mediation by financial-reporting integrity), reinforcing disclosure and compliance.</w:t>
      </w:r>
    </w:p>
    <w:p w14:paraId="28FD799D" w14:textId="77777777" w:rsidR="00646B26" w:rsidRDefault="00646B26" w:rsidP="00646B26">
      <w:pPr>
        <w:pStyle w:val="Heading2"/>
        <w:rPr>
          <w:rFonts w:eastAsia="Times New Roman"/>
        </w:rPr>
      </w:pPr>
      <w:bookmarkStart w:id="78" w:name="_Toc211278882"/>
      <w:r>
        <w:rPr>
          <w:rFonts w:eastAsia="Times New Roman"/>
        </w:rPr>
        <w:lastRenderedPageBreak/>
        <w:t>2.8 Risk Management Failures and Fraud Concealment</w:t>
      </w:r>
      <w:bookmarkEnd w:id="78"/>
    </w:p>
    <w:p w14:paraId="1F2F4026" w14:textId="77777777" w:rsidR="00646B26" w:rsidRDefault="00646B26" w:rsidP="00646B26">
      <w:pPr>
        <w:pStyle w:val="BodyText"/>
        <w:spacing w:line="480" w:lineRule="auto"/>
      </w:pPr>
      <w:r>
        <w:t xml:space="preserve">Effective practice indices and robust whistleblowing mechanisms are critical components of corporate governance in Nigeria’s deposit money banking sector, essential for mitigating default risk and ensuring financial stability. However, systemic deficiencies in practice indices and weak whistleblowing frameworks have significantly contributed to elevated non-performing loan (NPL) ratios, peaking at 37% in 2009 and 20% in 2017 against the Central Bank of Nigeria’s (CBN) 5% threshold, and have fueled systemic instability, with 425 bank failures recorded since 1988 (Nwosu, 2020; Adegboye, 2020; Udo, 2020). These failures, often linked to fraud concealment and lax risk controls, undermine stakeholder trust and exacerbate financial distress, as vividly demonstrated in the 2009 banking crisis (Sanusi, 2009). </w:t>
      </w:r>
    </w:p>
    <w:p w14:paraId="72BCA98C" w14:textId="77777777" w:rsidR="00646B26" w:rsidRPr="00A35F1C" w:rsidRDefault="00646B26" w:rsidP="00646B26">
      <w:r w:rsidRPr="00A35F1C">
        <w:t>This section reviews Nigerian literature on practice index deficiencies and weak whistleblowing mechanisms, compares these to global standards like Basel III and EU whistleblowing frameworks, and links them to default risk and systemic instability, aligning with the research’s objectives to address governance failures driving NPLs. To expand, Afolabi and Afolabi (2024) connect risk failures to audit-committee independence (including its mediation by financial-reporting integrity) and practice indices, emphasizing their impact on disclosure and compliance.</w:t>
      </w:r>
    </w:p>
    <w:p w14:paraId="4AC16575" w14:textId="77777777" w:rsidR="00646B26" w:rsidRDefault="00646B26" w:rsidP="00646B26">
      <w:pPr>
        <w:pStyle w:val="Heading3"/>
        <w:rPr>
          <w:rFonts w:eastAsia="Times New Roman"/>
        </w:rPr>
      </w:pPr>
      <w:bookmarkStart w:id="79" w:name="_Toc211278883"/>
      <w:r>
        <w:rPr>
          <w:rFonts w:eastAsia="Times New Roman"/>
        </w:rPr>
        <w:t>2.8.1 Risk Management Deficiencies in Nigeria</w:t>
      </w:r>
      <w:bookmarkEnd w:id="79"/>
    </w:p>
    <w:p w14:paraId="785E0E3F" w14:textId="77777777" w:rsidR="00646B26" w:rsidRDefault="00646B26" w:rsidP="00646B26">
      <w:r w:rsidRPr="00A35F1C">
        <w:t xml:space="preserve">Nigerian studies highlight pervasive practice index failures as key contributors to high NPLs and governance breakdowns in the deposit money banking sector. Adegboye (2020) notes that practice deficiencies, characterized by lax lending practices and inadequate credit assessment, led to NPLs reaching 20% in 2017, far exceeding the CBN’s 5% threshold. These failures reflect weak internal controls, with deposit money banks like Intercontinental Bank extending credit without proper due diligence, resulting in financial distress (Owolabi, 2013). The absence of robust risk assessment </w:t>
      </w:r>
      <w:r w:rsidRPr="00A35F1C">
        <w:lastRenderedPageBreak/>
        <w:t xml:space="preserve">frameworks, such as stress testing or portfolio monitoring, allows banks to approve high-risk loans, exacerbating default risk (Adegboye, 2020). For instance, during the 2009 crisis, banks like Oceanic Bank exhibited poor practice indices, with insider loans constituting 75% of NPLs, driven by inadequate oversight (Sanusi, 2009). </w:t>
      </w:r>
    </w:p>
    <w:p w14:paraId="4B55716F" w14:textId="77777777" w:rsidR="00646B26" w:rsidRPr="00A35F1C" w:rsidRDefault="00646B26" w:rsidP="00646B26">
      <w:r w:rsidRPr="00A35F1C">
        <w:t>Afolabi and Afolabi (2024) expand this by linking weak practice indices to audit-committee independence failures (including mediation by financial-reporting integrity), noting that ineffective oversight prevents accurate loan classification, undermining disclosure and compliance.</w:t>
      </w:r>
    </w:p>
    <w:p w14:paraId="27ED9467" w14:textId="77777777" w:rsidR="00646B26" w:rsidRDefault="00646B26" w:rsidP="00646B26">
      <w:pPr>
        <w:pStyle w:val="BodyText"/>
        <w:spacing w:line="480" w:lineRule="auto"/>
      </w:pPr>
      <w:r>
        <w:t xml:space="preserve">Nigerian deposit money banks’ practice indices are further undermined by unqualified management and board inefficiencies, often rooted in politically motivated appointments (Nwoko et al., 2022). The absence of independent risk committees, which are mandated by global standards like Basel III, exacerbates this issue, as seen in banks like Bank PHB, where weak controls fueled systemic risks (Owolabi, 2013). Concentrated ownership structures, prevalent in Nigeria, allow managers to prioritize short-term gains over long-term stability, leading to poor loan portfolio quality (Adegboye, 2020). </w:t>
      </w:r>
    </w:p>
    <w:p w14:paraId="60630E87" w14:textId="77777777" w:rsidR="00646B26" w:rsidRDefault="00646B26" w:rsidP="00646B26">
      <w:r w:rsidRPr="00A35F1C">
        <w:t>Regulatory multiplicity, with conflicting requirements from CAMA 2020, NCCG 2018, and CBN Guidelines 2023, further complicates practice indices by enabling selective compliance, which undermines disclosure and contributes to NPL-driven default risk (Abdulmalik &amp; Ahmad, 2020). Ojo and Ojo (2024) emphasize that these deficiencies directly impact practice indices, as weak risk frameworks fail to integrate with audit-committee functions (including mediation by financial-reporting integrity), eroding disclosure.</w:t>
      </w:r>
    </w:p>
    <w:p w14:paraId="53314C73" w14:textId="77777777" w:rsidR="00646B26" w:rsidRDefault="00646B26" w:rsidP="00646B26">
      <w:pPr>
        <w:sectPr w:rsidR="00646B26" w:rsidSect="00646B26">
          <w:pgSz w:w="12240" w:h="15840"/>
          <w:pgMar w:top="1134" w:right="1134" w:bottom="1134" w:left="1134" w:header="0" w:footer="0" w:gutter="0"/>
          <w:cols w:space="720"/>
          <w:formProt w:val="0"/>
          <w:docGrid w:linePitch="100"/>
        </w:sectPr>
      </w:pPr>
    </w:p>
    <w:tbl>
      <w:tblPr>
        <w:tblStyle w:val="GridTable1Light-Accent4"/>
        <w:tblW w:w="13464" w:type="dxa"/>
        <w:tblLayout w:type="fixed"/>
        <w:tblLook w:val="04A0" w:firstRow="1" w:lastRow="0" w:firstColumn="1" w:lastColumn="0" w:noHBand="0" w:noVBand="1"/>
      </w:tblPr>
      <w:tblGrid>
        <w:gridCol w:w="2273"/>
        <w:gridCol w:w="2756"/>
        <w:gridCol w:w="3072"/>
        <w:gridCol w:w="2988"/>
        <w:gridCol w:w="2375"/>
      </w:tblGrid>
      <w:tr w:rsidR="00646B26" w14:paraId="02321D84" w14:textId="77777777" w:rsidTr="00727D26">
        <w:trPr>
          <w:cnfStyle w:val="100000000000" w:firstRow="1" w:lastRow="0" w:firstColumn="0" w:lastColumn="0" w:oddVBand="0" w:evenVBand="0" w:oddHBand="0"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2273" w:type="dxa"/>
          </w:tcPr>
          <w:p w14:paraId="254EB7D6" w14:textId="77777777" w:rsidR="00646B26" w:rsidRDefault="00646B26" w:rsidP="00727D26">
            <w:pPr>
              <w:pStyle w:val="TableHeading"/>
            </w:pPr>
            <w:r>
              <w:lastRenderedPageBreak/>
              <w:t>Issue</w:t>
            </w:r>
          </w:p>
        </w:tc>
        <w:tc>
          <w:tcPr>
            <w:tcW w:w="2756" w:type="dxa"/>
          </w:tcPr>
          <w:p w14:paraId="57EF6156"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3072" w:type="dxa"/>
          </w:tcPr>
          <w:p w14:paraId="1575FCD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Example</w:t>
            </w:r>
          </w:p>
        </w:tc>
        <w:tc>
          <w:tcPr>
            <w:tcW w:w="2988" w:type="dxa"/>
          </w:tcPr>
          <w:p w14:paraId="6A72248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Indices</w:t>
            </w:r>
          </w:p>
        </w:tc>
        <w:tc>
          <w:tcPr>
            <w:tcW w:w="2375" w:type="dxa"/>
          </w:tcPr>
          <w:p w14:paraId="37EFB651"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5425A4C5" w14:textId="77777777" w:rsidTr="00727D26">
        <w:trPr>
          <w:trHeight w:val="1775"/>
        </w:trPr>
        <w:tc>
          <w:tcPr>
            <w:cnfStyle w:val="001000000000" w:firstRow="0" w:lastRow="0" w:firstColumn="1" w:lastColumn="0" w:oddVBand="0" w:evenVBand="0" w:oddHBand="0" w:evenHBand="0" w:firstRowFirstColumn="0" w:firstRowLastColumn="0" w:lastRowFirstColumn="0" w:lastRowLastColumn="0"/>
            <w:tcW w:w="2273" w:type="dxa"/>
          </w:tcPr>
          <w:p w14:paraId="57A30D7E" w14:textId="77777777" w:rsidR="00646B26" w:rsidRDefault="00646B26" w:rsidP="00727D26">
            <w:pPr>
              <w:pStyle w:val="TableContents"/>
            </w:pPr>
            <w:r>
              <w:t>Lax Lending Practices</w:t>
            </w:r>
          </w:p>
        </w:tc>
        <w:tc>
          <w:tcPr>
            <w:tcW w:w="2756" w:type="dxa"/>
          </w:tcPr>
          <w:p w14:paraId="254991F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Inadequate credit assessment leads to high-risk loans.</w:t>
            </w:r>
          </w:p>
        </w:tc>
        <w:tc>
          <w:tcPr>
            <w:tcW w:w="3072" w:type="dxa"/>
          </w:tcPr>
          <w:p w14:paraId="1272610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Intercontinental Bank’s collapse due to poor due diligence.</w:t>
            </w:r>
          </w:p>
        </w:tc>
        <w:tc>
          <w:tcPr>
            <w:tcW w:w="2988" w:type="dxa"/>
          </w:tcPr>
          <w:p w14:paraId="4900A29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practice indices, increases NPLs, affects disclosure.</w:t>
            </w:r>
          </w:p>
        </w:tc>
        <w:tc>
          <w:tcPr>
            <w:tcW w:w="2375" w:type="dxa"/>
          </w:tcPr>
          <w:p w14:paraId="3869F69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 Owolabi (2013)</w:t>
            </w:r>
          </w:p>
        </w:tc>
      </w:tr>
      <w:tr w:rsidR="00646B26" w14:paraId="4F2A107B" w14:textId="77777777" w:rsidTr="00727D26">
        <w:trPr>
          <w:trHeight w:val="2207"/>
        </w:trPr>
        <w:tc>
          <w:tcPr>
            <w:cnfStyle w:val="001000000000" w:firstRow="0" w:lastRow="0" w:firstColumn="1" w:lastColumn="0" w:oddVBand="0" w:evenVBand="0" w:oddHBand="0" w:evenHBand="0" w:firstRowFirstColumn="0" w:firstRowLastColumn="0" w:lastRowFirstColumn="0" w:lastRowLastColumn="0"/>
            <w:tcW w:w="2273" w:type="dxa"/>
          </w:tcPr>
          <w:p w14:paraId="432EEFF5" w14:textId="77777777" w:rsidR="00646B26" w:rsidRDefault="00646B26" w:rsidP="00727D26">
            <w:pPr>
              <w:pStyle w:val="TableContents"/>
            </w:pPr>
            <w:r>
              <w:t>Absence of Risk Committees</w:t>
            </w:r>
          </w:p>
        </w:tc>
        <w:tc>
          <w:tcPr>
            <w:tcW w:w="2756" w:type="dxa"/>
          </w:tcPr>
          <w:p w14:paraId="7AB8746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Lack of independent risk committees, unlike global standards.</w:t>
            </w:r>
          </w:p>
        </w:tc>
        <w:tc>
          <w:tcPr>
            <w:tcW w:w="3072" w:type="dxa"/>
          </w:tcPr>
          <w:p w14:paraId="11566A9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Bank PHB’s weak controls </w:t>
            </w:r>
            <w:proofErr w:type="spellStart"/>
            <w:r>
              <w:t>fueled</w:t>
            </w:r>
            <w:proofErr w:type="spellEnd"/>
            <w:r>
              <w:t xml:space="preserve"> systemic risks.</w:t>
            </w:r>
          </w:p>
        </w:tc>
        <w:tc>
          <w:tcPr>
            <w:tcW w:w="2988" w:type="dxa"/>
          </w:tcPr>
          <w:p w14:paraId="3B42D36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Weakens compliance and risk oversight, erodes disclosure.</w:t>
            </w:r>
          </w:p>
        </w:tc>
        <w:tc>
          <w:tcPr>
            <w:tcW w:w="2375" w:type="dxa"/>
          </w:tcPr>
          <w:p w14:paraId="0DB40B8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 Owolabi (2013)</w:t>
            </w:r>
          </w:p>
        </w:tc>
      </w:tr>
      <w:tr w:rsidR="00646B26" w14:paraId="58FDE274" w14:textId="77777777" w:rsidTr="00727D26">
        <w:trPr>
          <w:trHeight w:val="1775"/>
        </w:trPr>
        <w:tc>
          <w:tcPr>
            <w:cnfStyle w:val="001000000000" w:firstRow="0" w:lastRow="0" w:firstColumn="1" w:lastColumn="0" w:oddVBand="0" w:evenVBand="0" w:oddHBand="0" w:evenHBand="0" w:firstRowFirstColumn="0" w:firstRowLastColumn="0" w:lastRowFirstColumn="0" w:lastRowLastColumn="0"/>
            <w:tcW w:w="2273" w:type="dxa"/>
          </w:tcPr>
          <w:p w14:paraId="1BC71681" w14:textId="77777777" w:rsidR="00646B26" w:rsidRDefault="00646B26" w:rsidP="00727D26">
            <w:pPr>
              <w:pStyle w:val="TableContents"/>
            </w:pPr>
            <w:r>
              <w:t>Unqualified Management</w:t>
            </w:r>
          </w:p>
        </w:tc>
        <w:tc>
          <w:tcPr>
            <w:tcW w:w="2756" w:type="dxa"/>
          </w:tcPr>
          <w:p w14:paraId="3FB701D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Politically motivated appointments lack risk expertise.</w:t>
            </w:r>
          </w:p>
        </w:tc>
        <w:tc>
          <w:tcPr>
            <w:tcW w:w="3072" w:type="dxa"/>
          </w:tcPr>
          <w:p w14:paraId="6ACE910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insider loans (75% of NPLs) due to poor oversight.</w:t>
            </w:r>
          </w:p>
        </w:tc>
        <w:tc>
          <w:tcPr>
            <w:tcW w:w="2988" w:type="dxa"/>
          </w:tcPr>
          <w:p w14:paraId="119EF0B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Compromises practice indices and audit committee independence.</w:t>
            </w:r>
          </w:p>
        </w:tc>
        <w:tc>
          <w:tcPr>
            <w:tcW w:w="2375" w:type="dxa"/>
          </w:tcPr>
          <w:p w14:paraId="1986873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Sanusi (2009), Ojo &amp; Ojo (2024)</w:t>
            </w:r>
          </w:p>
        </w:tc>
      </w:tr>
      <w:tr w:rsidR="00646B26" w14:paraId="49684A13" w14:textId="77777777" w:rsidTr="00727D26">
        <w:trPr>
          <w:trHeight w:val="1752"/>
        </w:trPr>
        <w:tc>
          <w:tcPr>
            <w:cnfStyle w:val="001000000000" w:firstRow="0" w:lastRow="0" w:firstColumn="1" w:lastColumn="0" w:oddVBand="0" w:evenVBand="0" w:oddHBand="0" w:evenHBand="0" w:firstRowFirstColumn="0" w:firstRowLastColumn="0" w:lastRowFirstColumn="0" w:lastRowLastColumn="0"/>
            <w:tcW w:w="2273" w:type="dxa"/>
          </w:tcPr>
          <w:p w14:paraId="1EE5730E" w14:textId="77777777" w:rsidR="00646B26" w:rsidRDefault="00646B26" w:rsidP="00727D26">
            <w:pPr>
              <w:pStyle w:val="TableContents"/>
            </w:pPr>
            <w:r>
              <w:t>Regulatory Multiplicity</w:t>
            </w:r>
          </w:p>
        </w:tc>
        <w:tc>
          <w:tcPr>
            <w:tcW w:w="2756" w:type="dxa"/>
          </w:tcPr>
          <w:p w14:paraId="637B9DA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Conflicting codes enable selective compliance.</w:t>
            </w:r>
          </w:p>
        </w:tc>
        <w:tc>
          <w:tcPr>
            <w:tcW w:w="3072" w:type="dxa"/>
          </w:tcPr>
          <w:p w14:paraId="185CDB8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Banks exploit CAMA/NCCG gaps to evade risk controls.</w:t>
            </w:r>
          </w:p>
        </w:tc>
        <w:tc>
          <w:tcPr>
            <w:tcW w:w="2988" w:type="dxa"/>
          </w:tcPr>
          <w:p w14:paraId="3D5E902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disclosure, undermines practice and compliance.</w:t>
            </w:r>
          </w:p>
        </w:tc>
        <w:tc>
          <w:tcPr>
            <w:tcW w:w="2375" w:type="dxa"/>
          </w:tcPr>
          <w:p w14:paraId="6FCDE8C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Abdulmalik &amp; Ahmad (2020), Afolabi &amp; Afolabi (2024)</w:t>
            </w:r>
          </w:p>
        </w:tc>
      </w:tr>
    </w:tbl>
    <w:p w14:paraId="40EE99B0" w14:textId="77777777" w:rsidR="00646B26" w:rsidRDefault="00646B26" w:rsidP="00646B26">
      <w:pPr>
        <w:pStyle w:val="BodyText"/>
        <w:spacing w:line="480" w:lineRule="auto"/>
      </w:pPr>
      <w:r>
        <w:t>Note: Adapted from Adegboye (2020), Nwoko et al. (2022), and Afolabi and Afolabi (2024). Impacts highlight ties to disclosure, practice, compliance, and audit committee independence.</w:t>
      </w:r>
    </w:p>
    <w:p w14:paraId="1C8AC62A" w14:textId="77777777" w:rsidR="00646B26" w:rsidRDefault="00646B26" w:rsidP="00646B26">
      <w:pPr>
        <w:sectPr w:rsidR="00646B26" w:rsidSect="00646B26">
          <w:pgSz w:w="15840" w:h="12240" w:orient="landscape"/>
          <w:pgMar w:top="1134" w:right="1134" w:bottom="1134" w:left="1134" w:header="0" w:footer="0" w:gutter="0"/>
          <w:cols w:space="720"/>
          <w:formProt w:val="0"/>
          <w:docGrid w:linePitch="326"/>
        </w:sectPr>
      </w:pPr>
    </w:p>
    <w:p w14:paraId="12E0E8D7" w14:textId="77777777" w:rsidR="00646B26" w:rsidRPr="00A35F1C" w:rsidRDefault="00646B26" w:rsidP="00646B26"/>
    <w:p w14:paraId="595140B1" w14:textId="77777777" w:rsidR="00646B26" w:rsidRDefault="00646B26" w:rsidP="00646B26">
      <w:pPr>
        <w:pStyle w:val="Heading3"/>
        <w:rPr>
          <w:rFonts w:eastAsia="Times New Roman"/>
        </w:rPr>
      </w:pPr>
      <w:bookmarkStart w:id="80" w:name="_Toc211278884"/>
      <w:r>
        <w:rPr>
          <w:rFonts w:eastAsia="Times New Roman"/>
        </w:rPr>
        <w:t>2.8.2 Weak Whistleblowing Mechanisms</w:t>
      </w:r>
      <w:bookmarkEnd w:id="80"/>
    </w:p>
    <w:p w14:paraId="1D2BB62C" w14:textId="77777777" w:rsidR="00646B26" w:rsidRDefault="00646B26" w:rsidP="00646B26">
      <w:pPr>
        <w:pStyle w:val="BodyText"/>
        <w:spacing w:line="480" w:lineRule="auto"/>
      </w:pPr>
      <w:r>
        <w:t xml:space="preserve">The absence of robust whistleblowing mechanisms exacerbates practice index failures by enabling fraud concealment, a critical factor in Nigeria’s banking crises. Olojede et al. (2020) highlight that Nigeria’s whistleblowing frameworks lack the anonymity and protection offered by international standards, discouraging reports of fraud and ethical violations. This governance gap stifled stakeholders’ ability to expose misconduct during the 2009 crisis, allowing deposit money banks like Oceanic to conceal financial distress through falsified reporting (Sanusi, 2009). </w:t>
      </w:r>
    </w:p>
    <w:p w14:paraId="30F870BB" w14:textId="77777777" w:rsidR="00646B26" w:rsidRDefault="00646B26" w:rsidP="00646B26">
      <w:pPr>
        <w:pStyle w:val="BodyText"/>
        <w:spacing w:line="480" w:lineRule="auto"/>
      </w:pPr>
      <w:r>
        <w:t>For instance, Oceanic Bank’s leadership hid insider loans, which constituted 75% of its NPLs, due to weak oversight and ineffective whistleblowing channels (Olojede et al., 2020). The lack of legal protections for whistleblowers, unlike global benchmarks, creates a culture of fear, suppressing reports of financial impropriety and delaying corrective actions (Ojo &amp; Ojo, 2024). This directly contributes to systemic instability, as unaddressed fraud erodes stakeholder trust and triggers deposit withdrawals (Sanusi, 2009).</w:t>
      </w:r>
    </w:p>
    <w:p w14:paraId="460978FF" w14:textId="77777777" w:rsidR="00646B26" w:rsidRDefault="00646B26" w:rsidP="00646B26">
      <w:pPr>
        <w:pStyle w:val="Heading3"/>
        <w:rPr>
          <w:rFonts w:eastAsia="Times New Roman"/>
        </w:rPr>
      </w:pPr>
      <w:bookmarkStart w:id="81" w:name="_Toc211278885"/>
      <w:r>
        <w:rPr>
          <w:rFonts w:eastAsia="Times New Roman"/>
        </w:rPr>
        <w:t>2.8.3 Global Standards for Risk Management and Whistleblowing</w:t>
      </w:r>
      <w:bookmarkEnd w:id="81"/>
    </w:p>
    <w:p w14:paraId="747397EA" w14:textId="77777777" w:rsidR="00646B26" w:rsidRDefault="00646B26" w:rsidP="00646B26">
      <w:pPr>
        <w:pStyle w:val="BodyText"/>
        <w:spacing w:line="480" w:lineRule="auto"/>
      </w:pPr>
      <w:r>
        <w:t xml:space="preserve">Global standards, such as Basel III and EU whistleblowing frameworks, provide a benchmark for effective practice indices and fraud prevention, starkly contrasting with Nigeria’s deficiencies. Basel III, established by the Basel Committee on Banking Supervision (BCBS, 2010), emphasizes robust practice indices through stringent capital adequacy, liquidity requirements, and independent risk committees to mitigate credit risk and ensure financial stability. These standards mandate comprehensive risk assessment frameworks, including stress testing and credit portfolio monitoring, which have reduced NPLs in jurisdictions like the EU by enhancing oversight (BCBS, 2010). </w:t>
      </w:r>
    </w:p>
    <w:p w14:paraId="1197DE94" w14:textId="77777777" w:rsidR="00646B26" w:rsidRPr="00A35F1C" w:rsidRDefault="00646B26" w:rsidP="00646B26">
      <w:r w:rsidRPr="00A35F1C">
        <w:lastRenderedPageBreak/>
        <w:t>In contrast, Nigerian deposit money banks’ failure to adopt such frameworks, as noted by Adegboye (2020), results in weak practice indices, contributing to NPL spikes. For example, the 2009 crisis exposed Nigeria’s lack of Basel-aligned practice indices, unlike EU banks that benefited from integrated risk governance (Sanusi, 2009). To add depth, Ojo and Ojo (2024) compare global standards to Nigerian practices, highlighting deficiencies in disclosure and audit-committee integration (including mediation by financial-reporting integrity).</w:t>
      </w:r>
    </w:p>
    <w:p w14:paraId="0A427CE8" w14:textId="77777777" w:rsidR="00646B26" w:rsidRDefault="00646B26" w:rsidP="00646B26">
      <w:r w:rsidRPr="00A35F1C">
        <w:t>The EU’s whistleblowing framework (EU, 2019) sets a global standard by mandating protected, anonymous reporting channels to encourage disclosure of financial misconduct, enhancing compliance and disclosure. This framework has been effective in detecting fraud early, reducing systemic risks in European banks (</w:t>
      </w:r>
      <w:proofErr w:type="spellStart"/>
      <w:r w:rsidRPr="00A35F1C">
        <w:t>Olojede</w:t>
      </w:r>
      <w:proofErr w:type="spellEnd"/>
      <w:r w:rsidRPr="00A35F1C">
        <w:t xml:space="preserve"> et al., 2020). In Nigeria, however, whistleblowing mechanisms are underdeveloped, with no legal protections for whistleblowers, leading to fear of retaliation and suppressed reporting (</w:t>
      </w:r>
      <w:proofErr w:type="spellStart"/>
      <w:r w:rsidRPr="00A35F1C">
        <w:t>Olojede</w:t>
      </w:r>
      <w:proofErr w:type="spellEnd"/>
      <w:r w:rsidRPr="00A35F1C">
        <w:t xml:space="preserve"> et al., 2020). This contrasts sharply with EU practices, where whistleblowing contributed to early intervention in financial scandals, underscoring Nigeria’s need for robust, legally backed systems to align with global standards (EU, 2019). Afolabi and Afolabi (2024) emphasize how adopting EU-style frameworks can improve practice indices and audit-committee independence (including mediation by financial-reporting integrity), fostering a culture of disclosure.</w:t>
      </w:r>
    </w:p>
    <w:p w14:paraId="33BE790B" w14:textId="77777777" w:rsidR="00646B26" w:rsidRDefault="00646B26" w:rsidP="00646B26">
      <w:pPr>
        <w:spacing w:line="240" w:lineRule="auto"/>
        <w:jc w:val="left"/>
      </w:pPr>
      <w:r>
        <w:br w:type="page"/>
      </w:r>
    </w:p>
    <w:p w14:paraId="2D366DA5" w14:textId="77777777" w:rsidR="00646B26" w:rsidRDefault="00646B26" w:rsidP="00646B26">
      <w:pPr>
        <w:spacing w:line="240" w:lineRule="auto"/>
        <w:jc w:val="left"/>
        <w:sectPr w:rsidR="00646B26" w:rsidSect="00646B26">
          <w:pgSz w:w="12240" w:h="15840"/>
          <w:pgMar w:top="1134" w:right="1134" w:bottom="1134" w:left="1134" w:header="0" w:footer="0" w:gutter="0"/>
          <w:cols w:space="720"/>
          <w:formProt w:val="0"/>
          <w:docGrid w:linePitch="100"/>
        </w:sectPr>
      </w:pPr>
    </w:p>
    <w:tbl>
      <w:tblPr>
        <w:tblStyle w:val="GridTable1Light-Accent4"/>
        <w:tblW w:w="13454" w:type="dxa"/>
        <w:tblLayout w:type="fixed"/>
        <w:tblLook w:val="04A0" w:firstRow="1" w:lastRow="0" w:firstColumn="1" w:lastColumn="0" w:noHBand="0" w:noVBand="1"/>
      </w:tblPr>
      <w:tblGrid>
        <w:gridCol w:w="2387"/>
        <w:gridCol w:w="2053"/>
        <w:gridCol w:w="2303"/>
        <w:gridCol w:w="2013"/>
        <w:gridCol w:w="2562"/>
        <w:gridCol w:w="2136"/>
      </w:tblGrid>
      <w:tr w:rsidR="00646B26" w14:paraId="6894F457" w14:textId="77777777" w:rsidTr="00727D26">
        <w:trPr>
          <w:cnfStyle w:val="100000000000" w:firstRow="1" w:lastRow="0" w:firstColumn="0" w:lastColumn="0" w:oddVBand="0" w:evenVBand="0" w:oddHBand="0"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387" w:type="dxa"/>
          </w:tcPr>
          <w:p w14:paraId="1C1913D5" w14:textId="77777777" w:rsidR="00646B26" w:rsidRDefault="00646B26" w:rsidP="00727D26">
            <w:pPr>
              <w:pStyle w:val="TableHeading"/>
            </w:pPr>
            <w:r>
              <w:lastRenderedPageBreak/>
              <w:t>Aspect</w:t>
            </w:r>
          </w:p>
        </w:tc>
        <w:tc>
          <w:tcPr>
            <w:tcW w:w="2053" w:type="dxa"/>
          </w:tcPr>
          <w:p w14:paraId="091A9166"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Nigeria’s Practice</w:t>
            </w:r>
          </w:p>
        </w:tc>
        <w:tc>
          <w:tcPr>
            <w:tcW w:w="2303" w:type="dxa"/>
          </w:tcPr>
          <w:p w14:paraId="5B48A050"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Global Standard (Basel III/EU)</w:t>
            </w:r>
          </w:p>
        </w:tc>
        <w:tc>
          <w:tcPr>
            <w:tcW w:w="2013" w:type="dxa"/>
          </w:tcPr>
          <w:p w14:paraId="0C3B07FD"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Gap</w:t>
            </w:r>
          </w:p>
        </w:tc>
        <w:tc>
          <w:tcPr>
            <w:tcW w:w="2562" w:type="dxa"/>
          </w:tcPr>
          <w:p w14:paraId="4FAE301A"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Indices</w:t>
            </w:r>
          </w:p>
        </w:tc>
        <w:tc>
          <w:tcPr>
            <w:tcW w:w="2136" w:type="dxa"/>
          </w:tcPr>
          <w:p w14:paraId="68784250"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05F6A31" w14:textId="77777777" w:rsidTr="00727D26">
        <w:trPr>
          <w:trHeight w:val="1724"/>
        </w:trPr>
        <w:tc>
          <w:tcPr>
            <w:cnfStyle w:val="001000000000" w:firstRow="0" w:lastRow="0" w:firstColumn="1" w:lastColumn="0" w:oddVBand="0" w:evenVBand="0" w:oddHBand="0" w:evenHBand="0" w:firstRowFirstColumn="0" w:firstRowLastColumn="0" w:lastRowFirstColumn="0" w:lastRowLastColumn="0"/>
            <w:tcW w:w="2387" w:type="dxa"/>
          </w:tcPr>
          <w:p w14:paraId="356EA26B" w14:textId="77777777" w:rsidR="00646B26" w:rsidRDefault="00646B26" w:rsidP="00727D26">
            <w:pPr>
              <w:pStyle w:val="TableContents"/>
            </w:pPr>
            <w:r>
              <w:t>Risk Committees</w:t>
            </w:r>
          </w:p>
        </w:tc>
        <w:tc>
          <w:tcPr>
            <w:tcW w:w="2053" w:type="dxa"/>
          </w:tcPr>
          <w:p w14:paraId="7059C38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Absent in most banks, weak oversight.</w:t>
            </w:r>
          </w:p>
        </w:tc>
        <w:tc>
          <w:tcPr>
            <w:tcW w:w="2303" w:type="dxa"/>
          </w:tcPr>
          <w:p w14:paraId="3EAEF80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mandates independent risk committees.</w:t>
            </w:r>
          </w:p>
        </w:tc>
        <w:tc>
          <w:tcPr>
            <w:tcW w:w="2013" w:type="dxa"/>
          </w:tcPr>
          <w:p w14:paraId="596DB9E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Lack of structured risk oversight.</w:t>
            </w:r>
          </w:p>
        </w:tc>
        <w:tc>
          <w:tcPr>
            <w:tcW w:w="2562" w:type="dxa"/>
          </w:tcPr>
          <w:p w14:paraId="61817D7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Weakens practice indices, undermines disclosure.</w:t>
            </w:r>
          </w:p>
        </w:tc>
        <w:tc>
          <w:tcPr>
            <w:tcW w:w="2136" w:type="dxa"/>
          </w:tcPr>
          <w:p w14:paraId="3FB791C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BCBS (2010), Adegboye (2020)</w:t>
            </w:r>
          </w:p>
        </w:tc>
      </w:tr>
      <w:tr w:rsidR="00646B26" w14:paraId="0EB56645" w14:textId="77777777" w:rsidTr="00727D26">
        <w:trPr>
          <w:trHeight w:val="1724"/>
        </w:trPr>
        <w:tc>
          <w:tcPr>
            <w:cnfStyle w:val="001000000000" w:firstRow="0" w:lastRow="0" w:firstColumn="1" w:lastColumn="0" w:oddVBand="0" w:evenVBand="0" w:oddHBand="0" w:evenHBand="0" w:firstRowFirstColumn="0" w:firstRowLastColumn="0" w:lastRowFirstColumn="0" w:lastRowLastColumn="0"/>
            <w:tcW w:w="2387" w:type="dxa"/>
          </w:tcPr>
          <w:p w14:paraId="67797B71" w14:textId="77777777" w:rsidR="00646B26" w:rsidRDefault="00646B26" w:rsidP="00727D26">
            <w:pPr>
              <w:pStyle w:val="TableContents"/>
            </w:pPr>
            <w:r>
              <w:t>Credit Assessment</w:t>
            </w:r>
          </w:p>
        </w:tc>
        <w:tc>
          <w:tcPr>
            <w:tcW w:w="2053" w:type="dxa"/>
          </w:tcPr>
          <w:p w14:paraId="3A818D3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Lax due diligence, insider lending.</w:t>
            </w:r>
          </w:p>
        </w:tc>
        <w:tc>
          <w:tcPr>
            <w:tcW w:w="2303" w:type="dxa"/>
          </w:tcPr>
          <w:p w14:paraId="1714810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requires stress testing, portfolio monitoring.</w:t>
            </w:r>
          </w:p>
        </w:tc>
        <w:tc>
          <w:tcPr>
            <w:tcW w:w="2013" w:type="dxa"/>
          </w:tcPr>
          <w:p w14:paraId="08A6CCE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Poor loan quality control.</w:t>
            </w:r>
          </w:p>
        </w:tc>
        <w:tc>
          <w:tcPr>
            <w:tcW w:w="2562" w:type="dxa"/>
          </w:tcPr>
          <w:p w14:paraId="020F67D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Increases NPLs, erodes disclosure.</w:t>
            </w:r>
          </w:p>
        </w:tc>
        <w:tc>
          <w:tcPr>
            <w:tcW w:w="2136" w:type="dxa"/>
          </w:tcPr>
          <w:p w14:paraId="240FD6E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Sanusi (2009), Ojo &amp; Ojo (2024)</w:t>
            </w:r>
          </w:p>
        </w:tc>
      </w:tr>
      <w:tr w:rsidR="00646B26" w14:paraId="54575B6F" w14:textId="77777777" w:rsidTr="00727D26">
        <w:trPr>
          <w:trHeight w:val="1702"/>
        </w:trPr>
        <w:tc>
          <w:tcPr>
            <w:cnfStyle w:val="001000000000" w:firstRow="0" w:lastRow="0" w:firstColumn="1" w:lastColumn="0" w:oddVBand="0" w:evenVBand="0" w:oddHBand="0" w:evenHBand="0" w:firstRowFirstColumn="0" w:firstRowLastColumn="0" w:lastRowFirstColumn="0" w:lastRowLastColumn="0"/>
            <w:tcW w:w="2387" w:type="dxa"/>
          </w:tcPr>
          <w:p w14:paraId="60212E92" w14:textId="77777777" w:rsidR="00646B26" w:rsidRDefault="00646B26" w:rsidP="00727D26">
            <w:pPr>
              <w:pStyle w:val="TableContents"/>
            </w:pPr>
            <w:r>
              <w:t>Whistleblowing</w:t>
            </w:r>
          </w:p>
        </w:tc>
        <w:tc>
          <w:tcPr>
            <w:tcW w:w="2053" w:type="dxa"/>
          </w:tcPr>
          <w:p w14:paraId="7404782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No legal protections, fear of retaliation.</w:t>
            </w:r>
          </w:p>
        </w:tc>
        <w:tc>
          <w:tcPr>
            <w:tcW w:w="2303" w:type="dxa"/>
          </w:tcPr>
          <w:p w14:paraId="6A820CD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 mandates anonymous, protected channels.</w:t>
            </w:r>
          </w:p>
        </w:tc>
        <w:tc>
          <w:tcPr>
            <w:tcW w:w="2013" w:type="dxa"/>
          </w:tcPr>
          <w:p w14:paraId="1A346A0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Suppressed fraud reporting.</w:t>
            </w:r>
          </w:p>
        </w:tc>
        <w:tc>
          <w:tcPr>
            <w:tcW w:w="2562" w:type="dxa"/>
          </w:tcPr>
          <w:p w14:paraId="67D37B8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compliance, compromises disclosure.</w:t>
            </w:r>
          </w:p>
        </w:tc>
        <w:tc>
          <w:tcPr>
            <w:tcW w:w="2136" w:type="dxa"/>
          </w:tcPr>
          <w:p w14:paraId="3737021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EU (2019), </w:t>
            </w:r>
            <w:proofErr w:type="spellStart"/>
            <w:r>
              <w:t>Olojede</w:t>
            </w:r>
            <w:proofErr w:type="spellEnd"/>
            <w:r>
              <w:t xml:space="preserve"> et al. (2020)</w:t>
            </w:r>
          </w:p>
        </w:tc>
      </w:tr>
      <w:tr w:rsidR="00646B26" w14:paraId="54D20208" w14:textId="77777777" w:rsidTr="00727D26">
        <w:trPr>
          <w:trHeight w:val="1724"/>
        </w:trPr>
        <w:tc>
          <w:tcPr>
            <w:cnfStyle w:val="001000000000" w:firstRow="0" w:lastRow="0" w:firstColumn="1" w:lastColumn="0" w:oddVBand="0" w:evenVBand="0" w:oddHBand="0" w:evenHBand="0" w:firstRowFirstColumn="0" w:firstRowLastColumn="0" w:lastRowFirstColumn="0" w:lastRowLastColumn="0"/>
            <w:tcW w:w="2387" w:type="dxa"/>
          </w:tcPr>
          <w:p w14:paraId="365B8492" w14:textId="77777777" w:rsidR="00646B26" w:rsidRDefault="00646B26" w:rsidP="00727D26">
            <w:pPr>
              <w:pStyle w:val="TableContents"/>
            </w:pPr>
            <w:r>
              <w:t>Regulatory Enforcement</w:t>
            </w:r>
          </w:p>
        </w:tc>
        <w:tc>
          <w:tcPr>
            <w:tcW w:w="2053" w:type="dxa"/>
          </w:tcPr>
          <w:p w14:paraId="6FF9A74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 due to multiplicity, resource constraints.</w:t>
            </w:r>
          </w:p>
        </w:tc>
        <w:tc>
          <w:tcPr>
            <w:tcW w:w="2303" w:type="dxa"/>
          </w:tcPr>
          <w:p w14:paraId="57946C7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III/EU emphasize strong enforcement.</w:t>
            </w:r>
          </w:p>
        </w:tc>
        <w:tc>
          <w:tcPr>
            <w:tcW w:w="2013" w:type="dxa"/>
          </w:tcPr>
          <w:p w14:paraId="741231A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Ineffective sanctions.</w:t>
            </w:r>
          </w:p>
        </w:tc>
        <w:tc>
          <w:tcPr>
            <w:tcW w:w="2562" w:type="dxa"/>
          </w:tcPr>
          <w:p w14:paraId="7907A96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practice and audit committee independence.</w:t>
            </w:r>
          </w:p>
        </w:tc>
        <w:tc>
          <w:tcPr>
            <w:tcW w:w="2136" w:type="dxa"/>
          </w:tcPr>
          <w:p w14:paraId="35FA0D0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Abdulmalik &amp; Ahmad (2020), Afolabi &amp; Afolabi (2024)</w:t>
            </w:r>
          </w:p>
        </w:tc>
      </w:tr>
    </w:tbl>
    <w:p w14:paraId="17A4D3DC" w14:textId="77777777" w:rsidR="00646B26" w:rsidRDefault="00646B26" w:rsidP="00646B26">
      <w:pPr>
        <w:pStyle w:val="BodyText"/>
        <w:spacing w:line="480" w:lineRule="auto"/>
      </w:pPr>
      <w:r>
        <w:t>Note: Adapted from BCBS (2010), EU (2019), and Afolabi and Afolabi (2024). Gaps highlight deficiencies in disclosure, practice, compliance, and audit committee independence.</w:t>
      </w:r>
    </w:p>
    <w:p w14:paraId="2960686E" w14:textId="77777777" w:rsidR="00646B26" w:rsidRDefault="00646B26" w:rsidP="00646B26">
      <w:pPr>
        <w:spacing w:line="240" w:lineRule="auto"/>
        <w:jc w:val="left"/>
        <w:sectPr w:rsidR="00646B26" w:rsidSect="00646B26">
          <w:pgSz w:w="15840" w:h="12240" w:orient="landscape"/>
          <w:pgMar w:top="1134" w:right="1134" w:bottom="1134" w:left="1134" w:header="0" w:footer="0" w:gutter="0"/>
          <w:cols w:space="720"/>
          <w:formProt w:val="0"/>
          <w:docGrid w:linePitch="326"/>
        </w:sectPr>
      </w:pPr>
    </w:p>
    <w:p w14:paraId="7292FEB4" w14:textId="77777777" w:rsidR="00646B26" w:rsidRDefault="00646B26" w:rsidP="00646B26">
      <w:pPr>
        <w:pStyle w:val="Heading3"/>
        <w:rPr>
          <w:rFonts w:eastAsia="Times New Roman"/>
        </w:rPr>
      </w:pPr>
      <w:bookmarkStart w:id="82" w:name="_Toc211278886"/>
      <w:r>
        <w:rPr>
          <w:rFonts w:eastAsia="Times New Roman"/>
        </w:rPr>
        <w:lastRenderedPageBreak/>
        <w:t>2.8.4 Impact on Default Risk and Systemic Instability</w:t>
      </w:r>
      <w:bookmarkEnd w:id="82"/>
    </w:p>
    <w:p w14:paraId="0C4228D1" w14:textId="77777777" w:rsidR="00646B26" w:rsidRDefault="00646B26" w:rsidP="00646B26">
      <w:pPr>
        <w:pStyle w:val="BodyText"/>
        <w:spacing w:line="480" w:lineRule="auto"/>
      </w:pPr>
      <w:r>
        <w:t>Practice index failures and weak whistleblowing mechanisms directly contribute to default risk and systemic instability in Nigeria’s deposit money banking sector, as vividly illustrated by the 2009 crisis. Sanusi (2009) notes that weak practice indices, coupled with fraud concealment, allowed banks like Oceanic, Afribank, and Union Bank to accumulate NPLs reaching 37%, necessitating a $3.9 billion CBN intervention. The absence of effective risk controls enabled insider lending and unauthorized credits, as seen in Oceanic Bank, where 75% of NPLs were tied to family-controlled entities (Sanusi, 2009). Weak whistleblowing mechanisms exacerbated this by preventing timely exposure of these abuses, delaying corrective actions and eroding stakeholder trust, which triggered mass deposit withdrawals (Olojede et al., 2020). Adegboye (2020) argues that these governance failures, rooted in inadequate risk assessment and fraud concealment, create a vicious cycle of financial distress, undermining banks’ capital and liquidity, as seen in the collapse of Intercontinental Bank (Owolabi, 2013). The systemic instability caused by these failures extends beyond individual banks, threatening Nigeria’s economy, where banks are critical for growth (King &amp; Levine, 1993). The 2009 crisis highlighted how weak practice indices and fraud concealment shifted risks to taxpayers, with costly bailouts underscoring the social burden (Sanusi, 2009). Recent developments, such as the CBN’s 2024 recapitalization program requiring N500 billion for international banks, aim to bolster capital but do not directly address practice index gaps (CBN, 2024).</w:t>
      </w:r>
    </w:p>
    <w:p w14:paraId="6124A347" w14:textId="77777777" w:rsidR="00646B26" w:rsidRDefault="00646B26" w:rsidP="00646B26">
      <w:pPr>
        <w:pStyle w:val="Heading3"/>
        <w:rPr>
          <w:rFonts w:eastAsia="Times New Roman"/>
        </w:rPr>
      </w:pPr>
      <w:bookmarkStart w:id="83" w:name="_Toc211278887"/>
      <w:r>
        <w:rPr>
          <w:rFonts w:eastAsia="Times New Roman"/>
        </w:rPr>
        <w:t>2.8.5 Proposed Reforms to Address Risk Management and Whistleblowing</w:t>
      </w:r>
      <w:bookmarkEnd w:id="83"/>
    </w:p>
    <w:p w14:paraId="5598D453" w14:textId="77777777" w:rsidR="00646B26" w:rsidRPr="00A35F1C" w:rsidRDefault="00646B26" w:rsidP="00646B26">
      <w:r w:rsidRPr="00A35F1C">
        <w:t xml:space="preserve">Adopting global standards like Basel III’s practice indices and EU’s whistleblowing protections could mitigate these risks by enhancing oversight and disclosure (BCBS, 2010; EU, 2019). These reforms align with research objective OB1 and hypothesis H1, which examine how robust practice indices, including </w:t>
      </w:r>
      <w:r w:rsidRPr="00A35F1C">
        <w:lastRenderedPageBreak/>
        <w:t>risk management, reduce NPLs, emphasizing the need for context-specific reforms to address Nigeria’s deficiencies and enhance banking stability. Ojo and Ojo (2024) link these failures to audit-committee independence (including its mediation by financial-reporting integrity) and practice indices, advocating for integrated reforms to strengthen disclosure and compliance.</w:t>
      </w:r>
    </w:p>
    <w:tbl>
      <w:tblPr>
        <w:tblStyle w:val="GridTable1Light-Accent4"/>
        <w:tblW w:w="10405" w:type="dxa"/>
        <w:tblLayout w:type="fixed"/>
        <w:tblLook w:val="04A0" w:firstRow="1" w:lastRow="0" w:firstColumn="1" w:lastColumn="0" w:noHBand="0" w:noVBand="1"/>
      </w:tblPr>
      <w:tblGrid>
        <w:gridCol w:w="2049"/>
        <w:gridCol w:w="2199"/>
        <w:gridCol w:w="2391"/>
        <w:gridCol w:w="2311"/>
        <w:gridCol w:w="1455"/>
      </w:tblGrid>
      <w:tr w:rsidR="00646B26" w14:paraId="583A374A" w14:textId="77777777" w:rsidTr="00727D26">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049" w:type="dxa"/>
          </w:tcPr>
          <w:p w14:paraId="631665D1" w14:textId="77777777" w:rsidR="00646B26" w:rsidRDefault="00646B26" w:rsidP="00727D26">
            <w:pPr>
              <w:pStyle w:val="TableHeading"/>
            </w:pPr>
            <w:r>
              <w:t>Reform</w:t>
            </w:r>
          </w:p>
        </w:tc>
        <w:tc>
          <w:tcPr>
            <w:tcW w:w="2199" w:type="dxa"/>
          </w:tcPr>
          <w:p w14:paraId="6D4CF1D1"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391" w:type="dxa"/>
          </w:tcPr>
          <w:p w14:paraId="3BE5D889"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Expected Impact</w:t>
            </w:r>
          </w:p>
        </w:tc>
        <w:tc>
          <w:tcPr>
            <w:tcW w:w="2311" w:type="dxa"/>
          </w:tcPr>
          <w:p w14:paraId="7BB0D21D"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Global Benchmark</w:t>
            </w:r>
          </w:p>
        </w:tc>
        <w:tc>
          <w:tcPr>
            <w:tcW w:w="1455" w:type="dxa"/>
          </w:tcPr>
          <w:p w14:paraId="49799447"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76D45B9E" w14:textId="77777777" w:rsidTr="00727D26">
        <w:trPr>
          <w:trHeight w:val="1271"/>
        </w:trPr>
        <w:tc>
          <w:tcPr>
            <w:cnfStyle w:val="001000000000" w:firstRow="0" w:lastRow="0" w:firstColumn="1" w:lastColumn="0" w:oddVBand="0" w:evenVBand="0" w:oddHBand="0" w:evenHBand="0" w:firstRowFirstColumn="0" w:firstRowLastColumn="0" w:lastRowFirstColumn="0" w:lastRowLastColumn="0"/>
            <w:tcW w:w="2049" w:type="dxa"/>
          </w:tcPr>
          <w:p w14:paraId="4C68075F" w14:textId="77777777" w:rsidR="00646B26" w:rsidRDefault="00646B26" w:rsidP="00727D26">
            <w:pPr>
              <w:pStyle w:val="TableContents"/>
            </w:pPr>
            <w:r>
              <w:t>Independent Risk Committees</w:t>
            </w:r>
          </w:p>
        </w:tc>
        <w:tc>
          <w:tcPr>
            <w:tcW w:w="2199" w:type="dxa"/>
          </w:tcPr>
          <w:p w14:paraId="4DEF9A2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committees for credit risk oversight.</w:t>
            </w:r>
          </w:p>
        </w:tc>
        <w:tc>
          <w:tcPr>
            <w:tcW w:w="2391" w:type="dxa"/>
          </w:tcPr>
          <w:p w14:paraId="7BF9D7C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Enhances practice indices, reduces NPLs.</w:t>
            </w:r>
          </w:p>
        </w:tc>
        <w:tc>
          <w:tcPr>
            <w:tcW w:w="2311" w:type="dxa"/>
          </w:tcPr>
          <w:p w14:paraId="3AD7F90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Risk committee mandates (BCBS, 2010).</w:t>
            </w:r>
          </w:p>
        </w:tc>
        <w:tc>
          <w:tcPr>
            <w:tcW w:w="1455" w:type="dxa"/>
          </w:tcPr>
          <w:p w14:paraId="0A799EF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w:t>
            </w:r>
          </w:p>
        </w:tc>
      </w:tr>
      <w:tr w:rsidR="00646B26" w14:paraId="0BF40A75" w14:textId="77777777" w:rsidTr="00727D26">
        <w:trPr>
          <w:trHeight w:val="1249"/>
        </w:trPr>
        <w:tc>
          <w:tcPr>
            <w:cnfStyle w:val="001000000000" w:firstRow="0" w:lastRow="0" w:firstColumn="1" w:lastColumn="0" w:oddVBand="0" w:evenVBand="0" w:oddHBand="0" w:evenHBand="0" w:firstRowFirstColumn="0" w:firstRowLastColumn="0" w:lastRowFirstColumn="0" w:lastRowLastColumn="0"/>
            <w:tcW w:w="2049" w:type="dxa"/>
          </w:tcPr>
          <w:p w14:paraId="4BCBC032" w14:textId="77777777" w:rsidR="00646B26" w:rsidRDefault="00646B26" w:rsidP="00727D26">
            <w:pPr>
              <w:pStyle w:val="TableContents"/>
            </w:pPr>
            <w:r>
              <w:t>Robust Credit Assessment</w:t>
            </w:r>
          </w:p>
        </w:tc>
        <w:tc>
          <w:tcPr>
            <w:tcW w:w="2199" w:type="dxa"/>
          </w:tcPr>
          <w:p w14:paraId="62992B7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Implement stress testing, portfolio monitoring.</w:t>
            </w:r>
          </w:p>
        </w:tc>
        <w:tc>
          <w:tcPr>
            <w:tcW w:w="2391" w:type="dxa"/>
          </w:tcPr>
          <w:p w14:paraId="29260E6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Improves loan quality, strengthens practice indices.</w:t>
            </w:r>
          </w:p>
        </w:tc>
        <w:tc>
          <w:tcPr>
            <w:tcW w:w="2311" w:type="dxa"/>
          </w:tcPr>
          <w:p w14:paraId="3403AE3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Credit risk frameworks (BCBS, 2010).</w:t>
            </w:r>
          </w:p>
        </w:tc>
        <w:tc>
          <w:tcPr>
            <w:tcW w:w="1455" w:type="dxa"/>
          </w:tcPr>
          <w:p w14:paraId="0C3FF05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Ojo &amp; Ojo (2024)</w:t>
            </w:r>
          </w:p>
        </w:tc>
      </w:tr>
      <w:tr w:rsidR="00646B26" w14:paraId="66F57BD7" w14:textId="77777777" w:rsidTr="00727D26">
        <w:trPr>
          <w:trHeight w:val="1249"/>
        </w:trPr>
        <w:tc>
          <w:tcPr>
            <w:cnfStyle w:val="001000000000" w:firstRow="0" w:lastRow="0" w:firstColumn="1" w:lastColumn="0" w:oddVBand="0" w:evenVBand="0" w:oddHBand="0" w:evenHBand="0" w:firstRowFirstColumn="0" w:firstRowLastColumn="0" w:lastRowFirstColumn="0" w:lastRowLastColumn="0"/>
            <w:tcW w:w="2049" w:type="dxa"/>
          </w:tcPr>
          <w:p w14:paraId="2C41DD9B" w14:textId="77777777" w:rsidR="00646B26" w:rsidRDefault="00646B26" w:rsidP="00727D26">
            <w:pPr>
              <w:pStyle w:val="TableContents"/>
            </w:pPr>
            <w:r>
              <w:t>Protected Whistleblowing Channels</w:t>
            </w:r>
          </w:p>
        </w:tc>
        <w:tc>
          <w:tcPr>
            <w:tcW w:w="2199" w:type="dxa"/>
          </w:tcPr>
          <w:p w14:paraId="75DF588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anonymous, legally protected reporting.</w:t>
            </w:r>
          </w:p>
        </w:tc>
        <w:tc>
          <w:tcPr>
            <w:tcW w:w="2391" w:type="dxa"/>
          </w:tcPr>
          <w:p w14:paraId="1453147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Encourages fraud detection, enhances disclosure.</w:t>
            </w:r>
          </w:p>
        </w:tc>
        <w:tc>
          <w:tcPr>
            <w:tcW w:w="2311" w:type="dxa"/>
          </w:tcPr>
          <w:p w14:paraId="5246187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 Whistleblowing Directive (EU, 2019).</w:t>
            </w:r>
          </w:p>
        </w:tc>
        <w:tc>
          <w:tcPr>
            <w:tcW w:w="1455" w:type="dxa"/>
          </w:tcPr>
          <w:p w14:paraId="662650C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w:t>
            </w:r>
          </w:p>
        </w:tc>
      </w:tr>
      <w:tr w:rsidR="00646B26" w14:paraId="3818533F" w14:textId="77777777" w:rsidTr="00727D26">
        <w:trPr>
          <w:trHeight w:val="1680"/>
        </w:trPr>
        <w:tc>
          <w:tcPr>
            <w:cnfStyle w:val="001000000000" w:firstRow="0" w:lastRow="0" w:firstColumn="1" w:lastColumn="0" w:oddVBand="0" w:evenVBand="0" w:oddHBand="0" w:evenHBand="0" w:firstRowFirstColumn="0" w:firstRowLastColumn="0" w:lastRowFirstColumn="0" w:lastRowLastColumn="0"/>
            <w:tcW w:w="2049" w:type="dxa"/>
          </w:tcPr>
          <w:p w14:paraId="729CE4FB" w14:textId="77777777" w:rsidR="00646B26" w:rsidRDefault="00646B26" w:rsidP="00727D26">
            <w:pPr>
              <w:pStyle w:val="TableContents"/>
            </w:pPr>
            <w:r>
              <w:t>Enhanced CBN Enforcement</w:t>
            </w:r>
          </w:p>
        </w:tc>
        <w:tc>
          <w:tcPr>
            <w:tcW w:w="2199" w:type="dxa"/>
          </w:tcPr>
          <w:p w14:paraId="0809776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Empower CBN to sanction non-compliant risk practices.</w:t>
            </w:r>
          </w:p>
        </w:tc>
        <w:tc>
          <w:tcPr>
            <w:tcW w:w="2391" w:type="dxa"/>
          </w:tcPr>
          <w:p w14:paraId="6E35AA5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Strengthens compliance, supports audit committee independence.</w:t>
            </w:r>
          </w:p>
        </w:tc>
        <w:tc>
          <w:tcPr>
            <w:tcW w:w="2311" w:type="dxa"/>
          </w:tcPr>
          <w:p w14:paraId="1BD5A1B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OECD Principles: Regulatory enforcement (OECD, 2023).</w:t>
            </w:r>
          </w:p>
        </w:tc>
        <w:tc>
          <w:tcPr>
            <w:tcW w:w="1455" w:type="dxa"/>
          </w:tcPr>
          <w:p w14:paraId="6DAA44A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Afolabi &amp; Afolabi (2024)</w:t>
            </w:r>
          </w:p>
        </w:tc>
      </w:tr>
    </w:tbl>
    <w:p w14:paraId="183E618B" w14:textId="77777777" w:rsidR="00646B26" w:rsidRDefault="00646B26" w:rsidP="00646B26">
      <w:pPr>
        <w:pStyle w:val="BodyText"/>
        <w:spacing w:line="480" w:lineRule="auto"/>
      </w:pPr>
      <w:r>
        <w:t>Note: Adapted from BCBS (2010), EU (2019), and Afolabi and Afolabi (2024). Reforms address disclosure, practice, compliance, and audit committee independence.</w:t>
      </w:r>
    </w:p>
    <w:p w14:paraId="2C30DA2E" w14:textId="77777777" w:rsidR="00646B26" w:rsidRDefault="00646B26" w:rsidP="00646B26">
      <w:pPr>
        <w:pStyle w:val="Heading3"/>
        <w:rPr>
          <w:rFonts w:eastAsia="Times New Roman"/>
        </w:rPr>
      </w:pPr>
      <w:bookmarkStart w:id="84" w:name="_Toc211278888"/>
      <w:r>
        <w:rPr>
          <w:rFonts w:eastAsia="Times New Roman"/>
        </w:rPr>
        <w:t>2.8.6 Ties to Corporate Governance Indices</w:t>
      </w:r>
      <w:bookmarkEnd w:id="84"/>
    </w:p>
    <w:p w14:paraId="692ED187" w14:textId="77777777" w:rsidR="00646B26" w:rsidRDefault="00646B26" w:rsidP="00646B26">
      <w:pPr>
        <w:pStyle w:val="BodyText"/>
        <w:spacing w:line="480" w:lineRule="auto"/>
      </w:pPr>
      <w:r>
        <w:t xml:space="preserve">Practice index failures and weak whistleblowing mechanisms undermine the core indices of disclosure, practice, and compliance. Lax lending practices erode disclosure by enabling fraud concealment, as seen in Oceanic Bank’s falsified reports (Sanusi, 2009). Compliance is weakened by unqualified management and weak controls, allowing insider abuses (Nwoko et al., 2022). Practice indices suffer </w:t>
      </w:r>
      <w:r w:rsidRPr="00A35F1C">
        <w:t xml:space="preserve">from poor risk assessment, leading to systemic instability (Owolabi, 2013). Risk management is directly compromised, </w:t>
      </w:r>
      <w:r w:rsidRPr="00A35F1C">
        <w:lastRenderedPageBreak/>
        <w:t>driving NPL spikes (Adegboye, 2020). Audit-committee independence is undermined by ineffective risk oversight, as noted by Afolabi and Afolabi (2024), particularly where financial-reporting integrity does not effectively mediate the pathway to NPL reduction. These interconnected failures highlight the need for reforms to restore robust practice indices.</w:t>
      </w:r>
    </w:p>
    <w:p w14:paraId="4429186F" w14:textId="77777777" w:rsidR="00646B26" w:rsidRPr="00A35F1C" w:rsidRDefault="00646B26" w:rsidP="00646B26">
      <w:r w:rsidRPr="00A35F1C">
        <w:rPr>
          <w:highlight w:val="yellow"/>
        </w:rPr>
        <w:t xml:space="preserve">Practice index failures and weak whistleblowing mechanisms in Nigeria’s deposit money banking sector, characterized by lax lending and fraud concealment, significantly drive NPLs and systemic instability, as seen in the 2009 crisis (Adegboye, 2020; </w:t>
      </w:r>
      <w:proofErr w:type="spellStart"/>
      <w:r w:rsidRPr="00A35F1C">
        <w:rPr>
          <w:highlight w:val="yellow"/>
        </w:rPr>
        <w:t>Olojede</w:t>
      </w:r>
      <w:proofErr w:type="spellEnd"/>
      <w:r w:rsidRPr="00A35F1C">
        <w:rPr>
          <w:highlight w:val="yellow"/>
        </w:rPr>
        <w:t xml:space="preserve"> et al., 2020; Sanusi, 2009). Compared to global standards like Basel III and EU whistleblowing frameworks, Nigeria’s practices fall short, lacking robust practice indices and protected reporting channels (BCBS, 2010; EU, 2019). These deficiencies, rooted in unqualified management and regulatory gaps, exacerbate default risk, undermining financial stability. This section supports OB1 and H1 by linking effective practice indices to NPL reduction and highlights the urgent need for reforms, such as adopting Basel III-aligned practice frameworks and EU-style whistleblowing protections, to align with global standards and strengthen Nigeria’s deposit money banking sector. Subsequent sections will explore additional governance mechanisms impacting default risk. Recent studies by Afolabi and Afolabi (2024) reinforce how risk failures affect disclosure and audit-committee independence (including its mediation by financial-reporting integrity).</w:t>
      </w:r>
    </w:p>
    <w:p w14:paraId="779B45D8" w14:textId="77777777" w:rsidR="00646B26" w:rsidRDefault="00646B26" w:rsidP="00646B26">
      <w:pPr>
        <w:pStyle w:val="Heading2"/>
        <w:rPr>
          <w:rFonts w:eastAsia="Times New Roman"/>
        </w:rPr>
      </w:pPr>
      <w:bookmarkStart w:id="85" w:name="_Toc211278889"/>
      <w:r>
        <w:rPr>
          <w:rFonts w:eastAsia="Times New Roman"/>
        </w:rPr>
        <w:t>2.9 NPLs as a Measure of Default Risk</w:t>
      </w:r>
      <w:bookmarkEnd w:id="85"/>
    </w:p>
    <w:p w14:paraId="1AD36269" w14:textId="77777777" w:rsidR="00646B26" w:rsidRDefault="00646B26" w:rsidP="00646B26">
      <w:r w:rsidRPr="00A35F1C">
        <w:t xml:space="preserve">Non-performing loans (NPL) ratios, defined as loans overdue by 90 days or more as a percentage of total loans, serve as a critical measure of default risk in Nigeria’s deposit money banking sector, reflecting governance deficiencies that undermine financial stability and contribute to systemic crises, with 425 bank failures recorded since 1988 (Udo, 2020). NPL ratios deplete bank capital, erode liquidity, and signal weak practice indices, as evidenced by peaks of 37% in 2009 and 20% in 2017, far exceeding </w:t>
      </w:r>
      <w:r w:rsidRPr="00A35F1C">
        <w:lastRenderedPageBreak/>
        <w:t xml:space="preserve">the CBN’s 5% threshold, as seen in cases like Oceanic Bank (Nwosu, 2020; Adegboye, 2020). Recent 2024 data </w:t>
      </w:r>
      <w:proofErr w:type="gramStart"/>
      <w:r w:rsidRPr="00A35F1C">
        <w:t>indicates</w:t>
      </w:r>
      <w:proofErr w:type="gramEnd"/>
      <w:r w:rsidRPr="00A35F1C">
        <w:t xml:space="preserve"> persistent challenges, with NPL ratios at 5.62% in April, driven by economic pressures like inflation and asset reclassifications (CBN, 2024).</w:t>
      </w:r>
    </w:p>
    <w:p w14:paraId="3A73220C" w14:textId="77777777" w:rsidR="00646B26" w:rsidRDefault="00646B26" w:rsidP="00646B26">
      <w:r w:rsidRPr="00A35F1C">
        <w:t xml:space="preserve"> These spikes, driven by governance failures such as insider lending and inadequate oversight, highlight the urgent need for reforms to mitigate default risk. This section discusses NPL ratios as a measure of default risk, citing global and Nigerian studies, examines governance deficiencies as key NPL drivers, and addresses data reliability issues and the need for cross-validation, aligning with the research’s objectives to address governance challenges impacting financial stability. To expand, Ojo and Ojo (2024) link NPL ratios to audit-committee independence (including its mediation by financial-reporting integrity) and practice index deficiencies, emphasizing their role in disclosure and compliance.</w:t>
      </w:r>
    </w:p>
    <w:p w14:paraId="6DEE0045" w14:textId="77777777" w:rsidR="00646B26" w:rsidRPr="00A35F1C" w:rsidRDefault="00646B26" w:rsidP="00646B26"/>
    <w:p w14:paraId="5E8D5611" w14:textId="77777777" w:rsidR="00646B26" w:rsidRDefault="00646B26" w:rsidP="00646B26">
      <w:pPr>
        <w:pStyle w:val="BodyText"/>
        <w:spacing w:line="480" w:lineRule="auto"/>
      </w:pPr>
      <w:r>
        <w:t xml:space="preserve">NPL ratios are a widely recognized indicator of default risk in banking, capturing loan recovery failures that increase insolvency risks and threaten financial stability (Fernando et al., 2019). Globally, Fernando et al. (2019) argue that NPL ratios reflect credit risk stemming from poor lending practices and weak governance, with higher NPL ratios correlating with bank distress, particularly in emerging markets. In Nigeria, Natufe and Evbayiro-Osagie (2023) validate NPL ratios as a robust measure, aligning with the CBN’s 5% threshold, as they directly signal governance lapses such as inadequate risk assessment and insider abuses. For instance, the 2009 banking crisis, where NPL ratios reached 37%, underscored how governance failures led to systemic instability, requiring a $3.9 billion CBN intervention (Sanusi, 2009). </w:t>
      </w:r>
    </w:p>
    <w:p w14:paraId="6F2BC5E1" w14:textId="77777777" w:rsidR="00646B26" w:rsidRPr="00D142FE" w:rsidRDefault="00646B26" w:rsidP="00646B26">
      <w:r w:rsidRPr="00D142FE">
        <w:t xml:space="preserve">NPL ratios’ prominence in emerging market research makes them a suitable metric for assessing default risk in Nigeria, though Fernando et al. (2019) note their limitation in overlooking liquidity or operational risks, necessitating a comprehensive risk analysis. </w:t>
      </w:r>
      <w:proofErr w:type="spellStart"/>
      <w:r w:rsidRPr="00D142FE">
        <w:t>Natufe</w:t>
      </w:r>
      <w:proofErr w:type="spellEnd"/>
      <w:r w:rsidRPr="00D142FE">
        <w:t xml:space="preserve"> and </w:t>
      </w:r>
      <w:proofErr w:type="spellStart"/>
      <w:r w:rsidRPr="00D142FE">
        <w:t>Evbayiro</w:t>
      </w:r>
      <w:proofErr w:type="spellEnd"/>
      <w:r w:rsidRPr="00D142FE">
        <w:t xml:space="preserve">-Osagie (2023) emphasize that NPL ratios’ sensitivity to governance quality makes them a critical focus for reform, particularly in </w:t>
      </w:r>
      <w:r w:rsidRPr="00D142FE">
        <w:lastRenderedPageBreak/>
        <w:t>contexts like Nigeria, where systemic weaknesses persist. Recent studies by Afolabi and Afolabi (2024) add that NPL ratios reflect deficiencies in practice indices and disclosure, as weak audit oversight allows misclassification of loans. As of April 2024, NPL ratios at 5.62% highlight ongoing governance challenges (CBN, 2024).</w:t>
      </w:r>
    </w:p>
    <w:tbl>
      <w:tblPr>
        <w:tblStyle w:val="GridTable1Light-Accent4"/>
        <w:tblW w:w="10134" w:type="dxa"/>
        <w:tblLayout w:type="fixed"/>
        <w:tblLook w:val="04A0" w:firstRow="1" w:lastRow="0" w:firstColumn="1" w:lastColumn="0" w:noHBand="0" w:noVBand="1"/>
      </w:tblPr>
      <w:tblGrid>
        <w:gridCol w:w="945"/>
        <w:gridCol w:w="2039"/>
        <w:gridCol w:w="2451"/>
        <w:gridCol w:w="2681"/>
        <w:gridCol w:w="2018"/>
      </w:tblGrid>
      <w:tr w:rsidR="00646B26" w14:paraId="24A34C8C" w14:textId="77777777" w:rsidTr="00727D26">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945" w:type="dxa"/>
          </w:tcPr>
          <w:p w14:paraId="7D5344AB" w14:textId="77777777" w:rsidR="00646B26" w:rsidRDefault="00646B26" w:rsidP="00727D26">
            <w:pPr>
              <w:pStyle w:val="TableHeading"/>
            </w:pPr>
            <w:r>
              <w:t>Year</w:t>
            </w:r>
          </w:p>
        </w:tc>
        <w:tc>
          <w:tcPr>
            <w:tcW w:w="2039" w:type="dxa"/>
          </w:tcPr>
          <w:p w14:paraId="7E7E3E97"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NPL Ratio (%)</w:t>
            </w:r>
          </w:p>
        </w:tc>
        <w:tc>
          <w:tcPr>
            <w:tcW w:w="2451" w:type="dxa"/>
          </w:tcPr>
          <w:p w14:paraId="4C342B67"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Key Event</w:t>
            </w:r>
          </w:p>
        </w:tc>
        <w:tc>
          <w:tcPr>
            <w:tcW w:w="2681" w:type="dxa"/>
          </w:tcPr>
          <w:p w14:paraId="0871F4B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Governance Driver</w:t>
            </w:r>
          </w:p>
        </w:tc>
        <w:tc>
          <w:tcPr>
            <w:tcW w:w="2018" w:type="dxa"/>
          </w:tcPr>
          <w:p w14:paraId="16C5282F"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62D4885F" w14:textId="77777777" w:rsidTr="00727D26">
        <w:trPr>
          <w:trHeight w:val="803"/>
        </w:trPr>
        <w:tc>
          <w:tcPr>
            <w:cnfStyle w:val="001000000000" w:firstRow="0" w:lastRow="0" w:firstColumn="1" w:lastColumn="0" w:oddVBand="0" w:evenVBand="0" w:oddHBand="0" w:evenHBand="0" w:firstRowFirstColumn="0" w:firstRowLastColumn="0" w:lastRowFirstColumn="0" w:lastRowLastColumn="0"/>
            <w:tcW w:w="945" w:type="dxa"/>
          </w:tcPr>
          <w:p w14:paraId="27BC568D" w14:textId="77777777" w:rsidR="00646B26" w:rsidRDefault="00646B26" w:rsidP="00727D26">
            <w:pPr>
              <w:pStyle w:val="TableContents"/>
            </w:pPr>
            <w:r>
              <w:t>1988-2008</w:t>
            </w:r>
          </w:p>
        </w:tc>
        <w:tc>
          <w:tcPr>
            <w:tcW w:w="2039" w:type="dxa"/>
          </w:tcPr>
          <w:p w14:paraId="7F5121D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Cumulative 425 bank failures</w:t>
            </w:r>
          </w:p>
        </w:tc>
        <w:tc>
          <w:tcPr>
            <w:tcW w:w="2451" w:type="dxa"/>
          </w:tcPr>
          <w:p w14:paraId="668BD49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Pre-consolidation distress.</w:t>
            </w:r>
          </w:p>
        </w:tc>
        <w:tc>
          <w:tcPr>
            <w:tcW w:w="2681" w:type="dxa"/>
          </w:tcPr>
          <w:p w14:paraId="1D66F05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 oversight, cronyism.</w:t>
            </w:r>
          </w:p>
        </w:tc>
        <w:tc>
          <w:tcPr>
            <w:tcW w:w="2018" w:type="dxa"/>
          </w:tcPr>
          <w:p w14:paraId="111EBA0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Udo (2020)</w:t>
            </w:r>
          </w:p>
        </w:tc>
      </w:tr>
      <w:tr w:rsidR="00646B26" w14:paraId="07701A80" w14:textId="77777777" w:rsidTr="00727D26">
        <w:trPr>
          <w:trHeight w:val="803"/>
        </w:trPr>
        <w:tc>
          <w:tcPr>
            <w:cnfStyle w:val="001000000000" w:firstRow="0" w:lastRow="0" w:firstColumn="1" w:lastColumn="0" w:oddVBand="0" w:evenVBand="0" w:oddHBand="0" w:evenHBand="0" w:firstRowFirstColumn="0" w:firstRowLastColumn="0" w:lastRowFirstColumn="0" w:lastRowLastColumn="0"/>
            <w:tcW w:w="945" w:type="dxa"/>
          </w:tcPr>
          <w:p w14:paraId="0E8083D3" w14:textId="77777777" w:rsidR="00646B26" w:rsidRDefault="00646B26" w:rsidP="00727D26">
            <w:pPr>
              <w:pStyle w:val="TableContents"/>
            </w:pPr>
            <w:r>
              <w:t>2009</w:t>
            </w:r>
          </w:p>
        </w:tc>
        <w:tc>
          <w:tcPr>
            <w:tcW w:w="2039" w:type="dxa"/>
          </w:tcPr>
          <w:p w14:paraId="734DEAE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37% peak</w:t>
            </w:r>
          </w:p>
        </w:tc>
        <w:tc>
          <w:tcPr>
            <w:tcW w:w="2451" w:type="dxa"/>
          </w:tcPr>
          <w:p w14:paraId="0F3A658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Banking crisis, $3.9B bailout.</w:t>
            </w:r>
          </w:p>
        </w:tc>
        <w:tc>
          <w:tcPr>
            <w:tcW w:w="2681" w:type="dxa"/>
          </w:tcPr>
          <w:p w14:paraId="4E56E22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Insider lending, audit failures.</w:t>
            </w:r>
          </w:p>
        </w:tc>
        <w:tc>
          <w:tcPr>
            <w:tcW w:w="2018" w:type="dxa"/>
          </w:tcPr>
          <w:p w14:paraId="762F161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Sanusi (2009), Nwosu (2020)</w:t>
            </w:r>
          </w:p>
        </w:tc>
      </w:tr>
      <w:tr w:rsidR="00646B26" w14:paraId="13B0D76E" w14:textId="77777777" w:rsidTr="00727D26">
        <w:trPr>
          <w:trHeight w:val="803"/>
        </w:trPr>
        <w:tc>
          <w:tcPr>
            <w:cnfStyle w:val="001000000000" w:firstRow="0" w:lastRow="0" w:firstColumn="1" w:lastColumn="0" w:oddVBand="0" w:evenVBand="0" w:oddHBand="0" w:evenHBand="0" w:firstRowFirstColumn="0" w:firstRowLastColumn="0" w:lastRowFirstColumn="0" w:lastRowLastColumn="0"/>
            <w:tcW w:w="945" w:type="dxa"/>
          </w:tcPr>
          <w:p w14:paraId="72B54A62" w14:textId="77777777" w:rsidR="00646B26" w:rsidRDefault="00646B26" w:rsidP="00727D26">
            <w:pPr>
              <w:pStyle w:val="TableContents"/>
            </w:pPr>
            <w:r>
              <w:t>2017</w:t>
            </w:r>
          </w:p>
        </w:tc>
        <w:tc>
          <w:tcPr>
            <w:tcW w:w="2039" w:type="dxa"/>
          </w:tcPr>
          <w:p w14:paraId="2FF3800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20%</w:t>
            </w:r>
          </w:p>
        </w:tc>
        <w:tc>
          <w:tcPr>
            <w:tcW w:w="2451" w:type="dxa"/>
          </w:tcPr>
          <w:p w14:paraId="2B841C2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Post-recession spike.</w:t>
            </w:r>
          </w:p>
        </w:tc>
        <w:tc>
          <w:tcPr>
            <w:tcW w:w="2681" w:type="dxa"/>
          </w:tcPr>
          <w:p w14:paraId="0639158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Lax lending, unqualified management.</w:t>
            </w:r>
          </w:p>
        </w:tc>
        <w:tc>
          <w:tcPr>
            <w:tcW w:w="2018" w:type="dxa"/>
          </w:tcPr>
          <w:p w14:paraId="56FBC49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w:t>
            </w:r>
          </w:p>
        </w:tc>
      </w:tr>
      <w:tr w:rsidR="00646B26" w14:paraId="03283850" w14:textId="77777777" w:rsidTr="00727D26">
        <w:trPr>
          <w:trHeight w:val="782"/>
        </w:trPr>
        <w:tc>
          <w:tcPr>
            <w:cnfStyle w:val="001000000000" w:firstRow="0" w:lastRow="0" w:firstColumn="1" w:lastColumn="0" w:oddVBand="0" w:evenVBand="0" w:oddHBand="0" w:evenHBand="0" w:firstRowFirstColumn="0" w:firstRowLastColumn="0" w:lastRowFirstColumn="0" w:lastRowLastColumn="0"/>
            <w:tcW w:w="945" w:type="dxa"/>
          </w:tcPr>
          <w:p w14:paraId="024547E5" w14:textId="77777777" w:rsidR="00646B26" w:rsidRDefault="00646B26" w:rsidP="00727D26">
            <w:pPr>
              <w:pStyle w:val="TableContents"/>
            </w:pPr>
            <w:r>
              <w:t>April 2024</w:t>
            </w:r>
          </w:p>
        </w:tc>
        <w:tc>
          <w:tcPr>
            <w:tcW w:w="2039" w:type="dxa"/>
          </w:tcPr>
          <w:p w14:paraId="36E3C0C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5.62%</w:t>
            </w:r>
          </w:p>
        </w:tc>
        <w:tc>
          <w:tcPr>
            <w:tcW w:w="2451" w:type="dxa"/>
          </w:tcPr>
          <w:p w14:paraId="5A669E8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Exceeds 5% threshold.</w:t>
            </w:r>
          </w:p>
        </w:tc>
        <w:tc>
          <w:tcPr>
            <w:tcW w:w="2681" w:type="dxa"/>
          </w:tcPr>
          <w:p w14:paraId="2DDC9FE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Asset reclassification, inflation.</w:t>
            </w:r>
          </w:p>
        </w:tc>
        <w:tc>
          <w:tcPr>
            <w:tcW w:w="2018" w:type="dxa"/>
          </w:tcPr>
          <w:p w14:paraId="03EF01E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 (2024)</w:t>
            </w:r>
          </w:p>
        </w:tc>
      </w:tr>
    </w:tbl>
    <w:p w14:paraId="3904F62E" w14:textId="77777777" w:rsidR="00646B26" w:rsidRDefault="00646B26" w:rsidP="00646B26">
      <w:pPr>
        <w:pStyle w:val="BodyText"/>
        <w:spacing w:line="480" w:lineRule="auto"/>
      </w:pPr>
      <w:r>
        <w:t>Note: Adapted from Sanusi (2009), Adegboye (2020), and recent 2024 reports. Ties to disclosure, practice, compliance, and audit committee independence.</w:t>
      </w:r>
    </w:p>
    <w:p w14:paraId="0E65277F" w14:textId="77777777" w:rsidR="00646B26" w:rsidRDefault="00646B26" w:rsidP="00646B26">
      <w:pPr>
        <w:pStyle w:val="Heading4"/>
        <w:spacing w:before="0" w:after="283"/>
        <w:rPr>
          <w:rFonts w:eastAsia="Times New Roman" w:cs="Times New Roman"/>
        </w:rPr>
      </w:pPr>
      <w:r>
        <w:rPr>
          <w:rFonts w:eastAsia="Times New Roman" w:cs="Times New Roman"/>
        </w:rPr>
        <w:t>2.9.1 Governance Deficiencies as Drivers of NPLs</w:t>
      </w:r>
    </w:p>
    <w:p w14:paraId="59A8E304" w14:textId="77777777" w:rsidR="00646B26" w:rsidRPr="00D142FE" w:rsidRDefault="00646B26" w:rsidP="00646B26">
      <w:r w:rsidRPr="00D142FE">
        <w:t xml:space="preserve">Governance deficiencies, including weak board oversight, unqualified management, and inadequate practice indices, are primary drivers of NPL ratios in Nigeria’s deposit money banking sector, as evidenced by the significant spikes in 2009 (37%) and 2017 (20%) (Nwosu, 2020; Adegboye, 2020). Adegboye (2020) highlights that lax lending practices, often enabled by unqualified executives and politically motivated appointments, result in poor credit assessments, as seen in banks like Intercontinental and Bank PHB, where mismanagement </w:t>
      </w:r>
      <w:proofErr w:type="spellStart"/>
      <w:r w:rsidRPr="00D142FE">
        <w:t>fueled</w:t>
      </w:r>
      <w:proofErr w:type="spellEnd"/>
      <w:r w:rsidRPr="00D142FE">
        <w:t xml:space="preserve"> financial distress (Owolabi, 2013). The 2009 crisis, driven by insider lending, exemplifies this, with Oceanic Bank’s NPLs, 75% of which were tied to family-controlled entities, reflecting weak board and audit-committee oversight (Sanusi, 2009). Nwosu (2020) argues that concentrated ownership and the absence of independent nomination </w:t>
      </w:r>
      <w:r w:rsidRPr="00D142FE">
        <w:lastRenderedPageBreak/>
        <w:t>committees in 61% of deposit money banks allow self-interested management to dominate, undermining practice indices and driving NPL ratios (</w:t>
      </w:r>
      <w:proofErr w:type="spellStart"/>
      <w:r w:rsidRPr="00D142FE">
        <w:t>Ogbechie</w:t>
      </w:r>
      <w:proofErr w:type="spellEnd"/>
      <w:r w:rsidRPr="00D142FE">
        <w:t>, 2016). Regulatory multiplicity, with conflicting codes like CAMA 2020 and NCCG 2018, further exacerbates these issues by enabling selective compliance, as banks exploit ambiguities to conceal financial distress (Abdulmalik &amp; Ahmad, 2020). These governance failures, rooted in historical legacies of cronyism and weak enforcement consistency, directly contribute to NPL spikes, eroding capital and triggering systemic instability, as seen in mass deposit withdrawals during the 2009 crisis (Sanusi, 2009). Ojo and Ojo (2024) expand this by linking NPL drivers to audit-committee independence (including its mediation by financial-reporting integrity), noting that weak oversight allows fraud concealment, undermining disclosure and practice indices.</w:t>
      </w:r>
    </w:p>
    <w:tbl>
      <w:tblPr>
        <w:tblStyle w:val="GridTable1Light-Accent4"/>
        <w:tblW w:w="9972" w:type="dxa"/>
        <w:tblLayout w:type="fixed"/>
        <w:tblLook w:val="04A0" w:firstRow="1" w:lastRow="0" w:firstColumn="1" w:lastColumn="0" w:noHBand="0" w:noVBand="1"/>
      </w:tblPr>
      <w:tblGrid>
        <w:gridCol w:w="1733"/>
        <w:gridCol w:w="1951"/>
        <w:gridCol w:w="2354"/>
        <w:gridCol w:w="2205"/>
        <w:gridCol w:w="1729"/>
      </w:tblGrid>
      <w:tr w:rsidR="00646B26" w14:paraId="005E162B" w14:textId="77777777" w:rsidTr="00727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3F19ECEA" w14:textId="77777777" w:rsidR="00646B26" w:rsidRDefault="00646B26" w:rsidP="00727D26">
            <w:pPr>
              <w:pStyle w:val="TableHeading"/>
            </w:pPr>
            <w:r>
              <w:t>Deficiency</w:t>
            </w:r>
          </w:p>
        </w:tc>
        <w:tc>
          <w:tcPr>
            <w:tcW w:w="1951" w:type="dxa"/>
          </w:tcPr>
          <w:p w14:paraId="60A2AC64"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354" w:type="dxa"/>
          </w:tcPr>
          <w:p w14:paraId="5BBC5AEF"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Example</w:t>
            </w:r>
          </w:p>
        </w:tc>
        <w:tc>
          <w:tcPr>
            <w:tcW w:w="2205" w:type="dxa"/>
          </w:tcPr>
          <w:p w14:paraId="63F95E29"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Impact on CG Indices</w:t>
            </w:r>
          </w:p>
        </w:tc>
        <w:tc>
          <w:tcPr>
            <w:tcW w:w="1729" w:type="dxa"/>
          </w:tcPr>
          <w:p w14:paraId="709E34D7"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18524307" w14:textId="77777777" w:rsidTr="00727D26">
        <w:tc>
          <w:tcPr>
            <w:cnfStyle w:val="001000000000" w:firstRow="0" w:lastRow="0" w:firstColumn="1" w:lastColumn="0" w:oddVBand="0" w:evenVBand="0" w:oddHBand="0" w:evenHBand="0" w:firstRowFirstColumn="0" w:firstRowLastColumn="0" w:lastRowFirstColumn="0" w:lastRowLastColumn="0"/>
            <w:tcW w:w="1733" w:type="dxa"/>
          </w:tcPr>
          <w:p w14:paraId="34851F0D" w14:textId="77777777" w:rsidR="00646B26" w:rsidRDefault="00646B26" w:rsidP="00727D26">
            <w:pPr>
              <w:pStyle w:val="TableContents"/>
            </w:pPr>
            <w:r>
              <w:t>Weak Board Oversight</w:t>
            </w:r>
          </w:p>
        </w:tc>
        <w:tc>
          <w:tcPr>
            <w:tcW w:w="1951" w:type="dxa"/>
          </w:tcPr>
          <w:p w14:paraId="72050EB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Boards fail to monitor lending due to cronyism.</w:t>
            </w:r>
          </w:p>
        </w:tc>
        <w:tc>
          <w:tcPr>
            <w:tcW w:w="2354" w:type="dxa"/>
          </w:tcPr>
          <w:p w14:paraId="471348C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insider loans (75% of NPLs).</w:t>
            </w:r>
          </w:p>
        </w:tc>
        <w:tc>
          <w:tcPr>
            <w:tcW w:w="2205" w:type="dxa"/>
          </w:tcPr>
          <w:p w14:paraId="49DC6F6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compliance and risk management.</w:t>
            </w:r>
          </w:p>
        </w:tc>
        <w:tc>
          <w:tcPr>
            <w:tcW w:w="1729" w:type="dxa"/>
          </w:tcPr>
          <w:p w14:paraId="28A9E21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Sanusi (2009), </w:t>
            </w:r>
            <w:proofErr w:type="spellStart"/>
            <w:r>
              <w:t>Ogbechie</w:t>
            </w:r>
            <w:proofErr w:type="spellEnd"/>
            <w:r>
              <w:t xml:space="preserve"> (2016)</w:t>
            </w:r>
          </w:p>
        </w:tc>
      </w:tr>
      <w:tr w:rsidR="00646B26" w14:paraId="6A00AADA" w14:textId="77777777" w:rsidTr="00727D26">
        <w:tc>
          <w:tcPr>
            <w:cnfStyle w:val="001000000000" w:firstRow="0" w:lastRow="0" w:firstColumn="1" w:lastColumn="0" w:oddVBand="0" w:evenVBand="0" w:oddHBand="0" w:evenHBand="0" w:firstRowFirstColumn="0" w:firstRowLastColumn="0" w:lastRowFirstColumn="0" w:lastRowLastColumn="0"/>
            <w:tcW w:w="1733" w:type="dxa"/>
          </w:tcPr>
          <w:p w14:paraId="26E21466" w14:textId="77777777" w:rsidR="00646B26" w:rsidRDefault="00646B26" w:rsidP="00727D26">
            <w:pPr>
              <w:pStyle w:val="TableContents"/>
            </w:pPr>
            <w:r>
              <w:t>Unqualified Management</w:t>
            </w:r>
          </w:p>
        </w:tc>
        <w:tc>
          <w:tcPr>
            <w:tcW w:w="1951" w:type="dxa"/>
          </w:tcPr>
          <w:p w14:paraId="4A35510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Politically motivated appointments lack expertise.</w:t>
            </w:r>
          </w:p>
        </w:tc>
        <w:tc>
          <w:tcPr>
            <w:tcW w:w="2354" w:type="dxa"/>
          </w:tcPr>
          <w:p w14:paraId="7A71D6A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Intercontinental Bank’s poor risk controls.</w:t>
            </w:r>
          </w:p>
        </w:tc>
        <w:tc>
          <w:tcPr>
            <w:tcW w:w="2205" w:type="dxa"/>
          </w:tcPr>
          <w:p w14:paraId="7C439F9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Weakens practice indices, erodes disclosure.</w:t>
            </w:r>
          </w:p>
        </w:tc>
        <w:tc>
          <w:tcPr>
            <w:tcW w:w="1729" w:type="dxa"/>
          </w:tcPr>
          <w:p w14:paraId="494EAAF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 Owolabi (2013)</w:t>
            </w:r>
          </w:p>
        </w:tc>
      </w:tr>
      <w:tr w:rsidR="00646B26" w14:paraId="57C3A4EB" w14:textId="77777777" w:rsidTr="00727D26">
        <w:tc>
          <w:tcPr>
            <w:cnfStyle w:val="001000000000" w:firstRow="0" w:lastRow="0" w:firstColumn="1" w:lastColumn="0" w:oddVBand="0" w:evenVBand="0" w:oddHBand="0" w:evenHBand="0" w:firstRowFirstColumn="0" w:firstRowLastColumn="0" w:lastRowFirstColumn="0" w:lastRowLastColumn="0"/>
            <w:tcW w:w="1733" w:type="dxa"/>
          </w:tcPr>
          <w:p w14:paraId="36A75C17" w14:textId="77777777" w:rsidR="00646B26" w:rsidRDefault="00646B26" w:rsidP="00727D26">
            <w:pPr>
              <w:pStyle w:val="TableContents"/>
            </w:pPr>
            <w:r>
              <w:t>Regulatory Multiplicity</w:t>
            </w:r>
          </w:p>
        </w:tc>
        <w:tc>
          <w:tcPr>
            <w:tcW w:w="1951" w:type="dxa"/>
          </w:tcPr>
          <w:p w14:paraId="4D84B19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Conflicting codes enable selective compliance.</w:t>
            </w:r>
          </w:p>
        </w:tc>
        <w:tc>
          <w:tcPr>
            <w:tcW w:w="2354" w:type="dxa"/>
          </w:tcPr>
          <w:p w14:paraId="769E333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Banks exploit CAMA/NCCG gaps to hide NPLs.</w:t>
            </w:r>
          </w:p>
        </w:tc>
        <w:tc>
          <w:tcPr>
            <w:tcW w:w="2205" w:type="dxa"/>
          </w:tcPr>
          <w:p w14:paraId="2E1FAFC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compliance, affects audit committee independence.</w:t>
            </w:r>
          </w:p>
        </w:tc>
        <w:tc>
          <w:tcPr>
            <w:tcW w:w="1729" w:type="dxa"/>
          </w:tcPr>
          <w:p w14:paraId="10A652D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Abdulmalik &amp; Ahmad (2020), Ojo &amp; Ojo (2024)</w:t>
            </w:r>
          </w:p>
        </w:tc>
      </w:tr>
      <w:tr w:rsidR="00646B26" w14:paraId="100361BB" w14:textId="77777777" w:rsidTr="00727D26">
        <w:tc>
          <w:tcPr>
            <w:cnfStyle w:val="001000000000" w:firstRow="0" w:lastRow="0" w:firstColumn="1" w:lastColumn="0" w:oddVBand="0" w:evenVBand="0" w:oddHBand="0" w:evenHBand="0" w:firstRowFirstColumn="0" w:firstRowLastColumn="0" w:lastRowFirstColumn="0" w:lastRowLastColumn="0"/>
            <w:tcW w:w="1733" w:type="dxa"/>
          </w:tcPr>
          <w:p w14:paraId="079A9D6C" w14:textId="77777777" w:rsidR="00646B26" w:rsidRDefault="00646B26" w:rsidP="00727D26">
            <w:pPr>
              <w:pStyle w:val="TableContents"/>
            </w:pPr>
            <w:r>
              <w:t>Absent Nomination Committees</w:t>
            </w:r>
          </w:p>
        </w:tc>
        <w:tc>
          <w:tcPr>
            <w:tcW w:w="1951" w:type="dxa"/>
          </w:tcPr>
          <w:p w14:paraId="5195E7B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61% of banks lack independent committees.</w:t>
            </w:r>
          </w:p>
        </w:tc>
        <w:tc>
          <w:tcPr>
            <w:tcW w:w="2354" w:type="dxa"/>
          </w:tcPr>
          <w:p w14:paraId="7EE81DA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 PHB’s mismanagement from unqualified appointees.</w:t>
            </w:r>
          </w:p>
        </w:tc>
        <w:tc>
          <w:tcPr>
            <w:tcW w:w="2205" w:type="dxa"/>
          </w:tcPr>
          <w:p w14:paraId="29C6109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Compromises practice indices and risk management.</w:t>
            </w:r>
          </w:p>
        </w:tc>
        <w:tc>
          <w:tcPr>
            <w:tcW w:w="1729" w:type="dxa"/>
          </w:tcPr>
          <w:p w14:paraId="2E766B6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 Afolabi &amp; Afolabi (2024)</w:t>
            </w:r>
          </w:p>
        </w:tc>
      </w:tr>
    </w:tbl>
    <w:p w14:paraId="6CC8FA74" w14:textId="77777777" w:rsidR="00646B26" w:rsidRDefault="00646B26" w:rsidP="00646B26">
      <w:pPr>
        <w:pStyle w:val="BodyText"/>
        <w:spacing w:line="480" w:lineRule="auto"/>
      </w:pPr>
      <w:r>
        <w:t>Note: Adapted from Sanusi (2009), Nwoko et al. (2022), and Afolabi and Afolabi (2024). Impacts highlight ties to disclosure, practice, compliance, and audit committee independence.</w:t>
      </w:r>
    </w:p>
    <w:p w14:paraId="753D24D4" w14:textId="77777777" w:rsidR="00646B26" w:rsidRDefault="00646B26" w:rsidP="00646B26">
      <w:pPr>
        <w:pStyle w:val="Heading4"/>
        <w:spacing w:before="0" w:after="283"/>
        <w:rPr>
          <w:rFonts w:eastAsia="Times New Roman" w:cs="Times New Roman"/>
        </w:rPr>
      </w:pPr>
      <w:r>
        <w:rPr>
          <w:rFonts w:eastAsia="Times New Roman" w:cs="Times New Roman"/>
        </w:rPr>
        <w:lastRenderedPageBreak/>
        <w:t>2.9.2 Data Reliability Issues and Cross-Validation Strategies</w:t>
      </w:r>
    </w:p>
    <w:p w14:paraId="45BAE069" w14:textId="77777777" w:rsidR="00646B26" w:rsidRDefault="00646B26" w:rsidP="00646B26">
      <w:r w:rsidRPr="00D142FE">
        <w:t xml:space="preserve">The reliability of NPL data in Nigeria is a significant concern due to opaque financial reporting and weak governance structures, which obscure the true extent of default risk. </w:t>
      </w:r>
      <w:proofErr w:type="spellStart"/>
      <w:r w:rsidRPr="00D142FE">
        <w:t>Olojede</w:t>
      </w:r>
      <w:proofErr w:type="spellEnd"/>
      <w:r w:rsidRPr="00D142FE">
        <w:t xml:space="preserve"> et al. (2020) note that inadequate disclosure practices, compounded by audit-committee capture and external auditor conflicts, lead to financial misstatements, as seen in the 2009 crisis where deposit money banks like Oceanic falsified loan portfolios to delay stakeholder awareness of distress. This opacity undermines data accuracy, posing a challenge to using NPL ratios as a reliable metric. To address this, the research employs a rigorous cross-validation strategy, triangulating questionnaire responses with secondary data from CBN reports, NDIC records, and audited bank financials for 2009–2024 for RQ1 and 2024 for RQ2–RQ4, as recommended by </w:t>
      </w:r>
      <w:proofErr w:type="spellStart"/>
      <w:r w:rsidRPr="00D142FE">
        <w:t>Olojede</w:t>
      </w:r>
      <w:proofErr w:type="spellEnd"/>
      <w:r w:rsidRPr="00D142FE">
        <w:t xml:space="preserve"> et al. (2020).</w:t>
      </w:r>
    </w:p>
    <w:p w14:paraId="2D3FFEAD" w14:textId="77777777" w:rsidR="00646B26" w:rsidRDefault="00646B26" w:rsidP="00646B26">
      <w:r w:rsidRPr="00D142FE">
        <w:t xml:space="preserve"> This multi-source approach ensures that NPL data reflects actual governance impacts, mitigating the risk of manipulation. Additionally, control variables, such as bank size, GDP growth, and loan portfolio diversity, are incorporated into the analysis to isolate the effects of corporate governance indices on NPL ratios, enhancing data robustness (</w:t>
      </w:r>
      <w:proofErr w:type="spellStart"/>
      <w:r w:rsidRPr="00D142FE">
        <w:t>Natufe</w:t>
      </w:r>
      <w:proofErr w:type="spellEnd"/>
      <w:r w:rsidRPr="00D142FE">
        <w:t xml:space="preserve"> &amp; </w:t>
      </w:r>
      <w:proofErr w:type="spellStart"/>
      <w:r w:rsidRPr="00D142FE">
        <w:t>Evbayiro</w:t>
      </w:r>
      <w:proofErr w:type="spellEnd"/>
      <w:r w:rsidRPr="00D142FE">
        <w:t xml:space="preserve">-Osagie, 2023). The questionnaire is designed to directly link corporate governance indices to NPL outcomes, with items assessing how board oversight, audit-committee independence, management qualifications, and regulatory clarity influence loan portfolio quality. For example, questions evaluate the extent to which robust practice indices reduce NPLs or how regulatory multiplicity exacerbates lending risks, ensuring that the data collected is relevant to the research objectives. Qualitatively, interviews with high-level banking officials complement the quantitative focus on NPLs by exploring stakeholder perceptions of how governance failures drive loan defaults, aligning with Sanusi (2009) and </w:t>
      </w:r>
      <w:proofErr w:type="spellStart"/>
      <w:r w:rsidRPr="00D142FE">
        <w:t>Olojede</w:t>
      </w:r>
      <w:proofErr w:type="spellEnd"/>
      <w:r w:rsidRPr="00D142FE">
        <w:t xml:space="preserve"> et al. (2020).</w:t>
      </w:r>
    </w:p>
    <w:p w14:paraId="0B1A0738" w14:textId="77777777" w:rsidR="00646B26" w:rsidRPr="00D142FE" w:rsidRDefault="00646B26" w:rsidP="00646B26">
      <w:r w:rsidRPr="00D142FE">
        <w:t xml:space="preserve"> This qualitative depth enriches the understanding of NPLs as a governance outcome, providing context-specific insights into Nigeria’s deposit money banking sector, where historical legacies and regulatory </w:t>
      </w:r>
      <w:r w:rsidRPr="00D142FE">
        <w:lastRenderedPageBreak/>
        <w:t>multiplicity exacerbate default risk (Abdulmalik &amp; Ahmad, 2020). By integrating quantitative and qualitative data, the research ensures that NPLs are not only measured statistically but also understood through the lens of stakeholder experiences, enhancing the validity of findings and their relevance to proposed reforms. Afolabi and Afolabi (2024) add that cross-validation is key to addressing disclosure issues in practice indices, particularly in verifying audit-reported NPLs. In 2024, NPL ratios at 5.62% highlight ongoing opacity (CBN, 2024).</w:t>
      </w:r>
    </w:p>
    <w:p w14:paraId="0093B70E" w14:textId="77777777" w:rsidR="00646B26" w:rsidRDefault="00646B26" w:rsidP="00646B26">
      <w:pPr>
        <w:pStyle w:val="Heading4"/>
        <w:spacing w:before="0" w:after="283"/>
        <w:rPr>
          <w:rFonts w:eastAsia="Times New Roman" w:cs="Times New Roman"/>
        </w:rPr>
      </w:pPr>
      <w:r>
        <w:rPr>
          <w:rFonts w:eastAsia="Times New Roman" w:cs="Times New Roman"/>
        </w:rPr>
        <w:t>2.9.3 Consequences for the Economy and Systemic Stability</w:t>
      </w:r>
    </w:p>
    <w:p w14:paraId="3DE2410B" w14:textId="77777777" w:rsidR="00646B26" w:rsidRPr="00D142FE" w:rsidRDefault="00646B26" w:rsidP="00646B26">
      <w:r w:rsidRPr="00D142FE">
        <w:rPr>
          <w:highlight w:val="yellow"/>
        </w:rPr>
        <w:t xml:space="preserve">High NPL ratios, driven by governance deficiencies, pose a significant threat to Nigeria’s deposit money banking sector and broader economy, where banks are engines of growth (King &amp; Levine, 1993). The 2009 crisis, with its $3.9 billion bailout, illustrates how NPLs, </w:t>
      </w:r>
      <w:proofErr w:type="spellStart"/>
      <w:r w:rsidRPr="00D142FE">
        <w:rPr>
          <w:highlight w:val="yellow"/>
        </w:rPr>
        <w:t>fueled</w:t>
      </w:r>
      <w:proofErr w:type="spellEnd"/>
      <w:r w:rsidRPr="00D142FE">
        <w:rPr>
          <w:highlight w:val="yellow"/>
        </w:rPr>
        <w:t xml:space="preserve"> by insider lending and weak practice indices, lead to systemic instability, eroding capital and triggering deposit withdrawals (Sanusi, 2009). Fernando et al. (2019) note that concentrated ownership, prevalent in Nigeria, correlates with higher default risk, as managers misuse funds, exacerbating NPL ratios. Reforms like independent risk committees, stringent qualification criteria for management, and harmonized regulations, as advocated by Adegboye (2020) and aligned with Basel III standards (BCBS, 2010), could mitigate NPLs by enhancing oversight and disclosure. Addressing data reliability through cross-validation and robust auditing, per </w:t>
      </w:r>
      <w:proofErr w:type="spellStart"/>
      <w:r w:rsidRPr="00D142FE">
        <w:rPr>
          <w:highlight w:val="yellow"/>
        </w:rPr>
        <w:t>Olojede</w:t>
      </w:r>
      <w:proofErr w:type="spellEnd"/>
      <w:r w:rsidRPr="00D142FE">
        <w:rPr>
          <w:highlight w:val="yellow"/>
        </w:rPr>
        <w:t xml:space="preserve"> et al. (2020), is essential to ensure accurate risk assessment. These reforms align with research objective OB1 and hypothesis H1, emphasizing robust practice indices to reduce NPLs, OB2 and H2 by emphasizing audit-committee independence (including its mediation by financial-reporting integrity), OB3 and H3 by focusing on management qualifications, and OB4 and H4 by addressing regulatory clarity, setting the stage for further analysis of governance reforms in Nigeria’s deposit money banking sector (</w:t>
      </w:r>
      <w:proofErr w:type="spellStart"/>
      <w:r w:rsidRPr="00D142FE">
        <w:rPr>
          <w:highlight w:val="yellow"/>
        </w:rPr>
        <w:t>Ozili</w:t>
      </w:r>
      <w:proofErr w:type="spellEnd"/>
      <w:r w:rsidRPr="00D142FE">
        <w:rPr>
          <w:highlight w:val="yellow"/>
        </w:rPr>
        <w:t>, 2020). This approach ensures robust analysis and meaningful contributions to corporate governance literature for Nigeria’s post-2004 consolidation banking sector (</w:t>
      </w:r>
      <w:proofErr w:type="spellStart"/>
      <w:r w:rsidRPr="00D142FE">
        <w:rPr>
          <w:highlight w:val="yellow"/>
        </w:rPr>
        <w:t>Ozili</w:t>
      </w:r>
      <w:proofErr w:type="spellEnd"/>
      <w:r w:rsidRPr="00D142FE">
        <w:rPr>
          <w:highlight w:val="yellow"/>
        </w:rPr>
        <w:t xml:space="preserve">, 2020). Ojo and Ojo </w:t>
      </w:r>
      <w:r w:rsidRPr="00D142FE">
        <w:rPr>
          <w:highlight w:val="yellow"/>
        </w:rPr>
        <w:lastRenderedPageBreak/>
        <w:t>(2024) further link NPLs to audit-committee independence (including its mediation by financial-reporting integrity) and practice indices, noting that improved disclosure can enhance compliance. In 2024, with NPL ratios at 5.62% amid recapitalization, high ratios could hinder 3.4% GDP growth (IMF, 2024).</w:t>
      </w:r>
    </w:p>
    <w:p w14:paraId="2BE61C3D" w14:textId="77777777" w:rsidR="00646B26" w:rsidRDefault="00646B26" w:rsidP="00646B26">
      <w:pPr>
        <w:pStyle w:val="Heading4"/>
        <w:spacing w:before="0" w:after="283"/>
        <w:rPr>
          <w:rFonts w:eastAsia="Times New Roman" w:cs="Times New Roman"/>
        </w:rPr>
      </w:pPr>
      <w:r>
        <w:rPr>
          <w:rFonts w:eastAsia="Times New Roman" w:cs="Times New Roman"/>
        </w:rPr>
        <w:t>2.9.4 Proposed Reforms to Mitigate NPLs</w:t>
      </w:r>
    </w:p>
    <w:p w14:paraId="35D61BEA" w14:textId="77777777" w:rsidR="00646B26" w:rsidRDefault="00646B26" w:rsidP="00646B26">
      <w:pPr>
        <w:pStyle w:val="BodyText"/>
        <w:spacing w:line="480" w:lineRule="auto"/>
      </w:pPr>
      <w:r>
        <w:t>Reforms to address NPL drivers include independent risk committees, merit-based appointments, and harmonized regulations. These align with Basel III and OECD standards, enhancing disclosure and compliance (BCBS, 2010; OECD, 2023).</w:t>
      </w:r>
    </w:p>
    <w:tbl>
      <w:tblPr>
        <w:tblStyle w:val="GridTable1Light-Accent4"/>
        <w:tblW w:w="9972" w:type="dxa"/>
        <w:tblLayout w:type="fixed"/>
        <w:tblLook w:val="04A0" w:firstRow="1" w:lastRow="0" w:firstColumn="1" w:lastColumn="0" w:noHBand="0" w:noVBand="1"/>
      </w:tblPr>
      <w:tblGrid>
        <w:gridCol w:w="1833"/>
        <w:gridCol w:w="2007"/>
        <w:gridCol w:w="2364"/>
        <w:gridCol w:w="2030"/>
        <w:gridCol w:w="1738"/>
      </w:tblGrid>
      <w:tr w:rsidR="00646B26" w14:paraId="61EC5569" w14:textId="77777777" w:rsidTr="00727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71F9ABFB" w14:textId="77777777" w:rsidR="00646B26" w:rsidRDefault="00646B26" w:rsidP="00727D26">
            <w:pPr>
              <w:pStyle w:val="TableHeading"/>
            </w:pPr>
            <w:r>
              <w:t>Reform</w:t>
            </w:r>
          </w:p>
        </w:tc>
        <w:tc>
          <w:tcPr>
            <w:tcW w:w="2007" w:type="dxa"/>
          </w:tcPr>
          <w:p w14:paraId="1247C36F"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364" w:type="dxa"/>
          </w:tcPr>
          <w:p w14:paraId="6621278E"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Expected Impact</w:t>
            </w:r>
          </w:p>
        </w:tc>
        <w:tc>
          <w:tcPr>
            <w:tcW w:w="2030" w:type="dxa"/>
          </w:tcPr>
          <w:p w14:paraId="20F74F3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Global Benchmark</w:t>
            </w:r>
          </w:p>
        </w:tc>
        <w:tc>
          <w:tcPr>
            <w:tcW w:w="1738" w:type="dxa"/>
          </w:tcPr>
          <w:p w14:paraId="4AA61E7C"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AA66D64" w14:textId="77777777" w:rsidTr="00727D26">
        <w:tc>
          <w:tcPr>
            <w:cnfStyle w:val="001000000000" w:firstRow="0" w:lastRow="0" w:firstColumn="1" w:lastColumn="0" w:oddVBand="0" w:evenVBand="0" w:oddHBand="0" w:evenHBand="0" w:firstRowFirstColumn="0" w:firstRowLastColumn="0" w:lastRowFirstColumn="0" w:lastRowLastColumn="0"/>
            <w:tcW w:w="1833" w:type="dxa"/>
          </w:tcPr>
          <w:p w14:paraId="4295793B" w14:textId="77777777" w:rsidR="00646B26" w:rsidRDefault="00646B26" w:rsidP="00727D26">
            <w:pPr>
              <w:pStyle w:val="TableContents"/>
            </w:pPr>
            <w:r>
              <w:t>Independent Risk Committees</w:t>
            </w:r>
          </w:p>
        </w:tc>
        <w:tc>
          <w:tcPr>
            <w:tcW w:w="2007" w:type="dxa"/>
          </w:tcPr>
          <w:p w14:paraId="7B58AF5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committees for loan oversight.</w:t>
            </w:r>
          </w:p>
        </w:tc>
        <w:tc>
          <w:tcPr>
            <w:tcW w:w="2364" w:type="dxa"/>
          </w:tcPr>
          <w:p w14:paraId="144B6D7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lax lending, lowers NPLs.</w:t>
            </w:r>
          </w:p>
        </w:tc>
        <w:tc>
          <w:tcPr>
            <w:tcW w:w="2030" w:type="dxa"/>
          </w:tcPr>
          <w:p w14:paraId="2CB2D4A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Basel III: Risk committee mandates (BCBS, 2010).</w:t>
            </w:r>
          </w:p>
        </w:tc>
        <w:tc>
          <w:tcPr>
            <w:tcW w:w="1738" w:type="dxa"/>
          </w:tcPr>
          <w:p w14:paraId="6395F35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w:t>
            </w:r>
          </w:p>
        </w:tc>
      </w:tr>
      <w:tr w:rsidR="00646B26" w14:paraId="7D08C6F5" w14:textId="77777777" w:rsidTr="00727D26">
        <w:tc>
          <w:tcPr>
            <w:cnfStyle w:val="001000000000" w:firstRow="0" w:lastRow="0" w:firstColumn="1" w:lastColumn="0" w:oddVBand="0" w:evenVBand="0" w:oddHBand="0" w:evenHBand="0" w:firstRowFirstColumn="0" w:firstRowLastColumn="0" w:lastRowFirstColumn="0" w:lastRowLastColumn="0"/>
            <w:tcW w:w="1833" w:type="dxa"/>
          </w:tcPr>
          <w:p w14:paraId="2DBF3BB1" w14:textId="77777777" w:rsidR="00646B26" w:rsidRDefault="00646B26" w:rsidP="00727D26">
            <w:pPr>
              <w:pStyle w:val="TableContents"/>
            </w:pPr>
            <w:r>
              <w:t>Merit-Based Appointments</w:t>
            </w:r>
          </w:p>
        </w:tc>
        <w:tc>
          <w:tcPr>
            <w:tcW w:w="2007" w:type="dxa"/>
          </w:tcPr>
          <w:p w14:paraId="1C61CF2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Enforce qualification criteria for executives.</w:t>
            </w:r>
          </w:p>
        </w:tc>
        <w:tc>
          <w:tcPr>
            <w:tcW w:w="2364" w:type="dxa"/>
          </w:tcPr>
          <w:p w14:paraId="6F5469B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Improves risk assessment, enhances practice indices.</w:t>
            </w:r>
          </w:p>
        </w:tc>
        <w:tc>
          <w:tcPr>
            <w:tcW w:w="2030" w:type="dxa"/>
          </w:tcPr>
          <w:p w14:paraId="1469C42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OECD: Competency standards (OECD, 2023).</w:t>
            </w:r>
          </w:p>
        </w:tc>
        <w:tc>
          <w:tcPr>
            <w:tcW w:w="1738" w:type="dxa"/>
          </w:tcPr>
          <w:p w14:paraId="3896676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w:t>
            </w:r>
          </w:p>
        </w:tc>
      </w:tr>
      <w:tr w:rsidR="00646B26" w14:paraId="6370F0E4" w14:textId="77777777" w:rsidTr="00727D26">
        <w:tc>
          <w:tcPr>
            <w:cnfStyle w:val="001000000000" w:firstRow="0" w:lastRow="0" w:firstColumn="1" w:lastColumn="0" w:oddVBand="0" w:evenVBand="0" w:oddHBand="0" w:evenHBand="0" w:firstRowFirstColumn="0" w:firstRowLastColumn="0" w:lastRowFirstColumn="0" w:lastRowLastColumn="0"/>
            <w:tcW w:w="1833" w:type="dxa"/>
          </w:tcPr>
          <w:p w14:paraId="54C59339" w14:textId="77777777" w:rsidR="00646B26" w:rsidRDefault="00646B26" w:rsidP="00727D26">
            <w:pPr>
              <w:pStyle w:val="TableContents"/>
            </w:pPr>
            <w:r>
              <w:t>Harmonized Regulations</w:t>
            </w:r>
          </w:p>
        </w:tc>
        <w:tc>
          <w:tcPr>
            <w:tcW w:w="2007" w:type="dxa"/>
          </w:tcPr>
          <w:p w14:paraId="3AADD30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Unify codes like CAMA/NCCG for regulatory clarity.</w:t>
            </w:r>
          </w:p>
        </w:tc>
        <w:tc>
          <w:tcPr>
            <w:tcW w:w="2364" w:type="dxa"/>
          </w:tcPr>
          <w:p w14:paraId="3985FE9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Minimizes selective compliance, boosts disclosure.</w:t>
            </w:r>
          </w:p>
        </w:tc>
        <w:tc>
          <w:tcPr>
            <w:tcW w:w="2030" w:type="dxa"/>
          </w:tcPr>
          <w:p w14:paraId="648516D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EU integrated frameworks (EU, 2019).</w:t>
            </w:r>
          </w:p>
        </w:tc>
        <w:tc>
          <w:tcPr>
            <w:tcW w:w="1738" w:type="dxa"/>
          </w:tcPr>
          <w:p w14:paraId="60CAE99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Abdulmalik &amp; Ahmad (2020)</w:t>
            </w:r>
          </w:p>
        </w:tc>
      </w:tr>
      <w:tr w:rsidR="00646B26" w14:paraId="2AB08827" w14:textId="77777777" w:rsidTr="00727D26">
        <w:tc>
          <w:tcPr>
            <w:cnfStyle w:val="001000000000" w:firstRow="0" w:lastRow="0" w:firstColumn="1" w:lastColumn="0" w:oddVBand="0" w:evenVBand="0" w:oddHBand="0" w:evenHBand="0" w:firstRowFirstColumn="0" w:firstRowLastColumn="0" w:lastRowFirstColumn="0" w:lastRowLastColumn="0"/>
            <w:tcW w:w="1833" w:type="dxa"/>
          </w:tcPr>
          <w:p w14:paraId="7ED65841" w14:textId="77777777" w:rsidR="00646B26" w:rsidRDefault="00646B26" w:rsidP="00727D26">
            <w:pPr>
              <w:pStyle w:val="TableContents"/>
            </w:pPr>
            <w:r>
              <w:t>Enhanced Data Validation</w:t>
            </w:r>
          </w:p>
        </w:tc>
        <w:tc>
          <w:tcPr>
            <w:tcW w:w="2007" w:type="dxa"/>
          </w:tcPr>
          <w:p w14:paraId="0004B85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Mandate cross-audits for NPL reporting.</w:t>
            </w:r>
          </w:p>
        </w:tc>
        <w:tc>
          <w:tcPr>
            <w:tcW w:w="2364" w:type="dxa"/>
          </w:tcPr>
          <w:p w14:paraId="5021A04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Improves reliability, supports audit committee independence.</w:t>
            </w:r>
          </w:p>
        </w:tc>
        <w:tc>
          <w:tcPr>
            <w:tcW w:w="2030" w:type="dxa"/>
          </w:tcPr>
          <w:p w14:paraId="350E8B2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IFRS 9: Loan classification (IASB, 2014).</w:t>
            </w:r>
          </w:p>
        </w:tc>
        <w:tc>
          <w:tcPr>
            <w:tcW w:w="1738" w:type="dxa"/>
          </w:tcPr>
          <w:p w14:paraId="09FC2F5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 Ojo &amp; Ojo (2024)</w:t>
            </w:r>
          </w:p>
        </w:tc>
      </w:tr>
    </w:tbl>
    <w:p w14:paraId="51640374" w14:textId="77777777" w:rsidR="00646B26" w:rsidRDefault="00646B26" w:rsidP="00646B26">
      <w:pPr>
        <w:pStyle w:val="BodyText"/>
        <w:spacing w:line="480" w:lineRule="auto"/>
      </w:pPr>
      <w:r>
        <w:t>Note: Adapted from Adegboye (2020), Nwoko et al. (2022), and Afolabi and Afolabi (2024). Reforms address disclosure, practice, compliance, and audit committee independence.</w:t>
      </w:r>
    </w:p>
    <w:p w14:paraId="04E55754" w14:textId="77777777" w:rsidR="00646B26" w:rsidRDefault="00646B26" w:rsidP="00646B26">
      <w:pPr>
        <w:pStyle w:val="Heading4"/>
        <w:spacing w:before="0" w:after="283"/>
        <w:rPr>
          <w:rFonts w:eastAsia="Times New Roman" w:cs="Times New Roman"/>
        </w:rPr>
      </w:pPr>
      <w:r>
        <w:rPr>
          <w:rFonts w:eastAsia="Times New Roman" w:cs="Times New Roman"/>
        </w:rPr>
        <w:t>2.9.5 Ties to Corporate Governance Indices</w:t>
      </w:r>
    </w:p>
    <w:p w14:paraId="6D53F15A" w14:textId="77777777" w:rsidR="00646B26" w:rsidRPr="00D142FE" w:rsidRDefault="00646B26" w:rsidP="00646B26">
      <w:r w:rsidRPr="00D142FE">
        <w:t xml:space="preserve">NPL ratios in Nigeria’s deposit money banking sector undermine the core indices of disclosure, practice, and compliance. Weak oversight erodes disclosure by allowing misreporting, as in Oceanic Bank (Sanusi, 2009). Compliance is compromised by unqualified management, enabling insider abuses (Nwoko et al., </w:t>
      </w:r>
      <w:r w:rsidRPr="00D142FE">
        <w:lastRenderedPageBreak/>
        <w:t>2022). Practice indices suffer from lax lending, leading to instability (Owolabi, 2013). Risk management is directly weakened, driving NPL spikes (Adegboye, 2020). Audit-committee independence is undermined by opaque data, as noted by Ojo and Ojo (2024), particularly where financial-reporting integrity does not effectively mediate the pathway to NPL reduction. These interconnected failures highlight the need for integrated reforms.</w:t>
      </w:r>
    </w:p>
    <w:p w14:paraId="485F009B" w14:textId="77777777" w:rsidR="00646B26" w:rsidRDefault="00646B26" w:rsidP="00646B26">
      <w:r w:rsidRPr="00D142FE">
        <w:t xml:space="preserve">NPL ratios serve as a critical measure of default risk in Nigeria’s deposit money banking sector, driven by governance deficiencies like weak oversight, unqualified management, and regulatory multiplicity, with peaks at 37% in 2009 and 20% in 2017 (Fernando et al., 2019; </w:t>
      </w:r>
      <w:proofErr w:type="spellStart"/>
      <w:r w:rsidRPr="00D142FE">
        <w:t>Natufe</w:t>
      </w:r>
      <w:proofErr w:type="spellEnd"/>
      <w:r w:rsidRPr="00D142FE">
        <w:t xml:space="preserve"> &amp; </w:t>
      </w:r>
      <w:proofErr w:type="spellStart"/>
      <w:r w:rsidRPr="00D142FE">
        <w:t>Evbayiro</w:t>
      </w:r>
      <w:proofErr w:type="spellEnd"/>
      <w:r w:rsidRPr="00D142FE">
        <w:t xml:space="preserve">-Osagie, 2023; Adegboye, 2020; Nwosu, 2020). Recent 2024 data </w:t>
      </w:r>
      <w:proofErr w:type="gramStart"/>
      <w:r w:rsidRPr="00D142FE">
        <w:t>shows</w:t>
      </w:r>
      <w:proofErr w:type="gramEnd"/>
      <w:r w:rsidRPr="00D142FE">
        <w:t xml:space="preserve"> 5.62% in April, highlighting persistence (CBN, 2024). Data reliability issues, stemming from opaque reporting, necessitate cross-validation to ensure accurate NPL measurement (</w:t>
      </w:r>
      <w:proofErr w:type="spellStart"/>
      <w:r w:rsidRPr="00D142FE">
        <w:t>Olojede</w:t>
      </w:r>
      <w:proofErr w:type="spellEnd"/>
      <w:r w:rsidRPr="00D142FE">
        <w:t xml:space="preserve"> et al., 2020). The 2009 crisis highlights how these failures lead to systemic instability, underscoring the need for reforms aligned with global standards to enhance governance and reduce default risk.</w:t>
      </w:r>
    </w:p>
    <w:p w14:paraId="7FA71E56" w14:textId="77777777" w:rsidR="00646B26" w:rsidRPr="00D142FE" w:rsidRDefault="00646B26" w:rsidP="00646B26">
      <w:r w:rsidRPr="00D142FE">
        <w:t xml:space="preserve"> This section supports OB1 and H1 by linking practice indices to NPL reduction, OB2 and H2 by emphasizing audit-committee independence (including its mediation by financial-reporting integrity), OB3 and H3 by focusing on management qualifications, and OB4 and H4 by addressing regulatory clarity, setting the stage for further analysis of governance reforms in Nigeria’s deposit money banking sector. Recent studies by Afolabi and Afolabi (2024) reinforce the role of NPLs in highlighting disclosure deficiencies.</w:t>
      </w:r>
    </w:p>
    <w:p w14:paraId="4943B5E3" w14:textId="77777777" w:rsidR="00646B26" w:rsidRDefault="00646B26" w:rsidP="00646B26">
      <w:pPr>
        <w:pStyle w:val="Heading2"/>
        <w:rPr>
          <w:rFonts w:eastAsia="Times New Roman"/>
        </w:rPr>
      </w:pPr>
      <w:bookmarkStart w:id="86" w:name="_Toc211278890"/>
      <w:r>
        <w:rPr>
          <w:rFonts w:eastAsia="Times New Roman"/>
        </w:rPr>
        <w:t>2.10: Conclusion</w:t>
      </w:r>
      <w:bookmarkEnd w:id="86"/>
    </w:p>
    <w:p w14:paraId="45A5ADD7" w14:textId="77777777" w:rsidR="00646B26" w:rsidRDefault="00646B26" w:rsidP="00646B26">
      <w:r w:rsidRPr="00D142FE">
        <w:t xml:space="preserve">The literature review comprehensively establishes that corporate governance failures in Nigeria’s deposit money banking sector, compounded by regulatory multiplicity, are central drivers of elevated </w:t>
      </w:r>
      <w:r w:rsidRPr="00D142FE">
        <w:lastRenderedPageBreak/>
        <w:t xml:space="preserve">NPL ratios and systemic instability, as evidenced by 425 bank failures since 1988 and NPL peaks of 37% in 2009 and 20% in 2017 (Udo, 2020; Nwosu, 2020; Adegboye, 2020). This review has synthesized global and Nigerian studies to highlight how historical legacies, fragmented regulatory frameworks, weak board oversight, audit-committee deficiencies, unqualified management, practice index failures, and inadequate whistleblowing mechanisms contribute to default risk, undermining financial stability critical for Nigeria’s economic growth (Sanusi, 2009; Abdulmalik &amp; Ahmad, 2020; Osemeke &amp; Adegbite, 2016). </w:t>
      </w:r>
    </w:p>
    <w:p w14:paraId="000AEBEC" w14:textId="77777777" w:rsidR="00646B26" w:rsidRPr="00D142FE" w:rsidRDefault="00646B26" w:rsidP="00646B26">
      <w:r w:rsidRPr="00D142FE">
        <w:t>By addressing these governance challenges, the review underscores the need for context-specific reforms to align Nigeria’s deposit money banking sector with global standards like OECD principles and Basel III frameworks (OECD, 2023; BCBS, 2010). This conclusion recaps the literature’s support for the research’s focus on governance failures, regulatory multiplicity, and NPLs, and previews how the review informs the methodology and hypotheses testing, setting the stage for empirical analysis. Recent studies by Afolabi and Afolabi (2024) and Ojo and Ojo (2024) reinforce the need for integrated approaches to audit-committee independence (including its mediation by financial-reporting integrity), management qualifications, and practice indices in bank operations.</w:t>
      </w:r>
    </w:p>
    <w:p w14:paraId="3E0975E8" w14:textId="77777777" w:rsidR="00646B26" w:rsidRDefault="00646B26" w:rsidP="00646B26">
      <w:pPr>
        <w:pStyle w:val="Heading3"/>
        <w:rPr>
          <w:rFonts w:eastAsia="Times New Roman"/>
        </w:rPr>
      </w:pPr>
      <w:bookmarkStart w:id="87" w:name="_Toc211278891"/>
      <w:r>
        <w:rPr>
          <w:rFonts w:eastAsia="Times New Roman"/>
        </w:rPr>
        <w:t>2.10.1 Key Governance Failures and Their Ties to CG Indices</w:t>
      </w:r>
      <w:bookmarkEnd w:id="87"/>
    </w:p>
    <w:p w14:paraId="0BFD0F77" w14:textId="77777777" w:rsidR="00646B26" w:rsidRDefault="00646B26" w:rsidP="00646B26">
      <w:r w:rsidRPr="00D142FE">
        <w:t xml:space="preserve">The literature consistently demonstrates that Nigeria’s governance failures stem from historical legacies, including pre-colonial customary systems disrupted by the colonial Companies Ordinance of 1912 and perpetuated by post-independence regulatory multiplicity, such as CAMA 2020 and NCCG 2018 (Elias, 2024; </w:t>
      </w:r>
      <w:proofErr w:type="spellStart"/>
      <w:r w:rsidRPr="00D142FE">
        <w:t>Agamah</w:t>
      </w:r>
      <w:proofErr w:type="spellEnd"/>
      <w:r w:rsidRPr="00D142FE">
        <w:t xml:space="preserve">, 2024; Adegbite et al., 2012). These legacies foster weak compliance and politically motivated appointments, as seen in cases like Oceanic Bank, where insider lending drove 75% of NPLs (Sanusi, 2009; </w:t>
      </w:r>
      <w:proofErr w:type="spellStart"/>
      <w:r w:rsidRPr="00D142FE">
        <w:t>Chinweoda</w:t>
      </w:r>
      <w:proofErr w:type="spellEnd"/>
      <w:r w:rsidRPr="00D142FE">
        <w:t xml:space="preserve"> et al., 2020). Regulatory multiplicity, characterized by conflicting codes (e.g., CAMA 2020, NCCG 2018, CBN Guidelines 2023, SEC Code 2011), creates ambiguity, enabling </w:t>
      </w:r>
      <w:r w:rsidRPr="00D142FE">
        <w:lastRenderedPageBreak/>
        <w:t xml:space="preserve">banks to evade compliance and exacerbating NPLs (Abdulmalik &amp; Ahmad, 2020; Osemeke &amp; Adegbite, 2016). </w:t>
      </w:r>
    </w:p>
    <w:p w14:paraId="0647029A" w14:textId="77777777" w:rsidR="00646B26" w:rsidRDefault="00646B26" w:rsidP="00646B26">
      <w:r w:rsidRPr="00D142FE">
        <w:t>Board inefficiencies, with 61% of deposit money banks lacking independent nomination committees, and audit-committee capture by shareholders undermine oversight and financial-reporting integrity, further driving default risk (</w:t>
      </w:r>
      <w:proofErr w:type="spellStart"/>
      <w:r w:rsidRPr="00D142FE">
        <w:t>Ogbechie</w:t>
      </w:r>
      <w:proofErr w:type="spellEnd"/>
      <w:r w:rsidRPr="00D142FE">
        <w:t xml:space="preserve">, 2016; Adegbite, 2014; </w:t>
      </w:r>
      <w:proofErr w:type="spellStart"/>
      <w:r w:rsidRPr="00D142FE">
        <w:t>Olojede</w:t>
      </w:r>
      <w:proofErr w:type="spellEnd"/>
      <w:r w:rsidRPr="00D142FE">
        <w:t xml:space="preserve"> et al., 2020). Unqualified management, rooted in cronyism, and weak practice indices, coupled with inadequate whistleblowing mechanisms, have </w:t>
      </w:r>
      <w:proofErr w:type="spellStart"/>
      <w:r w:rsidRPr="00D142FE">
        <w:t>fueled</w:t>
      </w:r>
      <w:proofErr w:type="spellEnd"/>
      <w:r w:rsidRPr="00D142FE">
        <w:t xml:space="preserve"> financial misreporting and fraud concealment, as seen in the 2009 crisis (Nwoko et al., 2022; Adegboye, 2020; </w:t>
      </w:r>
      <w:proofErr w:type="spellStart"/>
      <w:r w:rsidRPr="00D142FE">
        <w:t>Olojede</w:t>
      </w:r>
      <w:proofErr w:type="spellEnd"/>
      <w:r w:rsidRPr="00D142FE">
        <w:t xml:space="preserve"> et al., 2020). Global literature, including OECD (2023) and Aguilera and Cuervo-</w:t>
      </w:r>
      <w:proofErr w:type="spellStart"/>
      <w:r w:rsidRPr="00D142FE">
        <w:t>Cazurra</w:t>
      </w:r>
      <w:proofErr w:type="spellEnd"/>
      <w:r w:rsidRPr="00D142FE">
        <w:t xml:space="preserve"> (2004), emphasizes regulatory harmonization and robust enforcement consistency, while Basel III and EU frameworks highlight the efficacy of independent risk and whistleblowing systems, offering lessons for Nigeria (BCBS, 2010; EU, 2019). </w:t>
      </w:r>
    </w:p>
    <w:p w14:paraId="6D3B9486" w14:textId="77777777" w:rsidR="00646B26" w:rsidRDefault="00646B26" w:rsidP="00646B26">
      <w:pPr>
        <w:sectPr w:rsidR="00646B26" w:rsidSect="00646B26">
          <w:pgSz w:w="12240" w:h="15840"/>
          <w:pgMar w:top="1134" w:right="1134" w:bottom="1134" w:left="1134" w:header="0" w:footer="0" w:gutter="0"/>
          <w:cols w:space="720"/>
          <w:formProt w:val="0"/>
          <w:docGrid w:linePitch="100"/>
        </w:sectPr>
      </w:pPr>
      <w:r w:rsidRPr="00D142FE">
        <w:t>The scarcity of recent, Nigeria-specific studies on post-consolidation governance failures, particularly from 2009 to 2024, underscores the need for this research’s focus on practice indices, audit-committee independence (including its mediation by financial-reporting integrity), management qualifications, and regulatory clarity (Osita et al., 2019; Tsamenyi et al., 2007). To add depth, Afolabi and Afolabi (2024) and Ojo and Ojo (2024) illustrate how these failures interconnect with audit-committee weaknesses (including mediation by financial-reporting integrity), perpetuating deficiencies in disclosure and practice indices.</w:t>
      </w:r>
    </w:p>
    <w:tbl>
      <w:tblPr>
        <w:tblStyle w:val="GridTable1Light-Accent4"/>
        <w:tblW w:w="14048" w:type="dxa"/>
        <w:tblLayout w:type="fixed"/>
        <w:tblLook w:val="04A0" w:firstRow="1" w:lastRow="0" w:firstColumn="1" w:lastColumn="0" w:noHBand="0" w:noVBand="1"/>
      </w:tblPr>
      <w:tblGrid>
        <w:gridCol w:w="2569"/>
        <w:gridCol w:w="3428"/>
        <w:gridCol w:w="2812"/>
        <w:gridCol w:w="2896"/>
        <w:gridCol w:w="2343"/>
      </w:tblGrid>
      <w:tr w:rsidR="00646B26" w14:paraId="1D358A6C" w14:textId="77777777" w:rsidTr="00727D2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69" w:type="dxa"/>
          </w:tcPr>
          <w:p w14:paraId="21BDDCEE" w14:textId="77777777" w:rsidR="00646B26" w:rsidRDefault="00646B26" w:rsidP="00727D26">
            <w:pPr>
              <w:pStyle w:val="TableHeading"/>
            </w:pPr>
            <w:r>
              <w:lastRenderedPageBreak/>
              <w:t>Governance Failure</w:t>
            </w:r>
          </w:p>
        </w:tc>
        <w:tc>
          <w:tcPr>
            <w:tcW w:w="3428" w:type="dxa"/>
          </w:tcPr>
          <w:p w14:paraId="0BD160DE"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2812" w:type="dxa"/>
          </w:tcPr>
          <w:p w14:paraId="7A7DE648"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Example from Literature</w:t>
            </w:r>
          </w:p>
        </w:tc>
        <w:tc>
          <w:tcPr>
            <w:tcW w:w="2896" w:type="dxa"/>
          </w:tcPr>
          <w:p w14:paraId="4AF85CD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Link to CG Indices</w:t>
            </w:r>
          </w:p>
        </w:tc>
        <w:tc>
          <w:tcPr>
            <w:tcW w:w="2343" w:type="dxa"/>
          </w:tcPr>
          <w:p w14:paraId="350F0B69"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7B997F13" w14:textId="77777777" w:rsidTr="00727D26">
        <w:trPr>
          <w:trHeight w:val="1050"/>
        </w:trPr>
        <w:tc>
          <w:tcPr>
            <w:cnfStyle w:val="001000000000" w:firstRow="0" w:lastRow="0" w:firstColumn="1" w:lastColumn="0" w:oddVBand="0" w:evenVBand="0" w:oddHBand="0" w:evenHBand="0" w:firstRowFirstColumn="0" w:firstRowLastColumn="0" w:lastRowFirstColumn="0" w:lastRowLastColumn="0"/>
            <w:tcW w:w="2569" w:type="dxa"/>
          </w:tcPr>
          <w:p w14:paraId="2A0C0B75" w14:textId="77777777" w:rsidR="00646B26" w:rsidRDefault="00646B26" w:rsidP="00727D26">
            <w:pPr>
              <w:pStyle w:val="TableContents"/>
            </w:pPr>
            <w:r>
              <w:t>Historical Legacies</w:t>
            </w:r>
          </w:p>
        </w:tc>
        <w:tc>
          <w:tcPr>
            <w:tcW w:w="3428" w:type="dxa"/>
          </w:tcPr>
          <w:p w14:paraId="2B20402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Colonial disruptions and post-independence fragmentation.</w:t>
            </w:r>
          </w:p>
        </w:tc>
        <w:tc>
          <w:tcPr>
            <w:tcW w:w="2812" w:type="dxa"/>
          </w:tcPr>
          <w:p w14:paraId="0F49D7E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Companies Ordinance 1912 leading to cronyism.</w:t>
            </w:r>
          </w:p>
        </w:tc>
        <w:tc>
          <w:tcPr>
            <w:tcW w:w="2896" w:type="dxa"/>
          </w:tcPr>
          <w:p w14:paraId="1EEDB56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disclosure; weakens compliance via patronage.</w:t>
            </w:r>
          </w:p>
        </w:tc>
        <w:tc>
          <w:tcPr>
            <w:tcW w:w="2343" w:type="dxa"/>
          </w:tcPr>
          <w:p w14:paraId="2055187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Elias (2024), </w:t>
            </w:r>
            <w:proofErr w:type="spellStart"/>
            <w:r>
              <w:t>Agamah</w:t>
            </w:r>
            <w:proofErr w:type="spellEnd"/>
            <w:r>
              <w:t xml:space="preserve"> (2024)</w:t>
            </w:r>
          </w:p>
        </w:tc>
      </w:tr>
      <w:tr w:rsidR="00646B26" w14:paraId="2E579194" w14:textId="77777777" w:rsidTr="00727D26">
        <w:trPr>
          <w:trHeight w:val="1061"/>
        </w:trPr>
        <w:tc>
          <w:tcPr>
            <w:cnfStyle w:val="001000000000" w:firstRow="0" w:lastRow="0" w:firstColumn="1" w:lastColumn="0" w:oddVBand="0" w:evenVBand="0" w:oddHBand="0" w:evenHBand="0" w:firstRowFirstColumn="0" w:firstRowLastColumn="0" w:lastRowFirstColumn="0" w:lastRowLastColumn="0"/>
            <w:tcW w:w="2569" w:type="dxa"/>
          </w:tcPr>
          <w:p w14:paraId="4AACEBEB" w14:textId="77777777" w:rsidR="00646B26" w:rsidRDefault="00646B26" w:rsidP="00727D26">
            <w:pPr>
              <w:pStyle w:val="TableContents"/>
            </w:pPr>
            <w:r>
              <w:t>Regulatory Multiplicity</w:t>
            </w:r>
          </w:p>
        </w:tc>
        <w:tc>
          <w:tcPr>
            <w:tcW w:w="3428" w:type="dxa"/>
          </w:tcPr>
          <w:p w14:paraId="66E3857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Conflicting codes (CAMA 2020, NCCG 2018, etc.).</w:t>
            </w:r>
          </w:p>
        </w:tc>
        <w:tc>
          <w:tcPr>
            <w:tcW w:w="2812" w:type="dxa"/>
          </w:tcPr>
          <w:p w14:paraId="4184F49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Selective compliance enabling fraud concealment.</w:t>
            </w:r>
          </w:p>
        </w:tc>
        <w:tc>
          <w:tcPr>
            <w:tcW w:w="2896" w:type="dxa"/>
          </w:tcPr>
          <w:p w14:paraId="24A6FE3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Erodes practice indices; affects disclosure (compliance costs).</w:t>
            </w:r>
          </w:p>
        </w:tc>
        <w:tc>
          <w:tcPr>
            <w:tcW w:w="2343" w:type="dxa"/>
          </w:tcPr>
          <w:p w14:paraId="3573963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Abdulmalik &amp; Ahmad (2020), Osemeke &amp; Adegbite (2016)</w:t>
            </w:r>
          </w:p>
        </w:tc>
      </w:tr>
      <w:tr w:rsidR="00646B26" w14:paraId="2DC2AC6F" w14:textId="77777777" w:rsidTr="00727D26">
        <w:trPr>
          <w:trHeight w:val="1050"/>
        </w:trPr>
        <w:tc>
          <w:tcPr>
            <w:cnfStyle w:val="001000000000" w:firstRow="0" w:lastRow="0" w:firstColumn="1" w:lastColumn="0" w:oddVBand="0" w:evenVBand="0" w:oddHBand="0" w:evenHBand="0" w:firstRowFirstColumn="0" w:firstRowLastColumn="0" w:lastRowFirstColumn="0" w:lastRowLastColumn="0"/>
            <w:tcW w:w="2569" w:type="dxa"/>
          </w:tcPr>
          <w:p w14:paraId="7078B86C" w14:textId="77777777" w:rsidR="00646B26" w:rsidRDefault="00646B26" w:rsidP="00727D26">
            <w:pPr>
              <w:pStyle w:val="TableContents"/>
            </w:pPr>
            <w:r>
              <w:t>Board Inefficiencies</w:t>
            </w:r>
          </w:p>
        </w:tc>
        <w:tc>
          <w:tcPr>
            <w:tcW w:w="3428" w:type="dxa"/>
          </w:tcPr>
          <w:p w14:paraId="6248096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61% lack nomination committees; cronyism dominates.</w:t>
            </w:r>
          </w:p>
        </w:tc>
        <w:tc>
          <w:tcPr>
            <w:tcW w:w="2812" w:type="dxa"/>
          </w:tcPr>
          <w:p w14:paraId="009CE21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Bank’s insider loans (75% NPLs).</w:t>
            </w:r>
          </w:p>
        </w:tc>
        <w:tc>
          <w:tcPr>
            <w:tcW w:w="2896" w:type="dxa"/>
          </w:tcPr>
          <w:p w14:paraId="1D99B4D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Compromises audit committee independence; reduces compliance.</w:t>
            </w:r>
          </w:p>
        </w:tc>
        <w:tc>
          <w:tcPr>
            <w:tcW w:w="2343" w:type="dxa"/>
          </w:tcPr>
          <w:p w14:paraId="2CBB6FF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 Sanusi (2009)</w:t>
            </w:r>
          </w:p>
        </w:tc>
      </w:tr>
      <w:tr w:rsidR="00646B26" w14:paraId="28E4EB11" w14:textId="77777777" w:rsidTr="00727D26">
        <w:trPr>
          <w:trHeight w:val="844"/>
        </w:trPr>
        <w:tc>
          <w:tcPr>
            <w:cnfStyle w:val="001000000000" w:firstRow="0" w:lastRow="0" w:firstColumn="1" w:lastColumn="0" w:oddVBand="0" w:evenVBand="0" w:oddHBand="0" w:evenHBand="0" w:firstRowFirstColumn="0" w:firstRowLastColumn="0" w:lastRowFirstColumn="0" w:lastRowLastColumn="0"/>
            <w:tcW w:w="2569" w:type="dxa"/>
          </w:tcPr>
          <w:p w14:paraId="205DF6C8" w14:textId="77777777" w:rsidR="00646B26" w:rsidRDefault="00646B26" w:rsidP="00727D26">
            <w:pPr>
              <w:pStyle w:val="TableContents"/>
            </w:pPr>
            <w:r>
              <w:t>Audit Committee Deficiencies</w:t>
            </w:r>
          </w:p>
        </w:tc>
        <w:tc>
          <w:tcPr>
            <w:tcW w:w="3428" w:type="dxa"/>
          </w:tcPr>
          <w:p w14:paraId="4FD1075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Shareholder capture, lack of expertise.</w:t>
            </w:r>
          </w:p>
        </w:tc>
        <w:tc>
          <w:tcPr>
            <w:tcW w:w="2812" w:type="dxa"/>
          </w:tcPr>
          <w:p w14:paraId="2112C0E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2009 crisis falsified statements.</w:t>
            </w:r>
          </w:p>
        </w:tc>
        <w:tc>
          <w:tcPr>
            <w:tcW w:w="2896" w:type="dxa"/>
          </w:tcPr>
          <w:p w14:paraId="677E18B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Weakens disclosure and financial reporting.</w:t>
            </w:r>
          </w:p>
        </w:tc>
        <w:tc>
          <w:tcPr>
            <w:tcW w:w="2343" w:type="dxa"/>
          </w:tcPr>
          <w:p w14:paraId="6B86AE9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 xml:space="preserve">Adegbite (2014), </w:t>
            </w:r>
            <w:proofErr w:type="spellStart"/>
            <w:r>
              <w:t>Olojede</w:t>
            </w:r>
            <w:proofErr w:type="spellEnd"/>
            <w:r>
              <w:t xml:space="preserve"> et al. (2020)</w:t>
            </w:r>
          </w:p>
        </w:tc>
      </w:tr>
      <w:tr w:rsidR="00646B26" w14:paraId="2657A1F4" w14:textId="77777777" w:rsidTr="00727D26">
        <w:trPr>
          <w:trHeight w:val="844"/>
        </w:trPr>
        <w:tc>
          <w:tcPr>
            <w:cnfStyle w:val="001000000000" w:firstRow="0" w:lastRow="0" w:firstColumn="1" w:lastColumn="0" w:oddVBand="0" w:evenVBand="0" w:oddHBand="0" w:evenHBand="0" w:firstRowFirstColumn="0" w:firstRowLastColumn="0" w:lastRowFirstColumn="0" w:lastRowLastColumn="0"/>
            <w:tcW w:w="2569" w:type="dxa"/>
          </w:tcPr>
          <w:p w14:paraId="711AA997" w14:textId="77777777" w:rsidR="00646B26" w:rsidRDefault="00646B26" w:rsidP="00727D26">
            <w:pPr>
              <w:pStyle w:val="TableContents"/>
            </w:pPr>
            <w:r>
              <w:t>Unqualified Management</w:t>
            </w:r>
          </w:p>
        </w:tc>
        <w:tc>
          <w:tcPr>
            <w:tcW w:w="3428" w:type="dxa"/>
          </w:tcPr>
          <w:p w14:paraId="26E8EB7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Politically motivated appointments lacking expertise.</w:t>
            </w:r>
          </w:p>
        </w:tc>
        <w:tc>
          <w:tcPr>
            <w:tcW w:w="2812" w:type="dxa"/>
          </w:tcPr>
          <w:p w14:paraId="509DCD0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Intercontinental Bank collapse.</w:t>
            </w:r>
          </w:p>
        </w:tc>
        <w:tc>
          <w:tcPr>
            <w:tcW w:w="2896" w:type="dxa"/>
          </w:tcPr>
          <w:p w14:paraId="50CF8A7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Undermines practice indices and ethical disclosure.</w:t>
            </w:r>
          </w:p>
        </w:tc>
        <w:tc>
          <w:tcPr>
            <w:tcW w:w="2343" w:type="dxa"/>
          </w:tcPr>
          <w:p w14:paraId="44FFD9E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 Owolabi (2013)</w:t>
            </w:r>
          </w:p>
        </w:tc>
      </w:tr>
      <w:tr w:rsidR="00646B26" w14:paraId="78AA96CE" w14:textId="77777777" w:rsidTr="00727D26">
        <w:trPr>
          <w:trHeight w:val="833"/>
        </w:trPr>
        <w:tc>
          <w:tcPr>
            <w:cnfStyle w:val="001000000000" w:firstRow="0" w:lastRow="0" w:firstColumn="1" w:lastColumn="0" w:oddVBand="0" w:evenVBand="0" w:oddHBand="0" w:evenHBand="0" w:firstRowFirstColumn="0" w:firstRowLastColumn="0" w:lastRowFirstColumn="0" w:lastRowLastColumn="0"/>
            <w:tcW w:w="2569" w:type="dxa"/>
          </w:tcPr>
          <w:p w14:paraId="0AECCD1C" w14:textId="77777777" w:rsidR="00646B26" w:rsidRDefault="00646B26" w:rsidP="00727D26">
            <w:pPr>
              <w:pStyle w:val="TableContents"/>
            </w:pPr>
            <w:r>
              <w:t>Practice Index Failures</w:t>
            </w:r>
          </w:p>
        </w:tc>
        <w:tc>
          <w:tcPr>
            <w:tcW w:w="3428" w:type="dxa"/>
          </w:tcPr>
          <w:p w14:paraId="398558E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Lax lending, absent risk committees.</w:t>
            </w:r>
          </w:p>
        </w:tc>
        <w:tc>
          <w:tcPr>
            <w:tcW w:w="2812" w:type="dxa"/>
          </w:tcPr>
          <w:p w14:paraId="4BAF81E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NPLs at 20% in 2017.</w:t>
            </w:r>
          </w:p>
        </w:tc>
        <w:tc>
          <w:tcPr>
            <w:tcW w:w="2896" w:type="dxa"/>
          </w:tcPr>
          <w:p w14:paraId="271891A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Directly erodes practice indices; affects overall stability.</w:t>
            </w:r>
          </w:p>
        </w:tc>
        <w:tc>
          <w:tcPr>
            <w:tcW w:w="2343" w:type="dxa"/>
          </w:tcPr>
          <w:p w14:paraId="7497A53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 Afolabi &amp; Afolabi (2024)</w:t>
            </w:r>
          </w:p>
        </w:tc>
      </w:tr>
      <w:tr w:rsidR="00646B26" w14:paraId="25EDC0D2" w14:textId="77777777" w:rsidTr="00727D26">
        <w:trPr>
          <w:trHeight w:val="844"/>
        </w:trPr>
        <w:tc>
          <w:tcPr>
            <w:cnfStyle w:val="001000000000" w:firstRow="0" w:lastRow="0" w:firstColumn="1" w:lastColumn="0" w:oddVBand="0" w:evenVBand="0" w:oddHBand="0" w:evenHBand="0" w:firstRowFirstColumn="0" w:firstRowLastColumn="0" w:lastRowFirstColumn="0" w:lastRowLastColumn="0"/>
            <w:tcW w:w="2569" w:type="dxa"/>
          </w:tcPr>
          <w:p w14:paraId="43685CE3" w14:textId="77777777" w:rsidR="00646B26" w:rsidRDefault="00646B26" w:rsidP="00727D26">
            <w:pPr>
              <w:pStyle w:val="TableContents"/>
            </w:pPr>
            <w:r>
              <w:t>Inadequate Whistleblowing</w:t>
            </w:r>
          </w:p>
        </w:tc>
        <w:tc>
          <w:tcPr>
            <w:tcW w:w="3428" w:type="dxa"/>
          </w:tcPr>
          <w:p w14:paraId="15C05AA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No protected channels, suppressed reporting.</w:t>
            </w:r>
          </w:p>
        </w:tc>
        <w:tc>
          <w:tcPr>
            <w:tcW w:w="2812" w:type="dxa"/>
          </w:tcPr>
          <w:p w14:paraId="0F6207D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Oceanic Bank fraud concealment.</w:t>
            </w:r>
          </w:p>
        </w:tc>
        <w:tc>
          <w:tcPr>
            <w:tcW w:w="2896" w:type="dxa"/>
          </w:tcPr>
          <w:p w14:paraId="3ED2A64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disclosure, exacerbates compliance gaps.</w:t>
            </w:r>
          </w:p>
        </w:tc>
        <w:tc>
          <w:tcPr>
            <w:tcW w:w="2343" w:type="dxa"/>
          </w:tcPr>
          <w:p w14:paraId="3241EB5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 Ojo &amp; Ojo (2024)</w:t>
            </w:r>
          </w:p>
        </w:tc>
      </w:tr>
    </w:tbl>
    <w:p w14:paraId="2D0B00D2" w14:textId="77777777" w:rsidR="00646B26" w:rsidRDefault="00646B26" w:rsidP="00646B26">
      <w:pPr>
        <w:pStyle w:val="BodyText"/>
        <w:spacing w:line="480" w:lineRule="auto"/>
      </w:pPr>
      <w:r>
        <w:t>Note: Adapted from Sanusi (2009), Adegbite (2014), and Afolabi and Afolabi (2024). The table illustrates interconnections across indices, showing how failures in one area amplify others, such as board inefficiencies weakening audit-committee independence (including its mediation by financial-reporting integrity) and practice indices.</w:t>
      </w:r>
    </w:p>
    <w:p w14:paraId="1A2B4B89" w14:textId="77777777" w:rsidR="00646B26" w:rsidRDefault="00646B26" w:rsidP="00646B26">
      <w:pPr>
        <w:sectPr w:rsidR="00646B26" w:rsidSect="00646B26">
          <w:pgSz w:w="15840" w:h="12240" w:orient="landscape"/>
          <w:pgMar w:top="1134" w:right="1134" w:bottom="1134" w:left="1134" w:header="0" w:footer="0" w:gutter="0"/>
          <w:cols w:space="720"/>
          <w:formProt w:val="0"/>
          <w:docGrid w:linePitch="326"/>
        </w:sectPr>
      </w:pPr>
    </w:p>
    <w:p w14:paraId="09FD990B" w14:textId="77777777" w:rsidR="00646B26" w:rsidRDefault="00646B26" w:rsidP="00646B26">
      <w:pPr>
        <w:pStyle w:val="Heading3"/>
        <w:rPr>
          <w:rFonts w:eastAsia="Times New Roman"/>
        </w:rPr>
      </w:pPr>
      <w:bookmarkStart w:id="88" w:name="_Toc211278892"/>
      <w:r>
        <w:rPr>
          <w:rFonts w:eastAsia="Times New Roman"/>
        </w:rPr>
        <w:lastRenderedPageBreak/>
        <w:t>2.10.2 Theoretical and Empirical Insights from the Literature</w:t>
      </w:r>
      <w:bookmarkEnd w:id="88"/>
    </w:p>
    <w:p w14:paraId="60E4FF67" w14:textId="77777777" w:rsidR="00646B26" w:rsidRPr="00D142FE" w:rsidRDefault="00646B26" w:rsidP="00646B26">
      <w:r w:rsidRPr="00D142FE">
        <w:t xml:space="preserve">The review's synthesis reveals a robust theoretical foundation, drawing on agency theory (Jensen &amp; Meckling, 1976) to explain how board and audit-committee deficiencies create principal-agent conflicts, leading to insider abuses and NPL spikes, and stewardship theory (Donaldson &amp; Davis, 1991) to highlight the missed opportunities for ethical leadership in practice indices. Empirically, studies like Adegboye (2020) and </w:t>
      </w:r>
      <w:proofErr w:type="spellStart"/>
      <w:r w:rsidRPr="00D142FE">
        <w:t>Olojede</w:t>
      </w:r>
      <w:proofErr w:type="spellEnd"/>
      <w:r w:rsidRPr="00D142FE">
        <w:t xml:space="preserve"> et al. (2020) provide evidence of NPL drivers, while global benchmarks (OECD, 2023; BCBS, 2010) contrast Nigeria's gaps, emphasizing regulatory harmonization’s role in enhancing disclosure and compliance. Recent contributions by Afolabi and Afolabi (2024) and Ojo and Ojo (2024) bridge these, showing how unqualified management and weak whistleblowing intersect with audit-committee failures (including mediation by financial-reporting integrity), perpetuating practice index deficiencies.</w:t>
      </w:r>
    </w:p>
    <w:p w14:paraId="4C270C67" w14:textId="77777777" w:rsidR="00646B26" w:rsidRDefault="00646B26" w:rsidP="00646B26">
      <w:pPr>
        <w:pStyle w:val="Heading3"/>
        <w:rPr>
          <w:rFonts w:eastAsia="Times New Roman"/>
        </w:rPr>
      </w:pPr>
      <w:bookmarkStart w:id="89" w:name="_Toc211278893"/>
      <w:r>
        <w:rPr>
          <w:rFonts w:eastAsia="Times New Roman"/>
        </w:rPr>
        <w:t>2.10.3 Implications for Methodology and Hypotheses Testing</w:t>
      </w:r>
      <w:bookmarkEnd w:id="89"/>
    </w:p>
    <w:p w14:paraId="11139A2C" w14:textId="77777777" w:rsidR="00646B26" w:rsidRDefault="00646B26" w:rsidP="00646B26">
      <w:r w:rsidRPr="00D142FE">
        <w:t xml:space="preserve">This research informs the research’s methodology by justifying a mixed-method approach, combining quantitative regression analysis of NPL ratios with qualitative stakeholder interviews, as advocated by Creswell and Plano Clark (2018), to ensure empirical rigor and contextual depth. The methodology addresses data reliability concerns, highlighted by </w:t>
      </w:r>
      <w:proofErr w:type="spellStart"/>
      <w:r w:rsidRPr="00D142FE">
        <w:t>Olojede</w:t>
      </w:r>
      <w:proofErr w:type="spellEnd"/>
      <w:r w:rsidRPr="00D142FE">
        <w:t xml:space="preserve"> et al. (2020), through cross-validation using CBN, Nigeria Deposit Insurance Corporation (NDIC), and audited bank reports for 2009–2024 for RQ1 and 2024 for RQ2–RQ4, incorporating control variables like bank size, capital adequacy, and macroeconomic factors to isolate governance effects (</w:t>
      </w:r>
      <w:proofErr w:type="spellStart"/>
      <w:r w:rsidRPr="00D142FE">
        <w:t>Natufe</w:t>
      </w:r>
      <w:proofErr w:type="spellEnd"/>
      <w:r w:rsidRPr="00D142FE">
        <w:t xml:space="preserve"> &amp; </w:t>
      </w:r>
      <w:proofErr w:type="spellStart"/>
      <w:r w:rsidRPr="00D142FE">
        <w:t>Evbayiro</w:t>
      </w:r>
      <w:proofErr w:type="spellEnd"/>
      <w:r w:rsidRPr="00D142FE">
        <w:t xml:space="preserve">-Osagie, 2023). </w:t>
      </w:r>
    </w:p>
    <w:p w14:paraId="380E39CA" w14:textId="77777777" w:rsidR="00646B26" w:rsidRDefault="00646B26" w:rsidP="00646B26">
      <w:r w:rsidRPr="00D142FE">
        <w:t xml:space="preserve">The research directly supports hypotheses H1–H4, which test the relationships between robust corporate governance indices (H1), audit-committee independence (H2), management qualifications (H3), and regulatory clarity (H4) with reduced NPL ratios. Specifically, H1 is informed by literature on </w:t>
      </w:r>
      <w:r w:rsidRPr="00D142FE">
        <w:lastRenderedPageBreak/>
        <w:t xml:space="preserve">board oversight and practice index failures (Adegboye, 2020; Sanusi, 2014), H2 by audit-committee capture and the mediating role of financial-reporting integrity as perceived by insiders (Adegbite, 2014; </w:t>
      </w:r>
      <w:proofErr w:type="spellStart"/>
      <w:r w:rsidRPr="00D142FE">
        <w:t>Olojede</w:t>
      </w:r>
      <w:proofErr w:type="spellEnd"/>
      <w:r w:rsidRPr="00D142FE">
        <w:t xml:space="preserve"> et al., 2020), H3 by unqualified leadership (Nwoko et al., 2022), and H4 by regulatory multiplicity (Abdulmalik &amp; Ahmad, 2020). </w:t>
      </w:r>
    </w:p>
    <w:p w14:paraId="14CBCFE1" w14:textId="77777777" w:rsidR="00646B26" w:rsidRPr="00D142FE" w:rsidRDefault="00646B26" w:rsidP="00646B26">
      <w:r w:rsidRPr="00D142FE">
        <w:t>The mixed-method approach, using 7-point Likert scale questionnaires, semi-structured interviews, and SPSS regression analysis, will empirically test these hypotheses, addressing objectives OB1–OB4 by evaluating governance mechanisms, proposing harmonized regulatory frameworks, and aligning with global standards (Aguilera &amp; Ruiz Castillo, 2024). This review thus provides a robust foundation for the research’s empirical analysis, paving the way for actionable reforms to mitigate NPLs and enhance Nigeria’s deposit money banking sector resilience.</w:t>
      </w:r>
    </w:p>
    <w:p w14:paraId="69F2A7E1" w14:textId="77777777" w:rsidR="00646B26" w:rsidRDefault="00646B26" w:rsidP="00646B26">
      <w:pPr>
        <w:pStyle w:val="Heading3"/>
        <w:rPr>
          <w:rFonts w:eastAsia="Times New Roman"/>
        </w:rPr>
      </w:pPr>
      <w:bookmarkStart w:id="90" w:name="_Toc211278894"/>
      <w:r>
        <w:rPr>
          <w:rFonts w:eastAsia="Times New Roman"/>
        </w:rPr>
        <w:t>2.10.4 Call for Context-Specific Reforms</w:t>
      </w:r>
      <w:bookmarkEnd w:id="90"/>
    </w:p>
    <w:p w14:paraId="1D1F44F9" w14:textId="77777777" w:rsidR="00646B26" w:rsidRPr="00D142FE" w:rsidRDefault="00646B26" w:rsidP="00646B26">
      <w:r w:rsidRPr="00D142FE">
        <w:t>By addressing these governance challenges, the review underscores the need for context-specific reforms to align Nigeria’s deposit money banking sector with global standards like OECD principles and Basel III frameworks (OECD, 2023; BCBS, 2010). Reforms should prioritize harmonized regulations to resolve regulatory multiplicity, mandatory independent nomination and audit committees to curb cronyism, and robust whistleblowing to enhance disclosure. Recent studies by Afolabi and Afolabi (2024) and Ojo and Ojo (2024) reinforce the need for integrated approaches to audit-committee independence (including its mediation by financial-reporting integrity), management qualifications, and practice indices, ensuring reforms address interconnected indices. Table 2.17 summarizes proposed reforms tied to key indices.</w:t>
      </w:r>
    </w:p>
    <w:p w14:paraId="53A5BCF4" w14:textId="77777777" w:rsidR="00646B26" w:rsidRDefault="00646B26" w:rsidP="00646B26">
      <w:pPr>
        <w:spacing w:line="240" w:lineRule="auto"/>
        <w:jc w:val="left"/>
      </w:pPr>
      <w:r>
        <w:br w:type="page"/>
      </w:r>
    </w:p>
    <w:p w14:paraId="184EB4D5" w14:textId="77777777" w:rsidR="00646B26" w:rsidRDefault="00646B26" w:rsidP="00646B26">
      <w:pPr>
        <w:pStyle w:val="BodyText"/>
        <w:spacing w:line="480" w:lineRule="auto"/>
        <w:sectPr w:rsidR="00646B26" w:rsidSect="00646B26">
          <w:pgSz w:w="12240" w:h="15840"/>
          <w:pgMar w:top="1134" w:right="1134" w:bottom="1134" w:left="1134" w:header="0" w:footer="0" w:gutter="0"/>
          <w:cols w:space="720"/>
          <w:formProt w:val="0"/>
          <w:docGrid w:linePitch="100"/>
        </w:sectPr>
      </w:pPr>
    </w:p>
    <w:tbl>
      <w:tblPr>
        <w:tblStyle w:val="GridTable1Light-Accent4"/>
        <w:tblW w:w="12504" w:type="dxa"/>
        <w:tblLayout w:type="fixed"/>
        <w:tblLook w:val="04A0" w:firstRow="1" w:lastRow="0" w:firstColumn="1" w:lastColumn="0" w:noHBand="0" w:noVBand="1"/>
      </w:tblPr>
      <w:tblGrid>
        <w:gridCol w:w="2355"/>
        <w:gridCol w:w="2558"/>
        <w:gridCol w:w="2770"/>
        <w:gridCol w:w="2725"/>
        <w:gridCol w:w="2096"/>
      </w:tblGrid>
      <w:tr w:rsidR="00646B26" w14:paraId="3DE546DC" w14:textId="77777777" w:rsidTr="00727D26">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2355" w:type="dxa"/>
          </w:tcPr>
          <w:p w14:paraId="1E7C2134" w14:textId="77777777" w:rsidR="00646B26" w:rsidRDefault="00646B26" w:rsidP="00727D26">
            <w:pPr>
              <w:pStyle w:val="TableHeading"/>
            </w:pPr>
            <w:r>
              <w:lastRenderedPageBreak/>
              <w:t>CG Index</w:t>
            </w:r>
          </w:p>
        </w:tc>
        <w:tc>
          <w:tcPr>
            <w:tcW w:w="2558" w:type="dxa"/>
          </w:tcPr>
          <w:p w14:paraId="1B1288D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Key Challenge from Literature</w:t>
            </w:r>
          </w:p>
        </w:tc>
        <w:tc>
          <w:tcPr>
            <w:tcW w:w="2770" w:type="dxa"/>
          </w:tcPr>
          <w:p w14:paraId="3118FF8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Proposed Reform</w:t>
            </w:r>
          </w:p>
        </w:tc>
        <w:tc>
          <w:tcPr>
            <w:tcW w:w="2725" w:type="dxa"/>
          </w:tcPr>
          <w:p w14:paraId="27104400"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Expected Outcome</w:t>
            </w:r>
          </w:p>
        </w:tc>
        <w:tc>
          <w:tcPr>
            <w:tcW w:w="2096" w:type="dxa"/>
          </w:tcPr>
          <w:p w14:paraId="360D78EF"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t>Source</w:t>
            </w:r>
          </w:p>
        </w:tc>
      </w:tr>
      <w:tr w:rsidR="00646B26" w14:paraId="043CB380" w14:textId="77777777" w:rsidTr="00727D26">
        <w:trPr>
          <w:trHeight w:val="1129"/>
        </w:trPr>
        <w:tc>
          <w:tcPr>
            <w:cnfStyle w:val="001000000000" w:firstRow="0" w:lastRow="0" w:firstColumn="1" w:lastColumn="0" w:oddVBand="0" w:evenVBand="0" w:oddHBand="0" w:evenHBand="0" w:firstRowFirstColumn="0" w:firstRowLastColumn="0" w:lastRowFirstColumn="0" w:lastRowLastColumn="0"/>
            <w:tcW w:w="2355" w:type="dxa"/>
          </w:tcPr>
          <w:p w14:paraId="1FDC3E31" w14:textId="77777777" w:rsidR="00646B26" w:rsidRDefault="00646B26" w:rsidP="00727D26">
            <w:pPr>
              <w:pStyle w:val="TableContents"/>
            </w:pPr>
            <w:r>
              <w:t>Disclosure</w:t>
            </w:r>
          </w:p>
        </w:tc>
        <w:tc>
          <w:tcPr>
            <w:tcW w:w="2558" w:type="dxa"/>
          </w:tcPr>
          <w:p w14:paraId="5F4A903A"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Fraud concealment, opaque reporting.</w:t>
            </w:r>
          </w:p>
        </w:tc>
        <w:tc>
          <w:tcPr>
            <w:tcW w:w="2770" w:type="dxa"/>
          </w:tcPr>
          <w:p w14:paraId="4A8BE44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Mandatory whistleblowing with protections.</w:t>
            </w:r>
          </w:p>
        </w:tc>
        <w:tc>
          <w:tcPr>
            <w:tcW w:w="2725" w:type="dxa"/>
          </w:tcPr>
          <w:p w14:paraId="73C13E2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Reduces misreporting, lowers NPLs.</w:t>
            </w:r>
          </w:p>
        </w:tc>
        <w:tc>
          <w:tcPr>
            <w:tcW w:w="2096" w:type="dxa"/>
          </w:tcPr>
          <w:p w14:paraId="577A272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Olojede</w:t>
            </w:r>
            <w:proofErr w:type="spellEnd"/>
            <w:r>
              <w:t xml:space="preserve"> et al. (2020), Ojo &amp; Ojo (2024)</w:t>
            </w:r>
          </w:p>
        </w:tc>
      </w:tr>
      <w:tr w:rsidR="00646B26" w14:paraId="187867E0" w14:textId="77777777" w:rsidTr="00727D26">
        <w:trPr>
          <w:trHeight w:val="1519"/>
        </w:trPr>
        <w:tc>
          <w:tcPr>
            <w:cnfStyle w:val="001000000000" w:firstRow="0" w:lastRow="0" w:firstColumn="1" w:lastColumn="0" w:oddVBand="0" w:evenVBand="0" w:oddHBand="0" w:evenHBand="0" w:firstRowFirstColumn="0" w:firstRowLastColumn="0" w:lastRowFirstColumn="0" w:lastRowLastColumn="0"/>
            <w:tcW w:w="2355" w:type="dxa"/>
          </w:tcPr>
          <w:p w14:paraId="27BEEF0C" w14:textId="77777777" w:rsidR="00646B26" w:rsidRDefault="00646B26" w:rsidP="00727D26">
            <w:pPr>
              <w:pStyle w:val="TableContents"/>
            </w:pPr>
            <w:r>
              <w:t>Compliance</w:t>
            </w:r>
          </w:p>
        </w:tc>
        <w:tc>
          <w:tcPr>
            <w:tcW w:w="2558" w:type="dxa"/>
          </w:tcPr>
          <w:p w14:paraId="62E5660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Cronyism, unqualified appointments.</w:t>
            </w:r>
          </w:p>
        </w:tc>
        <w:tc>
          <w:tcPr>
            <w:tcW w:w="2770" w:type="dxa"/>
          </w:tcPr>
          <w:p w14:paraId="15878C4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Independent nomination committees.</w:t>
            </w:r>
          </w:p>
        </w:tc>
        <w:tc>
          <w:tcPr>
            <w:tcW w:w="2725" w:type="dxa"/>
          </w:tcPr>
          <w:p w14:paraId="0C1E78E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Enhances merit-based oversight.</w:t>
            </w:r>
          </w:p>
        </w:tc>
        <w:tc>
          <w:tcPr>
            <w:tcW w:w="2096" w:type="dxa"/>
          </w:tcPr>
          <w:p w14:paraId="08113DB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spellStart"/>
            <w:r>
              <w:t>Ogbechie</w:t>
            </w:r>
            <w:proofErr w:type="spellEnd"/>
            <w:r>
              <w:t xml:space="preserve"> (2016), Afolabi &amp; Afolabi (2024)</w:t>
            </w:r>
          </w:p>
        </w:tc>
      </w:tr>
      <w:tr w:rsidR="00646B26" w14:paraId="76BF480D" w14:textId="77777777" w:rsidTr="00727D26">
        <w:trPr>
          <w:trHeight w:val="1519"/>
        </w:trPr>
        <w:tc>
          <w:tcPr>
            <w:cnfStyle w:val="001000000000" w:firstRow="0" w:lastRow="0" w:firstColumn="1" w:lastColumn="0" w:oddVBand="0" w:evenVBand="0" w:oddHBand="0" w:evenHBand="0" w:firstRowFirstColumn="0" w:firstRowLastColumn="0" w:lastRowFirstColumn="0" w:lastRowLastColumn="0"/>
            <w:tcW w:w="2355" w:type="dxa"/>
          </w:tcPr>
          <w:p w14:paraId="5E35B52B" w14:textId="77777777" w:rsidR="00646B26" w:rsidRDefault="00646B26" w:rsidP="00727D26">
            <w:pPr>
              <w:pStyle w:val="TableContents"/>
            </w:pPr>
            <w:r>
              <w:t>Practice Indices</w:t>
            </w:r>
          </w:p>
        </w:tc>
        <w:tc>
          <w:tcPr>
            <w:tcW w:w="2558" w:type="dxa"/>
          </w:tcPr>
          <w:p w14:paraId="4D7426A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Lax lending, weak controls.</w:t>
            </w:r>
          </w:p>
        </w:tc>
        <w:tc>
          <w:tcPr>
            <w:tcW w:w="2770" w:type="dxa"/>
          </w:tcPr>
          <w:p w14:paraId="7BFCEF4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Mandatory governance training for executives.</w:t>
            </w:r>
          </w:p>
        </w:tc>
        <w:tc>
          <w:tcPr>
            <w:tcW w:w="2725" w:type="dxa"/>
          </w:tcPr>
          <w:p w14:paraId="3174394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Improves ethical decision-making.</w:t>
            </w:r>
          </w:p>
        </w:tc>
        <w:tc>
          <w:tcPr>
            <w:tcW w:w="2096" w:type="dxa"/>
          </w:tcPr>
          <w:p w14:paraId="52C550F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Nwoko et al. (2022), Adegbite et al. (2012)</w:t>
            </w:r>
          </w:p>
        </w:tc>
      </w:tr>
      <w:tr w:rsidR="00646B26" w14:paraId="73049DAD" w14:textId="77777777" w:rsidTr="00727D26">
        <w:trPr>
          <w:trHeight w:val="1519"/>
        </w:trPr>
        <w:tc>
          <w:tcPr>
            <w:cnfStyle w:val="001000000000" w:firstRow="0" w:lastRow="0" w:firstColumn="1" w:lastColumn="0" w:oddVBand="0" w:evenVBand="0" w:oddHBand="0" w:evenHBand="0" w:firstRowFirstColumn="0" w:firstRowLastColumn="0" w:lastRowFirstColumn="0" w:lastRowLastColumn="0"/>
            <w:tcW w:w="2355" w:type="dxa"/>
          </w:tcPr>
          <w:p w14:paraId="233C0965" w14:textId="77777777" w:rsidR="00646B26" w:rsidRDefault="00646B26" w:rsidP="00727D26">
            <w:pPr>
              <w:pStyle w:val="TableContents"/>
            </w:pPr>
            <w:r>
              <w:t>Risk Management</w:t>
            </w:r>
          </w:p>
        </w:tc>
        <w:tc>
          <w:tcPr>
            <w:tcW w:w="2558" w:type="dxa"/>
          </w:tcPr>
          <w:p w14:paraId="5141261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Absent risk committees, regulatory ambiguity.</w:t>
            </w:r>
          </w:p>
        </w:tc>
        <w:tc>
          <w:tcPr>
            <w:tcW w:w="2770" w:type="dxa"/>
          </w:tcPr>
          <w:p w14:paraId="4B5FBF6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Harmonized regulations with Basel III alignment.</w:t>
            </w:r>
          </w:p>
        </w:tc>
        <w:tc>
          <w:tcPr>
            <w:tcW w:w="2725" w:type="dxa"/>
          </w:tcPr>
          <w:p w14:paraId="333F04A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Strengthens credit assessment.</w:t>
            </w:r>
          </w:p>
        </w:tc>
        <w:tc>
          <w:tcPr>
            <w:tcW w:w="2096" w:type="dxa"/>
          </w:tcPr>
          <w:p w14:paraId="13A3190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Adegboye (2020), BCBS (2010)</w:t>
            </w:r>
          </w:p>
        </w:tc>
      </w:tr>
      <w:tr w:rsidR="00646B26" w14:paraId="36F20360" w14:textId="77777777" w:rsidTr="00727D26">
        <w:trPr>
          <w:trHeight w:val="1500"/>
        </w:trPr>
        <w:tc>
          <w:tcPr>
            <w:cnfStyle w:val="001000000000" w:firstRow="0" w:lastRow="0" w:firstColumn="1" w:lastColumn="0" w:oddVBand="0" w:evenVBand="0" w:oddHBand="0" w:evenHBand="0" w:firstRowFirstColumn="0" w:firstRowLastColumn="0" w:lastRowFirstColumn="0" w:lastRowLastColumn="0"/>
            <w:tcW w:w="2355" w:type="dxa"/>
          </w:tcPr>
          <w:p w14:paraId="1321D828" w14:textId="77777777" w:rsidR="00646B26" w:rsidRDefault="00646B26" w:rsidP="00727D26">
            <w:pPr>
              <w:pStyle w:val="TableContents"/>
            </w:pPr>
            <w:r>
              <w:t>Audit Committee Independence</w:t>
            </w:r>
          </w:p>
        </w:tc>
        <w:tc>
          <w:tcPr>
            <w:tcW w:w="2558" w:type="dxa"/>
          </w:tcPr>
          <w:p w14:paraId="146E360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Shareholder capture.</w:t>
            </w:r>
          </w:p>
        </w:tc>
        <w:tc>
          <w:tcPr>
            <w:tcW w:w="2770" w:type="dxa"/>
          </w:tcPr>
          <w:p w14:paraId="631A4BB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Equal representation with financial expertise mandates.</w:t>
            </w:r>
          </w:p>
        </w:tc>
        <w:tc>
          <w:tcPr>
            <w:tcW w:w="2725" w:type="dxa"/>
          </w:tcPr>
          <w:p w14:paraId="02D730F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Bolsters financial integrity.</w:t>
            </w:r>
          </w:p>
        </w:tc>
        <w:tc>
          <w:tcPr>
            <w:tcW w:w="2096" w:type="dxa"/>
          </w:tcPr>
          <w:p w14:paraId="147DBE16"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Adegbite (2014), OECD (2023)</w:t>
            </w:r>
          </w:p>
        </w:tc>
      </w:tr>
    </w:tbl>
    <w:p w14:paraId="7D7838E3" w14:textId="77777777" w:rsidR="00646B26" w:rsidRDefault="00646B26" w:rsidP="00646B26">
      <w:pPr>
        <w:pStyle w:val="BodyText"/>
        <w:spacing w:line="480" w:lineRule="auto"/>
      </w:pPr>
      <w:r>
        <w:t>Note: Adapted from Adegbite (2014), Ojo &amp; Ojo (2024), and Afolabi and Afolabi (2024). Reforms integrate indices for holistic governance improvement.</w:t>
      </w:r>
    </w:p>
    <w:p w14:paraId="082B5374" w14:textId="77777777" w:rsidR="00646B26" w:rsidRDefault="00646B26" w:rsidP="00646B26">
      <w:pPr>
        <w:pStyle w:val="BodyText"/>
        <w:spacing w:line="480" w:lineRule="auto"/>
        <w:sectPr w:rsidR="00646B26" w:rsidSect="00646B26">
          <w:pgSz w:w="15840" w:h="12240" w:orient="landscape"/>
          <w:pgMar w:top="1134" w:right="1134" w:bottom="1134" w:left="1134" w:header="0" w:footer="0" w:gutter="0"/>
          <w:cols w:space="720"/>
          <w:formProt w:val="0"/>
          <w:docGrid w:linePitch="326"/>
        </w:sectPr>
      </w:pPr>
    </w:p>
    <w:p w14:paraId="012D4DB4" w14:textId="77777777" w:rsidR="00646B26" w:rsidRDefault="00646B26" w:rsidP="00646B26">
      <w:pPr>
        <w:pStyle w:val="BodyText"/>
        <w:spacing w:line="480" w:lineRule="auto"/>
      </w:pPr>
      <w:r>
        <w:lastRenderedPageBreak/>
        <w:t>This review thus provides a robust foundation for the research’s empirical analysis, paving the way for actionable reforms to mitigate NPLs and enhance Nigeria’s deposit money banking sector resilience.</w:t>
      </w:r>
    </w:p>
    <w:p w14:paraId="420AAD96" w14:textId="77777777" w:rsidR="00646B26" w:rsidRDefault="00646B26" w:rsidP="00646B26">
      <w:r>
        <w:br w:type="page"/>
      </w:r>
    </w:p>
    <w:p w14:paraId="2EB21A01" w14:textId="77777777" w:rsidR="00646B26" w:rsidRDefault="00646B26" w:rsidP="00646B26">
      <w:pPr>
        <w:pStyle w:val="Heading1"/>
        <w:spacing w:before="0"/>
        <w:rPr>
          <w:color w:val="EE0000"/>
        </w:rPr>
      </w:pPr>
      <w:bookmarkStart w:id="91" w:name="_Toc211278895"/>
      <w:r>
        <w:lastRenderedPageBreak/>
        <w:t>Chapter 3: Methodology</w:t>
      </w:r>
      <w:bookmarkEnd w:id="91"/>
      <w:r>
        <w:t xml:space="preserve"> </w:t>
      </w:r>
    </w:p>
    <w:p w14:paraId="019C5463" w14:textId="77777777" w:rsidR="00646B26" w:rsidRPr="00D142FE" w:rsidRDefault="00646B26" w:rsidP="00646B26">
      <w:pPr>
        <w:pStyle w:val="Heading2"/>
      </w:pPr>
      <w:bookmarkStart w:id="92" w:name="_Toc205059275"/>
      <w:bookmarkStart w:id="93" w:name="_Toc205059492"/>
      <w:bookmarkStart w:id="94" w:name="_Toc203392104"/>
      <w:bookmarkStart w:id="95" w:name="_Toc203392040"/>
      <w:bookmarkStart w:id="96" w:name="_Toc203671426"/>
      <w:bookmarkStart w:id="97" w:name="_Toc203671476"/>
      <w:bookmarkStart w:id="98" w:name="_Toc205059586"/>
      <w:bookmarkStart w:id="99" w:name="_Toc203584772"/>
      <w:bookmarkStart w:id="100" w:name="_Toc211278896"/>
      <w:r w:rsidRPr="00D142FE">
        <w:t>3.1 Introduction</w:t>
      </w:r>
      <w:bookmarkEnd w:id="92"/>
      <w:bookmarkEnd w:id="93"/>
      <w:bookmarkEnd w:id="94"/>
      <w:bookmarkEnd w:id="95"/>
      <w:bookmarkEnd w:id="96"/>
      <w:bookmarkEnd w:id="97"/>
      <w:bookmarkEnd w:id="98"/>
      <w:bookmarkEnd w:id="99"/>
      <w:bookmarkEnd w:id="100"/>
    </w:p>
    <w:p w14:paraId="655DFA08" w14:textId="77777777" w:rsidR="00646B26" w:rsidRPr="00D142FE" w:rsidRDefault="00646B26" w:rsidP="00646B26">
      <w:r w:rsidRPr="00D142FE">
        <w:t xml:space="preserve">This chapter delineates the methodological framework employed to address the research questions (RQ1–RQ4) and objectives (OB1–OB4), ensuring alignment with the study's pragmatic epistemology that integrates positivist quantitative analyses with interpretivist qualitative explorations (Creswell &amp; Plano Clark, 2018). The design adopts a mixed-methods convergent parallel approach, where quantitative and qualitative data are collected concurrently, </w:t>
      </w:r>
      <w:proofErr w:type="spellStart"/>
      <w:r w:rsidRPr="00D142FE">
        <w:t>analyzed</w:t>
      </w:r>
      <w:proofErr w:type="spellEnd"/>
      <w:r w:rsidRPr="00D142FE">
        <w:t xml:space="preserve"> separately, and integrated to provide comprehensive insights into corporate governance (CG) mechanisms and their impact on non-performing loan (NPL) ratios in Nigeria's deposit money banking sector. </w:t>
      </w:r>
    </w:p>
    <w:p w14:paraId="614DFB38" w14:textId="77777777" w:rsidR="00646B26" w:rsidRPr="00D142FE" w:rsidRDefault="00646B26" w:rsidP="00646B26">
      <w:r w:rsidRPr="00D142FE">
        <w:t>RQ1 utilizes a quantitative longitudinal panel design with secondary data from 2009–2024 to examine corporate governance indices’ (disclosure, practice, compliance) longitudinal effects, controlling for confounders like bank size, capital adequacy, and macroeconomic factors. In contrast, RQ2–RQ4 leverage a 2024 cross-sectional study incorporating questionnaires and interviews for contemporary stakeholder perceptions on audit committee independence (including mediation by strengthened financial-reporting integrity), management qualifications, and regulatory clarity and enforcement consistency. This dual strategy enhances robustness, with quantitative regressions isolating associations and qualitative themes elucidating mechanisms, triangulated via joint displays (e.g., Table 4.9 in Chapter 4). Ethical considerations, including informed consent and data anonymity under the Nigeria Data Protection Act 2023, are upheld throughout.</w:t>
      </w:r>
    </w:p>
    <w:p w14:paraId="07AB7162" w14:textId="77777777" w:rsidR="00646B26" w:rsidRPr="00D142FE" w:rsidRDefault="00646B26" w:rsidP="00646B26">
      <w:r w:rsidRPr="00D142FE">
        <w:t>This chapter outlines the methodological framework for examining corporate governance (CG) deficiencies at the board level in Nigerian Deposit Money Banks (DMBs), with a focus on enhancing disclosure, practice, and compliance to mitigate default risk, as measured by NPL ratios. A mixed-</w:t>
      </w:r>
      <w:r w:rsidRPr="00D142FE">
        <w:lastRenderedPageBreak/>
        <w:t xml:space="preserve">method approach is adopted, integrating quantitative and qualitative methods to comprehensively </w:t>
      </w:r>
      <w:proofErr w:type="spellStart"/>
      <w:r w:rsidRPr="00D142FE">
        <w:t>analyze</w:t>
      </w:r>
      <w:proofErr w:type="spellEnd"/>
      <w:r w:rsidRPr="00D142FE">
        <w:t xml:space="preserve"> the corporate governance indices of disclosure (CGDI), practice (OPEFF), and compliance (COMID), as well as audit committee independence, management qualifications, and regulatory clarity in the post-2004 consolidation era. This methodology is designed to address the research objectives, which explore how corporate governance indices, audit committee independence, management qualifications, and regulatory clarity influence NPL ratios, and to propose actionable reforms for Nigeria’s deposit money banking sector. By situating the study within a pragmatic research paradigm, this chapter justifies the selected methods, explains the centrality of NPLs as a metric, and details the data collection and analysis processes, ensuring alignment with the research’s aim to fill the gap in Nigeria-specific governance studies and enhance financial stability.</w:t>
      </w:r>
    </w:p>
    <w:p w14:paraId="57296E81" w14:textId="77777777" w:rsidR="00646B26" w:rsidRDefault="00646B26" w:rsidP="00646B26">
      <w:r>
        <w:br w:type="page"/>
      </w:r>
    </w:p>
    <w:p w14:paraId="6B8123A7" w14:textId="77777777" w:rsidR="00646B26" w:rsidRDefault="00646B26" w:rsidP="00646B26">
      <w:pPr>
        <w:pStyle w:val="Heading2"/>
        <w:spacing w:before="0"/>
      </w:pPr>
      <w:bookmarkStart w:id="101" w:name="_Toc203392105"/>
      <w:bookmarkStart w:id="102" w:name="_Toc203584773"/>
      <w:bookmarkStart w:id="103" w:name="_Toc205059587"/>
      <w:bookmarkStart w:id="104" w:name="_Toc205059493"/>
      <w:bookmarkStart w:id="105" w:name="_Toc203671477"/>
      <w:bookmarkStart w:id="106" w:name="_Toc205059276"/>
      <w:bookmarkStart w:id="107" w:name="_Toc203671427"/>
      <w:bookmarkStart w:id="108" w:name="_Toc203392041"/>
      <w:bookmarkStart w:id="109" w:name="_Toc211278897"/>
      <w:r>
        <w:lastRenderedPageBreak/>
        <w:t>3.2 Research Paradigm</w:t>
      </w:r>
      <w:bookmarkEnd w:id="101"/>
      <w:bookmarkEnd w:id="102"/>
      <w:bookmarkEnd w:id="103"/>
      <w:bookmarkEnd w:id="104"/>
      <w:bookmarkEnd w:id="105"/>
      <w:bookmarkEnd w:id="106"/>
      <w:bookmarkEnd w:id="107"/>
      <w:bookmarkEnd w:id="108"/>
      <w:bookmarkEnd w:id="109"/>
    </w:p>
    <w:p w14:paraId="5441A0DF" w14:textId="77777777" w:rsidR="00646B26" w:rsidRPr="00D142FE" w:rsidRDefault="00646B26" w:rsidP="00646B26">
      <w:r w:rsidRPr="00D142FE">
        <w:t xml:space="preserve">The study employs a mixed-methods design grounded in a pragmatic epistemological stance, which prioritizes practical problem-solving by combining positivist and interpretivist paradigms to address multifaceted governance challenges in Nigeria's deposit money banking sector (Creswell &amp; Plano Clark, 2018). Pragmatism allows flexibility in method selection, recognizing that objective realities (e.g., NPL ratios) exist but are best apprehended through context-sensitive measurements and stakeholder interpretations. For RQ1, a quantitative longitudinal panel design is adopted, aligning with critical-realist ontology that posits an underlying governance-performance nexus, observable via theory-informed metrics and statistical controls (Bhaskar, 2016). </w:t>
      </w:r>
    </w:p>
    <w:p w14:paraId="74C577BB" w14:textId="77777777" w:rsidR="00646B26" w:rsidRPr="00D142FE" w:rsidRDefault="00646B26" w:rsidP="00646B26">
      <w:r w:rsidRPr="00D142FE">
        <w:t>This enables disentanglement of within-bank governance variations from between-bank heterogeneity and macroeconomic shocks, such as oil price fluctuations or inflation trends (e.g., 24.1% average in 2024; CBN, 2024). For RQ2–RQ4, a cross-sectional mixed-methods component integrates 7-point Likert-scale questionnaires (quantitative) with semi-structured interviews (qualitative), facilitating thematic analysis of perceptions on audit committee independence (including mediation by strengthened financial-reporting integrity), management qualifications (measured by banking experience and governance training), and regulatory clarity and enforcement consistency.</w:t>
      </w:r>
    </w:p>
    <w:p w14:paraId="568F3047" w14:textId="77777777" w:rsidR="00646B26" w:rsidRPr="00D142FE" w:rsidRDefault="00646B26" w:rsidP="00646B26">
      <w:r w:rsidRPr="00D142FE">
        <w:t>The convergent parallel design ensures equal weighting of strands, with integration occurring during interpretation (e.g., qualitative narratives explaining quantitative coefficients). This mitigates limitations of single methods: Quantitative regressions provide generalizable associations (e.g., via SPSS v.28), while qualitative insights from NVivo-coded interviews add depth to causal mechanisms, such as patronage-driven NPLs. Sample sizes—230 questionnaires (57.5% response rate from 400 distributed) and 10 interviews (50% from 20 scheduled)—ensure sufficient data for robust analysis.</w:t>
      </w:r>
      <w:r w:rsidRPr="00D142FE">
        <w:br/>
        <w:t xml:space="preserve">This research is grounded in a pragmatic epistemological stance, which integrates positivist and </w:t>
      </w:r>
      <w:r w:rsidRPr="00D142FE">
        <w:lastRenderedPageBreak/>
        <w:t xml:space="preserve">interpretivist paradigms to address the multifaceted corporate governance (CG) deficiencies in Nigerian Deposit Money Banks (DMBs), with a focus on enhancing disclosure, practice, and compliance to mitigate default risk, as measured by NPL ratios. Pragmatism, as articulated by Creswell and Plano Clark (2018), prioritizes practical solutions and methodological flexibility, making it an ideal framework for investigating real-world governance challenges in an emerging market like Nigeria, where historical legacies, regulatory multiplicity, and systemic governance failures—such as weak board oversight, unqualified management, and inadequate practice indices—require a nuanced approach that balances empirical rigor with contextual depth. </w:t>
      </w:r>
    </w:p>
    <w:p w14:paraId="4E3BEA7C" w14:textId="77777777" w:rsidR="00646B26" w:rsidRPr="00D142FE" w:rsidRDefault="00646B26" w:rsidP="00646B26">
      <w:r w:rsidRPr="00D142FE">
        <w:t>The pragmatic paradigm rejects the notion of a single, universal truth, instead emphasizing the use of methods best suited to answer the research questions and achieve practical outcomes, aligning with the research’s aim to propose actionable reforms for Nigeria’s deposit money banking sector (</w:t>
      </w:r>
      <w:proofErr w:type="spellStart"/>
      <w:r w:rsidRPr="00D142FE">
        <w:t>Tashakkori</w:t>
      </w:r>
      <w:proofErr w:type="spellEnd"/>
      <w:r w:rsidRPr="00D142FE">
        <w:t xml:space="preserve"> &amp; Teddlie, 1998). This approach is particularly relevant given the complexity of Nigeria’s banking environment, marked by a colonial legacy of misaligned governance frameworks, post-independence regulatory multiplicity, and persistent governance lapses, as evidenced by 425 bank failures since 1988 and NPL peaks of 37% in 2009 and 20% in 2017 (Udo, 2020; Nwosu, 2020; Adegboye, 2020).</w:t>
      </w:r>
      <w:r w:rsidRPr="00D142FE">
        <w:br/>
        <w:t xml:space="preserve">The positivist paradigm underpins the quantitative component of the study, which employs a structured questionnaire to objectively measure the relationships between corporate governance indices—disclosure (CGDI), practice (OPEFF), and compliance (COMID)—and NPL ratios. Positivism assumes that governance deficiencies can be quantified through observable, measurable phenomena, such as NPL ratios, which serve as a robust indicator of default risk and governance quality (Bryman, 2016). By using statistical tools like regression analysis, the quantitative approach tests the impact of governance indices, such as board oversight effectiveness and audit committee independence, on NPLs, providing </w:t>
      </w:r>
      <w:r w:rsidRPr="00D142FE">
        <w:lastRenderedPageBreak/>
        <w:t>empirical evidence to support the research objectives. This paradigm is well-suited to Nigeria’s deposit money banking context, where measurable outcomes, such as the 2009 banking crisis requiring a $3.9 billion CBN intervention, highlight the need for data-driven insights into governance failures (Sanusi, 2009). The positivist approach ensures that the research can isolate specific governance variables, such as the absence of independent nomination committees in 61% of banks or weak whistleblowing mechanisms, and their statistical correlation with NPLs, addressing the scarcity of recent, Nigeria-specific studies on post-consolidation governance (</w:t>
      </w:r>
      <w:proofErr w:type="spellStart"/>
      <w:r w:rsidRPr="00D142FE">
        <w:t>Ogbechie</w:t>
      </w:r>
      <w:proofErr w:type="spellEnd"/>
      <w:r w:rsidRPr="00D142FE">
        <w:t>, 2016; Osita et al., 2019).</w:t>
      </w:r>
    </w:p>
    <w:p w14:paraId="6B9F76F4" w14:textId="77777777" w:rsidR="00646B26" w:rsidRPr="00D142FE" w:rsidRDefault="00646B26" w:rsidP="00646B26">
      <w:r w:rsidRPr="00D142FE">
        <w:t xml:space="preserve">In contrast, the interpretivist paradigm informs the qualitative component, utilizing semi-structured interviews with high-level banking officials to capture nuanced, subjective perspectives on CG challenges, such as regulatory multiplicity and fraud concealment. Interpretivism recognizes that governance phenomena are shaped by social, cultural, and historical contexts, which in Nigeria include pre-colonial customary systems, colonial impositions like the Companies Ordinance of 1912, and post-independence regulatory adaptations like CAMA 2020 (Elias, 2024; </w:t>
      </w:r>
      <w:proofErr w:type="spellStart"/>
      <w:r w:rsidRPr="00D142FE">
        <w:t>Agamah</w:t>
      </w:r>
      <w:proofErr w:type="spellEnd"/>
      <w:r w:rsidRPr="00D142FE">
        <w:t xml:space="preserve">, 2024). </w:t>
      </w:r>
    </w:p>
    <w:p w14:paraId="5FA35BA9" w14:textId="77777777" w:rsidR="00646B26" w:rsidRPr="00D142FE" w:rsidRDefault="00646B26" w:rsidP="00646B26">
      <w:r w:rsidRPr="00D142FE">
        <w:t xml:space="preserve">This paradigm allows the research to explore how stakeholders perceive and navigate governance deficiencies, such as politically motivated board appointments or conflicting regulatory codes (e.g., CAMA 2020 vs. NCCG 2018), which contribute to NPL-driven default risk (Abdulmalik &amp; Ahmad, 2020). By engaging with banking professionals, the interpretivist approach provides rich, context-specific insights into the practical barriers to implementing governance reforms, such as weak enforcement consistency by the CBN or shareholder capture of audit committees, which quantitative data alone cannot fully capture (Adegbite, 2014; </w:t>
      </w:r>
      <w:proofErr w:type="spellStart"/>
      <w:r w:rsidRPr="00D142FE">
        <w:t>Olojede</w:t>
      </w:r>
      <w:proofErr w:type="spellEnd"/>
      <w:r w:rsidRPr="00D142FE">
        <w:t xml:space="preserve"> et al., 2020). </w:t>
      </w:r>
    </w:p>
    <w:p w14:paraId="19004753" w14:textId="77777777" w:rsidR="00646B26" w:rsidRPr="00D142FE" w:rsidRDefault="00646B26" w:rsidP="00646B26">
      <w:r w:rsidRPr="00D142FE">
        <w:t>This qualitative depth is critical for understanding the socio-political dynamics of Nigeria’s deposit money banking sector, where historical legacies of cronyism and regulatory multiplicity continue to undermine disclosure and compliance.</w:t>
      </w:r>
    </w:p>
    <w:p w14:paraId="3ABD0854" w14:textId="77777777" w:rsidR="00646B26" w:rsidRPr="00D142FE" w:rsidRDefault="00646B26" w:rsidP="00646B26">
      <w:r w:rsidRPr="00D142FE">
        <w:lastRenderedPageBreak/>
        <w:t>The integration of positivist and interpretivist paradigms within a pragmatic framework is particularly advantageous for this study, as it addresses the complexity of CG deficiencies in a way that neither paradigm could achieve alone. Pragmatism allows the research to leverage the strengths of both approaches: the positivist paradigm provides statistical rigor to quantify the impact of corporate governance indices on NPLs, while the interpretivist paradigm offers contextual understanding of Nigeria’s unique governance challenges, such as the legacy of government interference pre-1986 and the 2004 banking consolidation’s failure to resolve systemic weaknesses (</w:t>
      </w:r>
      <w:proofErr w:type="spellStart"/>
      <w:r w:rsidRPr="00D142FE">
        <w:t>Chinweoda</w:t>
      </w:r>
      <w:proofErr w:type="spellEnd"/>
      <w:r w:rsidRPr="00D142FE">
        <w:t xml:space="preserve"> et al., 2020; </w:t>
      </w:r>
      <w:proofErr w:type="spellStart"/>
      <w:r w:rsidRPr="00D142FE">
        <w:t>Kafidipe</w:t>
      </w:r>
      <w:proofErr w:type="spellEnd"/>
      <w:r w:rsidRPr="00D142FE">
        <w:t>, 2021). This mixed-method approach facilitates triangulation, where quantitative findings (e.g., correlations between audit committee independence and NPL reduction) are validated or explained by qualitative insights (e.g., stakeholder views on audit committee capture), enhancing the robustness and credibility of the results (Creswell &amp; Plano Clark, 2018).</w:t>
      </w:r>
    </w:p>
    <w:p w14:paraId="00F55BCE" w14:textId="77777777" w:rsidR="00646B26" w:rsidRPr="00D142FE" w:rsidRDefault="00646B26" w:rsidP="00646B26">
      <w:r w:rsidRPr="00D142FE">
        <w:t>The pragmatic stance also aligns with the research’s objectives to not only assess governance deficiencies but also propose practical, context-specific reforms, such as harmonized regulatory frameworks and mandatory nomination committees, that align with global standards like the OECD Principles (2023) while addressing Nigeria’s specific needs (Aguilera &amp; Ruiz Castillo, 2024). This pragmatic paradigm positions the research within the broader body of CG literature, particularly studies in emerging markets, where mixed methods are increasingly employed to tackle governance challenges that require both empirical evidence and contextual nuance. For instance, Aguilera and Cuervo-</w:t>
      </w:r>
      <w:proofErr w:type="spellStart"/>
      <w:r w:rsidRPr="00D142FE">
        <w:t>Cazurra</w:t>
      </w:r>
      <w:proofErr w:type="spellEnd"/>
      <w:r w:rsidRPr="00D142FE">
        <w:t xml:space="preserve"> (2004) advocate for integrated approaches to study governance codes in developing economies, where regulatory multiplicity and institutional weaknesses are prevalent. Similarly, the research draws on Nigerian studies, such as Osemeke and Adegbite (2016), which highlight the need for context-specific analyses of regulatory conflicts, and </w:t>
      </w:r>
      <w:proofErr w:type="spellStart"/>
      <w:r w:rsidRPr="00D142FE">
        <w:t>Olojede</w:t>
      </w:r>
      <w:proofErr w:type="spellEnd"/>
      <w:r w:rsidRPr="00D142FE">
        <w:t xml:space="preserve"> et al. (2020), which emphasize stakeholder perspectives on disclosure and compliance.</w:t>
      </w:r>
    </w:p>
    <w:p w14:paraId="5FCFA6C8" w14:textId="77777777" w:rsidR="00646B26" w:rsidRDefault="00646B26" w:rsidP="00646B26">
      <w:r w:rsidRPr="00D142FE">
        <w:lastRenderedPageBreak/>
        <w:t xml:space="preserve">By adopting pragmatism, the research bridges the gap between global governance theories (e.g., agency and stewardship theories) and Nigeria’s unique context, addressing the scarcity of post-2009 studies on post-consolidation governance failures (Osita et al., 2019). This approach ensures that the research not only contributes to academic discourse but also offers practical solutions to enhance financial stability in Nigeria’s deposit money banking sector, addressing systemic risks like those seen in the 2009 crisis and fostering resilience through improved governance practices. </w:t>
      </w:r>
    </w:p>
    <w:p w14:paraId="3C3E224C" w14:textId="77777777" w:rsidR="00646B26" w:rsidRDefault="00646B26" w:rsidP="00646B26">
      <w:r w:rsidRPr="00D142FE">
        <w:t xml:space="preserve">The choice of a pragmatic paradigm is further justified by its ability to address the research gap in understanding how CG deficiencies—rooted in historical legacies and exacerbated by regulatory multiplicity—drive NPLs in Nigerian DMBs. Unlike purely positivist studies, which may overlook Nigeria’s socio-political complexities, or purely interpretivist studies, which may lack empirical generalizability, the pragmatic approach combines the strengths of </w:t>
      </w:r>
      <w:proofErr w:type="gramStart"/>
      <w:r w:rsidRPr="00D142FE">
        <w:t>both to</w:t>
      </w:r>
      <w:proofErr w:type="gramEnd"/>
      <w:r w:rsidRPr="00D142FE">
        <w:t xml:space="preserve"> provide a comprehensive analysis. </w:t>
      </w:r>
    </w:p>
    <w:p w14:paraId="36B6822B" w14:textId="77777777" w:rsidR="00646B26" w:rsidRPr="00D142FE" w:rsidRDefault="00646B26" w:rsidP="00646B26">
      <w:r w:rsidRPr="00D142FE">
        <w:t>This is particularly critical in Nigeria, where governance failures, such as the 75% of NPLs tied to insider lending at Oceanic Bank, reflect a confluence of measurable practice index deficiencies and contextual factors like political patronage (Sanusi, 2009). By integrating quantitative data on NPLs with qualitative insights into regulatory and cultural barriers, the research ensures a holistic understanding of CG deficiencies, supporting the development of reforms that are both evidence-based and contextually relevant. This paradigm thus underpins the mixed-method design, enabling the research to address its objectives effectively and contribute to both academic and policy discourse in Nigeria’s deposit money banking sector.</w:t>
      </w:r>
    </w:p>
    <w:p w14:paraId="12AC8D2E" w14:textId="77777777" w:rsidR="00646B26" w:rsidRDefault="00646B26" w:rsidP="00646B26"/>
    <w:p w14:paraId="00B0E439" w14:textId="77777777" w:rsidR="00646B26" w:rsidRDefault="00646B26" w:rsidP="00646B26"/>
    <w:p w14:paraId="1D300F43" w14:textId="77777777" w:rsidR="00646B26" w:rsidRDefault="00646B26" w:rsidP="00646B26">
      <w:pPr>
        <w:pStyle w:val="Heading2"/>
        <w:rPr>
          <w:rFonts w:eastAsia="Times New Roman" w:cs="Times New Roman"/>
          <w:szCs w:val="24"/>
        </w:rPr>
      </w:pPr>
      <w:bookmarkStart w:id="110" w:name="_Toc211278898"/>
      <w:r>
        <w:lastRenderedPageBreak/>
        <w:t>3.3 Research Design</w:t>
      </w:r>
      <w:bookmarkEnd w:id="110"/>
    </w:p>
    <w:p w14:paraId="57C64BCA" w14:textId="77777777" w:rsidR="00646B26" w:rsidRDefault="00646B26" w:rsidP="00646B26">
      <w:pPr>
        <w:pStyle w:val="Heading3"/>
      </w:pPr>
      <w:bookmarkStart w:id="111" w:name="_Toc211278899"/>
      <w:r>
        <w:t>3.3.1 Convergent Parallel mixed-methods design</w:t>
      </w:r>
      <w:bookmarkEnd w:id="111"/>
    </w:p>
    <w:p w14:paraId="6D56708A" w14:textId="77777777" w:rsidR="00646B26" w:rsidRPr="00D20388" w:rsidRDefault="00646B26" w:rsidP="00646B26">
      <w:r w:rsidRPr="00D20388">
        <w:t xml:space="preserve">This subsection outlines the comprehensive methodological framework, including structured questionnaires for quantifying perceptions, semi-structured interviews for capturing narrative insights, regression analyses for </w:t>
      </w:r>
      <w:proofErr w:type="spellStart"/>
      <w:r w:rsidRPr="00D20388">
        <w:t>modeling</w:t>
      </w:r>
      <w:proofErr w:type="spellEnd"/>
      <w:r w:rsidRPr="00D20388">
        <w:t xml:space="preserve"> relationships, thematic analyses for identifying patterns, and pilot testing for refining instruments. These tools collectively support the pragmatic paradigm, offering practical solutions to corporate governance (CG) challenges within Nigeria’s fragmented deposit money banking sector, marked by Deposit Money Banks (DMBs) and ongoing non-performing loan (NPL) pressures (Creswell &amp; Plano Clark, 2018; CBN, 2024). Questionnaires, featuring Likert-scaled items, facilitate broad data collection; interviews provide adaptability in exploration; regressions estimate associations (e.g., betas linking corporate governance indices to NPLs); </w:t>
      </w:r>
      <w:proofErr w:type="spellStart"/>
      <w:r w:rsidRPr="00D20388">
        <w:t>thematics</w:t>
      </w:r>
      <w:proofErr w:type="spellEnd"/>
      <w:r w:rsidRPr="00D20388">
        <w:t xml:space="preserve"> </w:t>
      </w:r>
      <w:proofErr w:type="spellStart"/>
      <w:r w:rsidRPr="00D20388">
        <w:t>distill</w:t>
      </w:r>
      <w:proofErr w:type="spellEnd"/>
      <w:r w:rsidRPr="00D20388">
        <w:t xml:space="preserve"> qualitative insights; and pilots (n=65) ensure tool reliability, all grounded in data from April 2024.</w:t>
      </w:r>
    </w:p>
    <w:p w14:paraId="282852CC" w14:textId="77777777" w:rsidR="00646B26" w:rsidRPr="00D20388" w:rsidRDefault="00646B26" w:rsidP="00646B26">
      <w:r w:rsidRPr="00D20388">
        <w:t>The research design is aligned with the study’s objectives: OB1 estimates the association of corporate governance indices (disclosure, practice, compliance) with reduced NPL ratios; OB2 estimates the association of audit committee independence with financial reporting integrity and lower NPL ratios; OB3 estimates the association of management qualifications with NPL ratios; and OB4 assesses the influence of regulatory clarity and proposes actionable reforms to enhance financial stability in Nigeria’s deposit money banking sector. These represent the full and detailed objectives as outlined in Section 1.4, tailored to a 2024 snapshot based on April 2024 data.</w:t>
      </w:r>
    </w:p>
    <w:p w14:paraId="2DFD2EE8" w14:textId="77777777" w:rsidR="00646B26" w:rsidRPr="00D20388" w:rsidRDefault="00646B26" w:rsidP="00646B26">
      <w:r w:rsidRPr="00D20388">
        <w:t xml:space="preserve">Mitigating default risks through enhanced governance indices, audit committee independence, management qualifications, and regulatory clarity, the design promotes financial stability in an emerging market vulnerable to economic shocks and inflationary pressures in 2024 (CBN, 2024). </w:t>
      </w:r>
      <w:r w:rsidRPr="00D20388">
        <w:lastRenderedPageBreak/>
        <w:t>Quantitative data, sourced from structured questionnaires administered to 400 banking professionals (57.5% response rate from 400 distributed) and secondary NPL ratios, are cross-referenced with qualitative insights from 10 semi-structured interviews (50% response rate from 20 scheduled), producing resilient, contextually grounded outcomes that are especially pertinent to emerging economies grappling with regulatory fragmentation and data opacity (</w:t>
      </w:r>
      <w:proofErr w:type="spellStart"/>
      <w:r w:rsidRPr="00D20388">
        <w:t>Olojede</w:t>
      </w:r>
      <w:proofErr w:type="spellEnd"/>
      <w:r w:rsidRPr="00D20388">
        <w:t xml:space="preserve"> et al., 2020).</w:t>
      </w:r>
    </w:p>
    <w:p w14:paraId="64FD491B" w14:textId="77777777" w:rsidR="00646B26" w:rsidRPr="00D20388" w:rsidRDefault="00646B26" w:rsidP="00646B26"/>
    <w:p w14:paraId="63EA6DF1" w14:textId="77777777" w:rsidR="00646B26" w:rsidRPr="00D20388" w:rsidRDefault="00646B26" w:rsidP="00646B26">
      <w:pPr>
        <w:pStyle w:val="Heading3"/>
        <w:rPr>
          <w:rStyle w:val="Strong"/>
        </w:rPr>
      </w:pPr>
      <w:bookmarkStart w:id="112" w:name="_Toc211278900"/>
      <w:r w:rsidRPr="00D20388">
        <w:rPr>
          <w:rStyle w:val="Strong"/>
        </w:rPr>
        <w:t>3.3.2 Justification for Convergent Parallel Mixed-Methods Design</w:t>
      </w:r>
      <w:bookmarkEnd w:id="112"/>
    </w:p>
    <w:p w14:paraId="3388AE4A" w14:textId="77777777" w:rsidR="00646B26" w:rsidRDefault="00646B26" w:rsidP="00646B26">
      <w:pPr>
        <w:pStyle w:val="BodyText"/>
        <w:spacing w:line="480" w:lineRule="auto"/>
      </w:pPr>
      <w:r>
        <w:t xml:space="preserve">This research employs a mixed-methods convergent parallel design, integrating quantitative data (analyzed via SPSS regressions) and qualitative data (explored through NVivo thematic analysis) to investigate the relationship between corporate governance indices (disclosure, practice, compliance), audit committee independence, management qualifications, and regulatory clarity with NPL ratios, drawing on Creswell &amp; Plano Clark (2018). </w:t>
      </w:r>
    </w:p>
    <w:p w14:paraId="1D930A67" w14:textId="77777777" w:rsidR="00646B26" w:rsidRDefault="00646B26" w:rsidP="00646B26">
      <w:pPr>
        <w:pStyle w:val="BodyText"/>
        <w:spacing w:line="480" w:lineRule="auto"/>
      </w:pPr>
      <w:r>
        <w:t>This design facilitates the simultaneous collection and analysis of both data types in April 2024, merging them to provide a more comprehensive understanding than single-method approaches, thereby addressing the complexities of deposit money banking governance where isolated methods fall short. As outlined by Creswell &amp; Plano Clark (2018), the convergent parallel design is well-suited for studies requiring empirical evidence alongside interpretive depth, enhancing validity and reliability through mutual reinforcement of findings, and aligns with the pragmatic paradigm that prioritizes practical, actionable solutions over rigid theoretical divides.</w:t>
      </w:r>
    </w:p>
    <w:p w14:paraId="2D02C9C4" w14:textId="77777777" w:rsidR="00646B26" w:rsidRDefault="00646B26" w:rsidP="00646B26">
      <w:pPr>
        <w:pStyle w:val="BodyText"/>
        <w:spacing w:line="480" w:lineRule="auto"/>
      </w:pPr>
      <w:r>
        <w:t xml:space="preserve"> This approach is particularly apt for Nigeria’s complex deposit money banking environment, marked by historical governance failures and current challenges like regulatory multiplicity that undermine </w:t>
      </w:r>
      <w:r>
        <w:lastRenderedPageBreak/>
        <w:t>compliance (Abdulmalik &amp; Ahmad, 2020), capturing a 2024 snapshot that reflects regulatory progress following the CBN Guidelines 2023.</w:t>
      </w:r>
    </w:p>
    <w:p w14:paraId="5F032E75" w14:textId="77777777" w:rsidR="00646B26" w:rsidRPr="00D20388" w:rsidRDefault="00646B26" w:rsidP="00646B26">
      <w:r w:rsidRPr="00D20388">
        <w:t xml:space="preserve">Data collection integrates primary and secondary sources, as well as quantitative and qualitative typologies, to create a balanced, multi-layered dataset. Primary data includes original insights from questionnaires targeting a stratified sample of banking professionals and semi-structured interviews with senior executives, collected in April 2024, capturing contemporaneous perceptions such as how weak nomination committees contribute to unqualified appointments influencing NPLs. Secondary data, sourced from pre-existing repositories like DMB financial reports and CBN bulletins covering 2009–2024, focuses on 2024 NPL ratios and ancillary metrics to contextualize primary findings. </w:t>
      </w:r>
    </w:p>
    <w:p w14:paraId="181A1892" w14:textId="77777777" w:rsidR="00646B26" w:rsidRPr="00D20388" w:rsidRDefault="00646B26" w:rsidP="00646B26">
      <w:r w:rsidRPr="00D20388">
        <w:t>Quantitative data, collected from questionnaires and secondary NPL metrics, underpins statistical inquiries like regression models to test associations between corporate governance indices and default risk. Qualitative data from interviews delivers interpretive layers, elucidating obstacles like regulatory conflicts under CAMA 2020 and NCCG 2018 that hinder implementation, as stakeholders describe “loopholes allowing selective compliance” (Abdulmalik &amp; Ahmad, 2020). Integration transpires via cross-validation, harmonizing with agency theory to resolve principal-agent dissonances in governance structures and stakeholder theory to embrace multifaceted viewpoints from shareholders to regulators, thus constructing a cohesive narrative that transcends methodological silos (Jensen &amp; Meckling, 1976; Freeman, 1984).</w:t>
      </w:r>
    </w:p>
    <w:p w14:paraId="3C2D5941" w14:textId="77777777" w:rsidR="00646B26" w:rsidRDefault="00646B26" w:rsidP="00646B26">
      <w:r w:rsidRPr="00D20388">
        <w:rPr>
          <w:highlight w:val="yellow"/>
        </w:rPr>
        <w:t xml:space="preserve">The quantitative component quantifies the association of corporate governance indices with NPL ratios, aligned with OB1, through literature-anchored questionnaires that test hypotheses on disclosure, practice, and compliance (e.g., ‘Effective oversight reduces risky loans by 20%’; </w:t>
      </w:r>
      <w:proofErr w:type="spellStart"/>
      <w:r w:rsidRPr="00D20388">
        <w:rPr>
          <w:highlight w:val="yellow"/>
        </w:rPr>
        <w:t>Ogbechie</w:t>
      </w:r>
      <w:proofErr w:type="spellEnd"/>
      <w:r w:rsidRPr="00D20388">
        <w:rPr>
          <w:highlight w:val="yellow"/>
        </w:rPr>
        <w:t xml:space="preserve">, 2016), using April 2024 data, with secondary NPL ratios from 2009–2024 adding longitudinal depth for RQ1. The qualitative component, linked to OB2, OB3, and OB4, explores perceptions of impediments like audit </w:t>
      </w:r>
      <w:r w:rsidRPr="00D20388">
        <w:rPr>
          <w:highlight w:val="yellow"/>
        </w:rPr>
        <w:lastRenderedPageBreak/>
        <w:t>committee independence (including mediation by strengthened financial-reporting integrity), management qualifications, and regulatory clarity and enforcement consistency through semi-structured interviews conducted in April 2024, providing causal insights into fraud concealment and regulatory fragmentation that complement quantitative findings. Concurrent data collection enhances reliability, particularly in Nigeria’s opaque reporting environment, where historical misstatements have masked risks, enabling real-time cross-checks that highlight discrepancies such as perceptual optimism versus actual NPL spikes (</w:t>
      </w:r>
      <w:proofErr w:type="spellStart"/>
      <w:r w:rsidRPr="00D20388">
        <w:rPr>
          <w:highlight w:val="yellow"/>
        </w:rPr>
        <w:t>Olojede</w:t>
      </w:r>
      <w:proofErr w:type="spellEnd"/>
      <w:r w:rsidRPr="00D20388">
        <w:rPr>
          <w:highlight w:val="yellow"/>
        </w:rPr>
        <w:t xml:space="preserve"> et al., 2020). Cross-verification strengthens validity: regression models, tied to OB1 and OB3, estimate correlations, while interviews, supporting OB2 and OB4, elucidate underlying mechanisms; a joint display table synthesizes results, addressing divergences and aligning with OECD Principles (2023) for disclosure and compliance and Basel III standards (BCBS, 2010) for risk mitigation. This methodology fills post-2009 research gaps in Nigerian inquiries, advocating a unified CG framework amid ongoing reforms, and informs policy for Deposit Money Banks (DMBs), directly supporting OB4 (Osita et al., 2019; </w:t>
      </w:r>
      <w:proofErr w:type="spellStart"/>
      <w:r w:rsidRPr="00D20388">
        <w:rPr>
          <w:highlight w:val="yellow"/>
        </w:rPr>
        <w:t>Kafidipe</w:t>
      </w:r>
      <w:proofErr w:type="spellEnd"/>
      <w:r w:rsidRPr="00D20388">
        <w:rPr>
          <w:highlight w:val="yellow"/>
        </w:rPr>
        <w:t>, 2021; Nwosu, 2020; Aguilera</w:t>
      </w:r>
      <w:r w:rsidRPr="00D20388">
        <w:t xml:space="preserve"> &amp; Ruiz Castillo, 2024).</w:t>
      </w:r>
    </w:p>
    <w:p w14:paraId="32C5DFA4" w14:textId="77777777" w:rsidR="00646B26" w:rsidRDefault="00646B26" w:rsidP="00646B26">
      <w:r w:rsidRPr="00D20388">
        <w:br/>
        <w:t xml:space="preserve">Although the convergent parallel design was ultimately chosen for its equilibrium of scope and profundity, various alternatives were rigorously appraised and ultimately discarded to ascertain optimal methodological congruence with the study's pragmatic orientation and contextual demands. A purely positivist methodology, </w:t>
      </w:r>
      <w:proofErr w:type="spellStart"/>
      <w:r w:rsidRPr="00D20388">
        <w:t>centered</w:t>
      </w:r>
      <w:proofErr w:type="spellEnd"/>
      <w:r w:rsidRPr="00D20388">
        <w:t xml:space="preserve"> exclusively on quantitative instruments like surveys and archival NPL data, was rejected as inadequate for </w:t>
      </w:r>
      <w:proofErr w:type="spellStart"/>
      <w:r w:rsidRPr="00D20388">
        <w:t>unraveling</w:t>
      </w:r>
      <w:proofErr w:type="spellEnd"/>
      <w:r w:rsidRPr="00D20388">
        <w:t xml:space="preserve"> the socio-political and cultural undercurrents of governance issues in Nigeria, such as the entrenched political influences on board selections that quantitative metrics alone might overlook, thereby failing to explicate anomalies in statistical patterns. </w:t>
      </w:r>
    </w:p>
    <w:p w14:paraId="6C2165ED" w14:textId="77777777" w:rsidR="00646B26" w:rsidRDefault="00646B26" w:rsidP="00646B26">
      <w:r w:rsidRPr="00D20388">
        <w:lastRenderedPageBreak/>
        <w:t>Conversely, a wholly interpretivist paradigm, exemplified by in-depth case studies or unstructured interviews, was dismissed for its deficiency in delivering the empirical solidity required to quantify associations and validate hypotheses concerning corporate governance indices’ effects, potentially yielding rich but non-generalizable anecdotes in a sector craving quantifiable evidence for policy advocacy (</w:t>
      </w:r>
      <w:proofErr w:type="spellStart"/>
      <w:r w:rsidRPr="00D20388">
        <w:t>Tashakkori</w:t>
      </w:r>
      <w:proofErr w:type="spellEnd"/>
      <w:r w:rsidRPr="00D20388">
        <w:t xml:space="preserve"> &amp; Teddlie, 1998). Within mixed-methods spectra, an explanatory sequential design—commencing with quantitative phases followed by qualitative elaboration—was contemplated but deemed suboptimal due to its protracted timeline, which delays synthesis and risks obsolescence in Nigeria's rapidly shifting regulatory terrain, whereas concurrent collection permits timely juxtaposition (Creswell &amp; Plano Clark, 2018).</w:t>
      </w:r>
    </w:p>
    <w:p w14:paraId="58501CA6" w14:textId="77777777" w:rsidR="00646B26" w:rsidRPr="00D20388" w:rsidRDefault="00646B26" w:rsidP="00646B26">
      <w:r w:rsidRPr="00D20388">
        <w:t xml:space="preserve"> An exploratory sequential model, initiating with qualitative probes before quantitative verification, was likewise eschewed, as the objectives mandate preliminary measurement of NPL trends prior to contextual unpacking; reversing this sequence would misalign with the need for initial empirical grounding. A fully qualitative case study methodology, while potent for granular narratives, was repudiated for its incapacity to furnish statistically extrapolatable conclusions across the DMBs, crucial for systemic reform proposals amid heterogeneous governance practices (Yin, 2018; CBN, 2024). The convergent parallel design triumphs by permitting synchronous strands, expediting cross-verification, and yielding pragmatic resolutions attuned to Nigeria's exigencies, outstripping alternatives in efficiency and comprehensiveness.</w:t>
      </w:r>
    </w:p>
    <w:p w14:paraId="1467E732" w14:textId="77777777" w:rsidR="00646B26" w:rsidRPr="00D20388" w:rsidRDefault="00646B26" w:rsidP="00646B26">
      <w:r w:rsidRPr="00D20388">
        <w:rPr>
          <w:highlight w:val="yellow"/>
        </w:rPr>
        <w:t xml:space="preserve">Methods are customized to the research objectives (OB1–OB4), with OB1 accentuating quantitative modalities for empirical correlations via primary surveys and secondary NPL data from 2009–2024; OB2, OB3, and OB4 </w:t>
      </w:r>
      <w:proofErr w:type="spellStart"/>
      <w:r w:rsidRPr="00D20388">
        <w:rPr>
          <w:highlight w:val="yellow"/>
        </w:rPr>
        <w:t>favoring</w:t>
      </w:r>
      <w:proofErr w:type="spellEnd"/>
      <w:r w:rsidRPr="00D20388">
        <w:rPr>
          <w:highlight w:val="yellow"/>
        </w:rPr>
        <w:t xml:space="preserve"> qualitative narratives for contextual unpacking and reform synthesis, supplemented by secondary metrics. This calibration alleviates data opacity prevalent in Nigerian </w:t>
      </w:r>
      <w:r w:rsidRPr="00D20388">
        <w:rPr>
          <w:highlight w:val="yellow"/>
        </w:rPr>
        <w:lastRenderedPageBreak/>
        <w:t>deposit money banks, as visualized in Table 3.1 below, which demarcates approaches, sources, and strategies for clarity.</w:t>
      </w:r>
    </w:p>
    <w:p w14:paraId="711D294D" w14:textId="77777777" w:rsidR="00646B26" w:rsidRDefault="00646B26" w:rsidP="00646B26">
      <w:pPr>
        <w:sectPr w:rsidR="00646B26" w:rsidSect="00646B26">
          <w:pgSz w:w="12240" w:h="15840"/>
          <w:pgMar w:top="1134" w:right="1134" w:bottom="1134" w:left="1134" w:header="0" w:footer="0" w:gutter="0"/>
          <w:cols w:space="720"/>
          <w:formProt w:val="0"/>
          <w:docGrid w:linePitch="100"/>
        </w:sectPr>
      </w:pPr>
    </w:p>
    <w:tbl>
      <w:tblPr>
        <w:tblStyle w:val="GridTable1Light-Accent4"/>
        <w:tblW w:w="13793" w:type="dxa"/>
        <w:tblLayout w:type="fixed"/>
        <w:tblLook w:val="04A0" w:firstRow="1" w:lastRow="0" w:firstColumn="1" w:lastColumn="0" w:noHBand="0" w:noVBand="1"/>
      </w:tblPr>
      <w:tblGrid>
        <w:gridCol w:w="2078"/>
        <w:gridCol w:w="2076"/>
        <w:gridCol w:w="2476"/>
        <w:gridCol w:w="2000"/>
        <w:gridCol w:w="2513"/>
        <w:gridCol w:w="2650"/>
      </w:tblGrid>
      <w:tr w:rsidR="00646B26" w14:paraId="475A8A34" w14:textId="77777777" w:rsidTr="00727D26">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078" w:type="dxa"/>
          </w:tcPr>
          <w:p w14:paraId="06C65B66" w14:textId="77777777" w:rsidR="00646B26" w:rsidRDefault="00646B26" w:rsidP="00727D26">
            <w:pPr>
              <w:spacing w:line="240" w:lineRule="auto"/>
            </w:pPr>
            <w:r>
              <w:lastRenderedPageBreak/>
              <w:t>Objective</w:t>
            </w:r>
          </w:p>
        </w:tc>
        <w:tc>
          <w:tcPr>
            <w:tcW w:w="2076" w:type="dxa"/>
          </w:tcPr>
          <w:p w14:paraId="02AD053E" w14:textId="77777777" w:rsidR="00646B26"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pPr>
            <w:r>
              <w:t>Nature of Approach</w:t>
            </w:r>
          </w:p>
        </w:tc>
        <w:tc>
          <w:tcPr>
            <w:tcW w:w="2476" w:type="dxa"/>
          </w:tcPr>
          <w:p w14:paraId="42AEBCF1" w14:textId="77777777" w:rsidR="00646B26"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pPr>
            <w:r>
              <w:t>Primary Data Source</w:t>
            </w:r>
          </w:p>
        </w:tc>
        <w:tc>
          <w:tcPr>
            <w:tcW w:w="2000" w:type="dxa"/>
          </w:tcPr>
          <w:p w14:paraId="449343D7" w14:textId="77777777" w:rsidR="00646B26"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pPr>
            <w:r>
              <w:t>Secondary Data Source</w:t>
            </w:r>
          </w:p>
        </w:tc>
        <w:tc>
          <w:tcPr>
            <w:tcW w:w="2513" w:type="dxa"/>
          </w:tcPr>
          <w:p w14:paraId="609E7B3A" w14:textId="77777777" w:rsidR="00646B26"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pPr>
            <w:r>
              <w:t>Analytical Strategy</w:t>
            </w:r>
          </w:p>
        </w:tc>
        <w:tc>
          <w:tcPr>
            <w:tcW w:w="2650" w:type="dxa"/>
          </w:tcPr>
          <w:p w14:paraId="3AEA3E08" w14:textId="77777777" w:rsidR="00646B26" w:rsidRDefault="00646B26" w:rsidP="00727D26">
            <w:pPr>
              <w:spacing w:line="240" w:lineRule="auto"/>
              <w:cnfStyle w:val="100000000000" w:firstRow="1" w:lastRow="0" w:firstColumn="0" w:lastColumn="0" w:oddVBand="0" w:evenVBand="0" w:oddHBand="0" w:evenHBand="0" w:firstRowFirstColumn="0" w:firstRowLastColumn="0" w:lastRowFirstColumn="0" w:lastRowLastColumn="0"/>
            </w:pPr>
            <w:r>
              <w:t>Key Focus and Rationale</w:t>
            </w:r>
          </w:p>
        </w:tc>
      </w:tr>
      <w:tr w:rsidR="00646B26" w14:paraId="37CFDE15" w14:textId="77777777" w:rsidTr="00727D26">
        <w:trPr>
          <w:trHeight w:val="4919"/>
        </w:trPr>
        <w:tc>
          <w:tcPr>
            <w:cnfStyle w:val="001000000000" w:firstRow="0" w:lastRow="0" w:firstColumn="1" w:lastColumn="0" w:oddVBand="0" w:evenVBand="0" w:oddHBand="0" w:evenHBand="0" w:firstRowFirstColumn="0" w:firstRowLastColumn="0" w:lastRowFirstColumn="0" w:lastRowLastColumn="0"/>
            <w:tcW w:w="2078" w:type="dxa"/>
          </w:tcPr>
          <w:p w14:paraId="7774C9CC" w14:textId="77777777" w:rsidR="00646B26" w:rsidRDefault="00646B26" w:rsidP="00727D26">
            <w:pPr>
              <w:spacing w:line="240" w:lineRule="auto"/>
            </w:pPr>
            <w:r>
              <w:t>OB1: Estimate the association of corporate governance indices (disclosure, practice, compliance) with reduced NPL-driven default risk</w:t>
            </w:r>
          </w:p>
        </w:tc>
        <w:tc>
          <w:tcPr>
            <w:tcW w:w="2076" w:type="dxa"/>
          </w:tcPr>
          <w:p w14:paraId="566EA04D"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Predominantly quantitative, focusing on empirical measurement</w:t>
            </w:r>
          </w:p>
        </w:tc>
        <w:tc>
          <w:tcPr>
            <w:tcW w:w="2476" w:type="dxa"/>
          </w:tcPr>
          <w:p w14:paraId="6D089A4A"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Structured questionnaire responses from banking professionals, collected in April 2024, capturing Likert-scale perceptions on governance efficacy (e.g., credit control rigor and Basel III compliance)</w:t>
            </w:r>
          </w:p>
        </w:tc>
        <w:tc>
          <w:tcPr>
            <w:tcW w:w="2000" w:type="dxa"/>
          </w:tcPr>
          <w:p w14:paraId="7E13ED6F"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2009–2024 NPL ratios sourced from CBN statistical bulletins, NDIC reports, and audited DMB financial statements</w:t>
            </w:r>
          </w:p>
        </w:tc>
        <w:tc>
          <w:tcPr>
            <w:tcW w:w="2513" w:type="dxa"/>
          </w:tcPr>
          <w:p w14:paraId="5D88B262"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Longitudinal panel regression analysis with controls (e.g., bank size, capital adequacy, GDP growth) to estimate governance-NPL associations</w:t>
            </w:r>
          </w:p>
        </w:tc>
        <w:tc>
          <w:tcPr>
            <w:tcW w:w="2650" w:type="dxa"/>
          </w:tcPr>
          <w:p w14:paraId="60304B91"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Isolates measurable governance index effects on default risk using 2009–2024 data, prioritizing statistical rigor in opaque reporting contexts (Sanusi, 2009)</w:t>
            </w:r>
          </w:p>
        </w:tc>
      </w:tr>
      <w:tr w:rsidR="00646B26" w14:paraId="4DE48164" w14:textId="77777777" w:rsidTr="00727D26">
        <w:trPr>
          <w:trHeight w:val="4247"/>
        </w:trPr>
        <w:tc>
          <w:tcPr>
            <w:cnfStyle w:val="001000000000" w:firstRow="0" w:lastRow="0" w:firstColumn="1" w:lastColumn="0" w:oddVBand="0" w:evenVBand="0" w:oddHBand="0" w:evenHBand="0" w:firstRowFirstColumn="0" w:firstRowLastColumn="0" w:lastRowFirstColumn="0" w:lastRowLastColumn="0"/>
            <w:tcW w:w="2078" w:type="dxa"/>
          </w:tcPr>
          <w:p w14:paraId="3C878E64" w14:textId="77777777" w:rsidR="00646B26" w:rsidRDefault="00646B26" w:rsidP="00727D26">
            <w:pPr>
              <w:spacing w:line="240" w:lineRule="auto"/>
            </w:pPr>
            <w:r>
              <w:t>OB2: Estimate the association of audit committee independence with lower NPLs through enhanced disclosure</w:t>
            </w:r>
          </w:p>
        </w:tc>
        <w:tc>
          <w:tcPr>
            <w:tcW w:w="2076" w:type="dxa"/>
          </w:tcPr>
          <w:p w14:paraId="376E6619"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Predominantly quantitative, emphasizing quantifiable indicators</w:t>
            </w:r>
          </w:p>
        </w:tc>
        <w:tc>
          <w:tcPr>
            <w:tcW w:w="2476" w:type="dxa"/>
          </w:tcPr>
          <w:p w14:paraId="214FA9C5"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Structured questionnaire data from April 2024, eliciting insights into audit committee independence (e.g., shareholder capture and whistleblowing mechanisms)</w:t>
            </w:r>
          </w:p>
        </w:tc>
        <w:tc>
          <w:tcPr>
            <w:tcW w:w="2000" w:type="dxa"/>
          </w:tcPr>
          <w:p w14:paraId="0830B87F"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2024 NPL ratios from CBN bulletins, NDIC reports, and DMB statements, with 2009–2024 data providing context</w:t>
            </w:r>
          </w:p>
        </w:tc>
        <w:tc>
          <w:tcPr>
            <w:tcW w:w="2513" w:type="dxa"/>
          </w:tcPr>
          <w:p w14:paraId="50229004"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 xml:space="preserve">Cross-sectional correlation and regression </w:t>
            </w:r>
            <w:proofErr w:type="spellStart"/>
            <w:r>
              <w:t>modeling</w:t>
            </w:r>
            <w:proofErr w:type="spellEnd"/>
            <w:r>
              <w:t xml:space="preserve"> to test hypotheses (e.g., H2) on audit-NPL linkages with controls</w:t>
            </w:r>
          </w:p>
        </w:tc>
        <w:tc>
          <w:tcPr>
            <w:tcW w:w="2650" w:type="dxa"/>
          </w:tcPr>
          <w:p w14:paraId="58FBC5EA"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Focuses on objective evidence of audit-governance dynamics to combat financial misreporting in Nigeria (Adegbite, 2014)</w:t>
            </w:r>
          </w:p>
        </w:tc>
      </w:tr>
      <w:tr w:rsidR="00646B26" w14:paraId="1FEE4998" w14:textId="77777777" w:rsidTr="00727D26">
        <w:trPr>
          <w:trHeight w:val="973"/>
        </w:trPr>
        <w:tc>
          <w:tcPr>
            <w:cnfStyle w:val="001000000000" w:firstRow="0" w:lastRow="0" w:firstColumn="1" w:lastColumn="0" w:oddVBand="0" w:evenVBand="0" w:oddHBand="0" w:evenHBand="0" w:firstRowFirstColumn="0" w:firstRowLastColumn="0" w:lastRowFirstColumn="0" w:lastRowLastColumn="0"/>
            <w:tcW w:w="2078" w:type="dxa"/>
          </w:tcPr>
          <w:p w14:paraId="5244BBEF" w14:textId="77777777" w:rsidR="00646B26" w:rsidRDefault="00646B26" w:rsidP="00727D26">
            <w:pPr>
              <w:spacing w:line="240" w:lineRule="auto"/>
            </w:pPr>
            <w:r>
              <w:lastRenderedPageBreak/>
              <w:t>OB3: Estimate the association of management qualifications with NPL ratios</w:t>
            </w:r>
          </w:p>
        </w:tc>
        <w:tc>
          <w:tcPr>
            <w:tcW w:w="2076" w:type="dxa"/>
          </w:tcPr>
          <w:p w14:paraId="31EA9B2A"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Hybrid, with qualitative dominance for interpretive depth</w:t>
            </w:r>
          </w:p>
        </w:tc>
        <w:tc>
          <w:tcPr>
            <w:tcW w:w="2476" w:type="dxa"/>
          </w:tcPr>
          <w:p w14:paraId="104F5DD9"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Semi-structured interview responses from high-level officials, collected in April 2024, probing views on leadership competencies (e.g., governance training deficits)</w:t>
            </w:r>
          </w:p>
        </w:tc>
        <w:tc>
          <w:tcPr>
            <w:tcW w:w="2000" w:type="dxa"/>
          </w:tcPr>
          <w:p w14:paraId="4FCFFB2A"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2024 NPL ratios from CBN bulletins and DMB reports, with 2009–2024 data as contextual benchmarks</w:t>
            </w:r>
          </w:p>
        </w:tc>
        <w:tc>
          <w:tcPr>
            <w:tcW w:w="2513" w:type="dxa"/>
          </w:tcPr>
          <w:p w14:paraId="78E34FF9"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Thematic analysis of narratives to identify patterns, integrated with 2024 NPL data for explanatory trends</w:t>
            </w:r>
          </w:p>
        </w:tc>
        <w:tc>
          <w:tcPr>
            <w:tcW w:w="2650" w:type="dxa"/>
          </w:tcPr>
          <w:p w14:paraId="437FFBDE"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Highlights stakeholder interpretations of socio-political factors, emphasizing depth over measurement for nuanced insights</w:t>
            </w:r>
          </w:p>
        </w:tc>
      </w:tr>
      <w:tr w:rsidR="00646B26" w14:paraId="06B6FBAA" w14:textId="77777777" w:rsidTr="00727D26">
        <w:trPr>
          <w:trHeight w:val="3928"/>
        </w:trPr>
        <w:tc>
          <w:tcPr>
            <w:cnfStyle w:val="001000000000" w:firstRow="0" w:lastRow="0" w:firstColumn="1" w:lastColumn="0" w:oddVBand="0" w:evenVBand="0" w:oddHBand="0" w:evenHBand="0" w:firstRowFirstColumn="0" w:firstRowLastColumn="0" w:lastRowFirstColumn="0" w:lastRowLastColumn="0"/>
            <w:tcW w:w="2078" w:type="dxa"/>
          </w:tcPr>
          <w:p w14:paraId="138A0CCF" w14:textId="77777777" w:rsidR="00646B26" w:rsidRDefault="00646B26" w:rsidP="00727D26">
            <w:pPr>
              <w:spacing w:line="240" w:lineRule="auto"/>
            </w:pPr>
            <w:r>
              <w:t>OB4: Assess the influence of regulatory clarity and propose actionable reforms to reduce NPLs</w:t>
            </w:r>
          </w:p>
        </w:tc>
        <w:tc>
          <w:tcPr>
            <w:tcW w:w="2076" w:type="dxa"/>
          </w:tcPr>
          <w:p w14:paraId="321A2AB4"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Hybrid, qualitatively oriented toward policy synthesis</w:t>
            </w:r>
          </w:p>
        </w:tc>
        <w:tc>
          <w:tcPr>
            <w:tcW w:w="2476" w:type="dxa"/>
          </w:tcPr>
          <w:p w14:paraId="30E51C80"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Semi-structured interview insights from April 2024, offering context-specific recommendations (e.g., unifying CAMA 2020 and CBN Guidelines 2023)</w:t>
            </w:r>
          </w:p>
        </w:tc>
        <w:tc>
          <w:tcPr>
            <w:tcW w:w="2000" w:type="dxa"/>
          </w:tcPr>
          <w:p w14:paraId="60831D8F"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2024 NPL ratios from CBN bulletins, with 2009–2024 data underscoring reform urgency</w:t>
            </w:r>
          </w:p>
        </w:tc>
        <w:tc>
          <w:tcPr>
            <w:tcW w:w="2513" w:type="dxa"/>
          </w:tcPr>
          <w:p w14:paraId="2111E698"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Thematic synthesis into reform blueprints, integrated with 2024 NPL metrics for feasibility assessment</w:t>
            </w:r>
          </w:p>
        </w:tc>
        <w:tc>
          <w:tcPr>
            <w:tcW w:w="2650" w:type="dxa"/>
          </w:tcPr>
          <w:p w14:paraId="46C8216C" w14:textId="77777777" w:rsidR="00646B26" w:rsidRDefault="00646B26" w:rsidP="00727D26">
            <w:pPr>
              <w:spacing w:line="240" w:lineRule="auto"/>
              <w:cnfStyle w:val="000000000000" w:firstRow="0" w:lastRow="0" w:firstColumn="0" w:lastColumn="0" w:oddVBand="0" w:evenVBand="0" w:oddHBand="0" w:evenHBand="0" w:firstRowFirstColumn="0" w:firstRowLastColumn="0" w:lastRowFirstColumn="0" w:lastRowLastColumn="0"/>
            </w:pPr>
            <w:r>
              <w:t>Emphasizes interpretive synthesis for pragmatic interventions, bridging empirical gaps with policy narratives tailored to regulatory multiplicity</w:t>
            </w:r>
          </w:p>
        </w:tc>
      </w:tr>
    </w:tbl>
    <w:p w14:paraId="34E14A8D" w14:textId="77777777" w:rsidR="00646B26" w:rsidRDefault="00646B26" w:rsidP="00646B26">
      <w:pPr>
        <w:sectPr w:rsidR="00646B26" w:rsidSect="00646B26">
          <w:pgSz w:w="15840" w:h="12240" w:orient="landscape"/>
          <w:pgMar w:top="1134" w:right="1134" w:bottom="1134" w:left="1134" w:header="0" w:footer="0" w:gutter="0"/>
          <w:cols w:space="720"/>
          <w:formProt w:val="0"/>
          <w:docGrid w:linePitch="326"/>
        </w:sectPr>
      </w:pPr>
    </w:p>
    <w:p w14:paraId="41F5D9FD" w14:textId="77777777" w:rsidR="00646B26" w:rsidRDefault="00646B26" w:rsidP="00646B26">
      <w:pPr>
        <w:sectPr w:rsidR="00646B26" w:rsidSect="00646B26">
          <w:pgSz w:w="12240" w:h="15840"/>
          <w:pgMar w:top="1134" w:right="1134" w:bottom="1134" w:left="1134" w:header="0" w:footer="0" w:gutter="0"/>
          <w:cols w:space="720"/>
          <w:formProt w:val="0"/>
          <w:docGrid w:linePitch="100"/>
        </w:sectPr>
      </w:pPr>
    </w:p>
    <w:p w14:paraId="0FB8A5CA" w14:textId="77777777" w:rsidR="00646B26" w:rsidRDefault="00646B26" w:rsidP="00646B26">
      <w:pPr>
        <w:pStyle w:val="Heading2"/>
      </w:pPr>
      <w:bookmarkStart w:id="113" w:name="_Toc211278901"/>
      <w:r w:rsidRPr="00D20388">
        <w:lastRenderedPageBreak/>
        <w:t>3.4 Research process Management</w:t>
      </w:r>
      <w:bookmarkEnd w:id="113"/>
      <w:r w:rsidRPr="00D20388">
        <w:t xml:space="preserve"> </w:t>
      </w:r>
    </w:p>
    <w:p w14:paraId="39BCF8EB" w14:textId="77777777" w:rsidR="00646B26" w:rsidRDefault="00646B26" w:rsidP="00646B26">
      <w:pPr>
        <w:pStyle w:val="Heading3"/>
      </w:pPr>
      <w:bookmarkStart w:id="114" w:name="_Toc211278902"/>
      <w:r w:rsidRPr="00D20388">
        <w:t>3.4.1 Construction and Execution of the Survey</w:t>
      </w:r>
      <w:bookmarkEnd w:id="114"/>
    </w:p>
    <w:p w14:paraId="21A6349A" w14:textId="77777777" w:rsidR="00646B26" w:rsidRDefault="00646B26" w:rsidP="00646B26">
      <w:r w:rsidRPr="00D20388">
        <w:t xml:space="preserve">This section outlines the survey-based methodology designed to investigate corporate governance (CG) challenges in Nigeria’s deposit money banking sector, focusing on board oversight, audit committee independence, management qualifications, and practice index deficiencies as drivers of high non-performing loan (NPL) ratios. Drawing on methodological literature and CG research, it justifies the use of Likert-scale questionnaires within a mixed-methods approach to test hypotheses (H1–H4) and address post-2009 research gaps, such as small sample sizes and reliance on biased data (Popper, 1959; Grant &amp; Wall, 2009; </w:t>
      </w:r>
      <w:proofErr w:type="spellStart"/>
      <w:r w:rsidRPr="00D20388">
        <w:t>Hinkin</w:t>
      </w:r>
      <w:proofErr w:type="spellEnd"/>
      <w:r w:rsidRPr="00D20388">
        <w:t>, 1998; Jensen &amp; Meckling, 1976; Donaldson &amp; Davis, 1991). The section details the survey’s construction, execution, strengths, limitations, and alignment with the study’s objectives to propose context-specific reforms for banking stability.</w:t>
      </w:r>
    </w:p>
    <w:p w14:paraId="003CBAA3" w14:textId="77777777" w:rsidR="00646B26" w:rsidRPr="00D20388" w:rsidRDefault="00646B26" w:rsidP="00646B26">
      <w:pPr>
        <w:pStyle w:val="Heading3"/>
      </w:pPr>
      <w:r w:rsidRPr="00D20388">
        <w:br/>
      </w:r>
      <w:bookmarkStart w:id="115" w:name="_Toc211278903"/>
      <w:r w:rsidRPr="00D20388">
        <w:t>3.4.2 Strengths of Survey-Based Methodologies</w:t>
      </w:r>
      <w:bookmarkEnd w:id="115"/>
    </w:p>
    <w:p w14:paraId="34D0A5A7" w14:textId="77777777" w:rsidR="00646B26" w:rsidRDefault="00646B26" w:rsidP="00646B26">
      <w:r w:rsidRPr="00D20388">
        <w:t>Surveys, particularly those using 7-point Likert scales, offer robust advantages for studying CG in Nigeria’s deposit money banking sector, where anonymity and data reliability are critical due to cronyism and regulatory scrutiny (</w:t>
      </w:r>
      <w:proofErr w:type="spellStart"/>
      <w:r w:rsidRPr="00D20388">
        <w:t>Natufe</w:t>
      </w:r>
      <w:proofErr w:type="spellEnd"/>
      <w:r w:rsidRPr="00D20388">
        <w:t xml:space="preserve"> &amp; </w:t>
      </w:r>
      <w:proofErr w:type="spellStart"/>
      <w:r w:rsidRPr="00D20388">
        <w:t>Evbayiro</w:t>
      </w:r>
      <w:proofErr w:type="spellEnd"/>
      <w:r w:rsidRPr="00D20388">
        <w:t xml:space="preserve">-Osagie, 2023). Surveys quantify perceptions of governance constructs, enabling rigorous testing of agency and stewardship theories underpinning hypotheses H1 (corporate governance indices reduce NPLs), H2 (audit committee independence enhances financial-reporting integrity and reduces NPLs), H3 (management qualifications mitigate default risk), and H4 (regulatory clarity and enforcement consistency reduce governance failures). </w:t>
      </w:r>
    </w:p>
    <w:p w14:paraId="436FD87A" w14:textId="77777777" w:rsidR="00646B26" w:rsidRDefault="00646B26" w:rsidP="00646B26">
      <w:r w:rsidRPr="00D20388">
        <w:lastRenderedPageBreak/>
        <w:t xml:space="preserve">Surveys efficiently collect data from diverse stakeholders—board members, audit committee members, risk managers—across multiple deposit money banks, addressing small sample limitations in studies like Corporate Governance Mechanisms and Non-Performing Loans (2024), which focus on listed banks only. Questions grounded in validated CG constructs ensure reliability, while standardized measures enable cross-study comparisons, countering inconsistent metrics in Nigerian research (Basel III, BCBS, 2010; </w:t>
      </w:r>
      <w:proofErr w:type="spellStart"/>
      <w:r w:rsidRPr="00D20388">
        <w:t>Olojede</w:t>
      </w:r>
      <w:proofErr w:type="spellEnd"/>
      <w:r w:rsidRPr="00D20388">
        <w:t xml:space="preserve"> et al., 2020). </w:t>
      </w:r>
    </w:p>
    <w:p w14:paraId="34D09C42" w14:textId="77777777" w:rsidR="00646B26" w:rsidRDefault="00646B26" w:rsidP="00646B26">
      <w:r w:rsidRPr="00D20388">
        <w:t xml:space="preserve">Guaranteed anonymity encourages candid responses on sensitive issues like audit committee capture or unethical lending, critical in Nigeria’s high-stakes banking context (Owolabi, 2013). Data are easily coded and </w:t>
      </w:r>
      <w:proofErr w:type="spellStart"/>
      <w:r w:rsidRPr="00D20388">
        <w:t>analyzed</w:t>
      </w:r>
      <w:proofErr w:type="spellEnd"/>
      <w:r w:rsidRPr="00D20388">
        <w:t xml:space="preserve"> using statistical tools (e.g., SPSS, Stata) for methods like descriptive statistics, correlation analysis, and multiple regression models, overcoming descriptive biases in prior work (The Effect of Non-Performing Loans on the Profitability of Banks in Africa, 2024).</w:t>
      </w:r>
    </w:p>
    <w:p w14:paraId="420764F2" w14:textId="77777777" w:rsidR="00646B26" w:rsidRPr="00D20388" w:rsidRDefault="00646B26" w:rsidP="00646B26">
      <w:pPr>
        <w:pStyle w:val="Heading3"/>
      </w:pPr>
      <w:r>
        <w:br/>
      </w:r>
      <w:bookmarkStart w:id="116" w:name="_Toc211278904"/>
      <w:r w:rsidRPr="00D20388">
        <w:t>3.4.3 Mitigating Limitations</w:t>
      </w:r>
      <w:bookmarkEnd w:id="116"/>
    </w:p>
    <w:p w14:paraId="30B87101" w14:textId="77777777" w:rsidR="00646B26" w:rsidRPr="00D20388" w:rsidRDefault="00646B26" w:rsidP="00646B26">
      <w:r w:rsidRPr="00D20388">
        <w:t>Surveys face challenges in capturing Nigeria’s complex governance dynamics, such as patronage-driven appointments or regulatory multiplicity (Elias, 2024). Phenomenological critiques highlight surveys’ lack of experiential depth (Taylor &amp; Bogdan, 1998). This study integrates qualitative interviews to capture nuances like political influences missed by Likert scales. Risks of untruthful or unreflective responses under organizational pressure are mitigated by surveying three stakeholders per bank (board member, audit committee member, risk manager) for triangulation and using research assistants to guide completion for clarity and thoughtfulness (</w:t>
      </w:r>
      <w:proofErr w:type="spellStart"/>
      <w:r w:rsidRPr="00D20388">
        <w:t>Hinkin</w:t>
      </w:r>
      <w:proofErr w:type="spellEnd"/>
      <w:r w:rsidRPr="00D20388">
        <w:t>, 1998).</w:t>
      </w:r>
    </w:p>
    <w:p w14:paraId="2ED40C14" w14:textId="77777777" w:rsidR="00646B26" w:rsidRPr="00D20388" w:rsidRDefault="00646B26" w:rsidP="00646B26">
      <w:r w:rsidRPr="00D20388">
        <w:t xml:space="preserve"> Question design may overlook cultural factors (e.g., tribal affiliations). This is addressed by grounding measures in global and Nigerian CG literature and pilot testing with local banking experts (Adams et al., </w:t>
      </w:r>
      <w:r w:rsidRPr="00D20388">
        <w:lastRenderedPageBreak/>
        <w:t xml:space="preserve">2011; John et al., 2016; </w:t>
      </w:r>
      <w:proofErr w:type="spellStart"/>
      <w:r w:rsidRPr="00D20388">
        <w:t>Uwuigbe</w:t>
      </w:r>
      <w:proofErr w:type="spellEnd"/>
      <w:r w:rsidRPr="00D20388">
        <w:t xml:space="preserve"> et al., 2019; </w:t>
      </w:r>
      <w:proofErr w:type="spellStart"/>
      <w:r w:rsidRPr="00D20388">
        <w:t>Natufe</w:t>
      </w:r>
      <w:proofErr w:type="spellEnd"/>
      <w:r w:rsidRPr="00D20388">
        <w:t xml:space="preserve"> &amp; </w:t>
      </w:r>
      <w:proofErr w:type="spellStart"/>
      <w:r w:rsidRPr="00D20388">
        <w:t>Evbayiro</w:t>
      </w:r>
      <w:proofErr w:type="spellEnd"/>
      <w:r w:rsidRPr="00D20388">
        <w:t>-Osagie, 2023). The 2024 focus may miss long-term trends, necessitating qualitative case studies for historical context (Eisenhardt, 1989).</w:t>
      </w:r>
    </w:p>
    <w:p w14:paraId="17E03781" w14:textId="77777777" w:rsidR="00646B26" w:rsidRPr="00314BDF" w:rsidRDefault="00646B26" w:rsidP="00646B26">
      <w:pPr>
        <w:pStyle w:val="Heading3"/>
      </w:pPr>
      <w:r>
        <w:br/>
      </w:r>
      <w:bookmarkStart w:id="117" w:name="_Toc211278905"/>
      <w:r w:rsidRPr="00314BDF">
        <w:t>3.4.4 Administration and Coding</w:t>
      </w:r>
      <w:bookmarkEnd w:id="117"/>
    </w:p>
    <w:p w14:paraId="0FBE1A58" w14:textId="77777777" w:rsidR="00646B26" w:rsidRPr="00314BDF" w:rsidRDefault="00646B26" w:rsidP="00646B26">
      <w:r w:rsidRPr="00314BDF">
        <w:t>The questionnaire was administered anonymously to ensure candid responses, critical in Nigeria’s deposit money banking sector where governance issues like patronage and fraud concealment are sensitive (</w:t>
      </w:r>
      <w:proofErr w:type="spellStart"/>
      <w:r w:rsidRPr="00314BDF">
        <w:t>Olojede</w:t>
      </w:r>
      <w:proofErr w:type="spellEnd"/>
      <w:r w:rsidRPr="00314BDF">
        <w:t xml:space="preserve"> et al., 2020). A total of 400 questionnaires were distributed to mid- and high-level professionals across 20 Nigerian Deposit Money Banks (DMBs), stratified by size (10 large, 10 mid-</w:t>
      </w:r>
      <w:proofErr w:type="gramStart"/>
      <w:r w:rsidRPr="00314BDF">
        <w:t>tier</w:t>
      </w:r>
      <w:proofErr w:type="gramEnd"/>
      <w:r w:rsidRPr="00314BDF">
        <w:t xml:space="preserve">, representing ~70% of the total assets in the banking sector; CBN, 2024), yielding 230 valid responses (57.5% response rate). Respondents included board members, risk managers, and auditors, providing strategic, operational, and oversight perspectives, respectively, to enhance data triangulation (Grant &amp; Wall, 2009). </w:t>
      </w:r>
    </w:p>
    <w:p w14:paraId="0B056A94" w14:textId="77777777" w:rsidR="00646B26" w:rsidRPr="00314BDF" w:rsidRDefault="00646B26" w:rsidP="00646B26">
      <w:r w:rsidRPr="00314BDF">
        <w:t xml:space="preserve">Personalized emails, emphasizing anonymity and ethical compliance with the Nigeria Data Protection Act 2023 (NDPC, 2024), were sent to contact persons at each bank, followed by in-person or virtual sessions facilitated by trained research assistants (graduate students from local Nigerian universities, supervised by the principal researcher and briefed on ethical protocols) to clarify questions and ensure 100% completion of individual responses. This hands-on approach addressed cultural and logistical barriers, yielding a robust response rate compared to typical emerging market surveys (Baruch &amp; Holtom, 2008; </w:t>
      </w:r>
      <w:proofErr w:type="spellStart"/>
      <w:r w:rsidRPr="00314BDF">
        <w:t>Nederhof</w:t>
      </w:r>
      <w:proofErr w:type="spellEnd"/>
      <w:r w:rsidRPr="00314BDF">
        <w:t>, 1985). Semi-structured interviews were conducted with 10 high-ranking officials (50% response rate from 20 invited) across 10 of the 20 DMBs, providing qualitative depth to complement the quantitative data.</w:t>
      </w:r>
    </w:p>
    <w:p w14:paraId="69D6639D" w14:textId="77777777" w:rsidR="00646B26" w:rsidRDefault="00646B26" w:rsidP="00646B26">
      <w:r w:rsidRPr="00D20388">
        <w:lastRenderedPageBreak/>
        <w:t>The questionnaire’s design was grounded in rigorous scale development methodology to ensure psychometric validity and alignment with CG constructs (</w:t>
      </w:r>
      <w:proofErr w:type="spellStart"/>
      <w:r w:rsidRPr="00D20388">
        <w:t>Hinkin</w:t>
      </w:r>
      <w:proofErr w:type="spellEnd"/>
      <w:r w:rsidRPr="00D20388">
        <w:t>, 1998). It operationalized the corporate governance indices—disclosure (CGDI), practice (OPEFF), and compliance (COMID)—as well as audit committee independence, management qualifications, and regulatory clarity through 35 validated 7-point Likert-scale items (1 = strongly disagree, 7 = strongly agree), enabling theory testing for hypotheses H1–H4. The production process integrated relevant literature to ensure content validity and contextual relevance, following deductive scale construction principles where theoretical constructs are translated into measurable items (Hinkin, 1998; DeVellis, 2017). For instance:</w:t>
      </w:r>
      <w:r w:rsidRPr="00D20388">
        <w:br/>
        <w:t>Disclosure (CGDI): Items like “To what extent do banks provide transparent financial reporting? (1–7)” were informed by Osemeke and Adegbite (2016), who highlight disclosure gaps causing compliance ambiguities in Nigerian DMBs.</w:t>
      </w:r>
    </w:p>
    <w:p w14:paraId="60B8728C" w14:textId="77777777" w:rsidR="00646B26" w:rsidRPr="00D20388" w:rsidRDefault="00646B26" w:rsidP="00646B26">
      <w:r w:rsidRPr="00D20388">
        <w:t>Practice (OPEFF): Questions on board oversight and nomination committee independence, such as “To what extent are nomination committees free from shareholder influence? (1–7),” drew from Abdulmalik and Ahmad (2020), addressing politically motivated appointments linked to NPL spikes.</w:t>
      </w:r>
      <w:r w:rsidRPr="00D20388">
        <w:br/>
        <w:t xml:space="preserve">Compliance (COMID): Items assessing regulatory adherence, such as “To what extent do banks comply with CBN Guidelines 2023? (1–7),” were based on Adegboye (2020) and </w:t>
      </w:r>
      <w:proofErr w:type="spellStart"/>
      <w:r w:rsidRPr="00D20388">
        <w:t>Olojede</w:t>
      </w:r>
      <w:proofErr w:type="spellEnd"/>
      <w:r w:rsidRPr="00D20388">
        <w:t xml:space="preserve"> et al. (2020), who note weak compliance in 61% of banks.</w:t>
      </w:r>
    </w:p>
    <w:p w14:paraId="1F0F5002" w14:textId="77777777" w:rsidR="00646B26" w:rsidRDefault="00646B26" w:rsidP="00646B26">
      <w:r w:rsidRPr="00D20388">
        <w:t>Audit Committee Independence: Questions like “To what extent do audit committees operate free from shareholder influence? (1–7)” were informed by Adegbite (2014), with additional items probing mediation by strengthened financial-reporting integrity.</w:t>
      </w:r>
    </w:p>
    <w:p w14:paraId="297D2CD4" w14:textId="77777777" w:rsidR="00646B26" w:rsidRDefault="00646B26" w:rsidP="00646B26">
      <w:r w:rsidRPr="00D20388">
        <w:t>Management Qualifications: Items such as “To what extent do executives possess relevant banking experience and governance training? (1–7)” drew from Nwoko et al. (2022).</w:t>
      </w:r>
      <w:r w:rsidRPr="00D20388">
        <w:br/>
        <w:t xml:space="preserve">Regulatory Clarity: Questions like “To what extent do the clarity and enforcement consistency of </w:t>
      </w:r>
      <w:r w:rsidRPr="00D20388">
        <w:lastRenderedPageBreak/>
        <w:t>conflicting regulations hinder compliance? (1–7)” were based on Abdulmalik and Ahmad (2020).</w:t>
      </w:r>
      <w:r w:rsidRPr="00D20388">
        <w:br/>
        <w:t xml:space="preserve">This literature-driven approach addressed research gaps by ensuring items were psychometrically sound (Cronbach’s alpha 0.85 post-pilot) and contextually relevant to Nigeria’s governance challenges, such as patronage-driven appointments and regulatory multiplicity (Osita et al., 2019). </w:t>
      </w:r>
    </w:p>
    <w:p w14:paraId="422D7B29" w14:textId="77777777" w:rsidR="00646B26" w:rsidRDefault="00646B26" w:rsidP="00646B26">
      <w:r w:rsidRPr="00D20388">
        <w:t xml:space="preserve">Pilot testing with 15 banking professionals (a sample size sufficient for exploratory refinement in survey research, aligning with common recommendations of 10-30 participants to identify key issues in clarity, relevance, and cultural sensitivity without requiring statistical power for hypothesis testing) refined items for clarity and cultural sensitivity (e.g., replacing “cronyism” with “patronage influences”), ensuring alignment with agency theory for principal-agent conflicts and stewardship theory for managerial accountability (van Teijlingen &amp; Hundley, 2002). </w:t>
      </w:r>
    </w:p>
    <w:p w14:paraId="65DAABEF" w14:textId="77777777" w:rsidR="00646B26" w:rsidRDefault="00646B26" w:rsidP="00646B26">
      <w:r w:rsidRPr="00D20388">
        <w:t>Questionnaire responses were digitized in SPSS, treating Likert scores as interval data for regression analysis to test governance-NPL relationships. Coding followed a standardized protocol, with double-entry verification to minimize errors, and responses were cross-validated with secondary NPL data from CBN and NDIC reports to address Nigeria’s opaque reporting environment (</w:t>
      </w:r>
      <w:proofErr w:type="spellStart"/>
      <w:r w:rsidRPr="00D20388">
        <w:t>Olojede</w:t>
      </w:r>
      <w:proofErr w:type="spellEnd"/>
      <w:r w:rsidRPr="00D20388">
        <w:t xml:space="preserve"> et al., 2020; CBN, 2024; NDIC, 2024). Interview transcripts were coded in NVivo for thematic analysis, identifying patterns like “enforcement gaps” in regulatory multiplicity, ensuring a robust mixed-methods integration (Braun &amp; Clarke, 2006).</w:t>
      </w:r>
    </w:p>
    <w:p w14:paraId="1102DA13" w14:textId="77777777" w:rsidR="00646B26" w:rsidRPr="00314BDF" w:rsidRDefault="00646B26" w:rsidP="00646B26">
      <w:pPr>
        <w:pStyle w:val="Heading3"/>
      </w:pPr>
      <w:bookmarkStart w:id="118" w:name="_Toc211278906"/>
      <w:r w:rsidRPr="00314BDF">
        <w:rPr>
          <w:rStyle w:val="Strong"/>
        </w:rPr>
        <w:t>3.4.5 Justification of Non-Performing Loans (NPLs) as a Measure</w:t>
      </w:r>
      <w:bookmarkEnd w:id="118"/>
    </w:p>
    <w:p w14:paraId="3574D41C" w14:textId="77777777" w:rsidR="00646B26" w:rsidRPr="00314BDF" w:rsidRDefault="00646B26" w:rsidP="00646B26">
      <w:r w:rsidRPr="00314BDF">
        <w:t xml:space="preserve">Non-Performing Loans (NPLs), defined as loans overdue by 90 days or more as a percentage of total loans (NPL ratio = NPL value ÷ gross loans × 100), are selected as the primary measure of default risk due to their ability to reflect corporate governance deficiencies and impact on Nigerian Deposit Money Banks (DMBs)' financial stability. NPL ratios are justified by global and Nigerian evidence linking them to governance issues like weak oversight, unqualified management, and regulatory multiplicity, aligning </w:t>
      </w:r>
      <w:r w:rsidRPr="00314BDF">
        <w:lastRenderedPageBreak/>
        <w:t xml:space="preserve">with this study’s focus on corporate governance indices (disclosure, practice, compliance), audit committee independence, management qualifications, and regulatory clarity. In Nigeria, NPL ratios peaked at 37% in 2009 and 20% in 2017 (against a 5% CBN threshold), </w:t>
      </w:r>
      <w:proofErr w:type="spellStart"/>
      <w:r w:rsidRPr="00314BDF">
        <w:t>signaling</w:t>
      </w:r>
      <w:proofErr w:type="spellEnd"/>
      <w:r w:rsidRPr="00314BDF">
        <w:t xml:space="preserve"> systemic failures, as seen in the 2009 crisis requiring a $3.9 billion bailout (Sanusi, 2009; Adegboye, 2020). Despite data reliability challenges due to opaque reporting, cross-validation with CBN and NDIC data ensures robust measurement from 2009 to 2024.</w:t>
      </w:r>
    </w:p>
    <w:p w14:paraId="5DF9FB67" w14:textId="77777777" w:rsidR="00646B26" w:rsidRPr="00314BDF" w:rsidRDefault="00646B26" w:rsidP="00646B26">
      <w:r w:rsidRPr="00314BDF">
        <w:t>Non-Performing Loans (NPLs), defined as loans overdue by 90 days or more as a percentage of total loans, are selected as the primary measure of default risk in this research due to their robust capacity to reflect corporate governance (CG) deficiencies and their profound impact on the financial stability of Nigerian Deposit Money Banks (DMBs). The choice of NPLs as the central metric is grounded in a comprehensive synthesis of global and Nigerian literature, which underscores their sensitivity to governance failures, their systemic implications for the banking sector, and their alignment with the research objectives to examine the corporate governance indices of disclosure (CGDI), practice (OPEFF), and compliance (COMID), as well as audit committee independence, management qualifications, and regulatory clarity. This section elaborates on the theoretical and empirical justification for using NPLs, their direct linkage to governance practices, the challenges of data reliability in Nigeria’s context, and the methodological strategies employed to ensure robust measurement, ensuring that NPLs serve as an effective indicator of default risk from 2009 to 2024.</w:t>
      </w:r>
    </w:p>
    <w:p w14:paraId="5A2E9853" w14:textId="77777777" w:rsidR="00646B26" w:rsidRPr="00314BDF" w:rsidRDefault="00646B26" w:rsidP="00646B26">
      <w:r w:rsidRPr="00314BDF">
        <w:t xml:space="preserve">In the Nigerian context, NPLs are a particularly robust measure of default risk due to their direct linkage to specific CG deficiencies identified in the literature. </w:t>
      </w:r>
      <w:proofErr w:type="spellStart"/>
      <w:r w:rsidRPr="00314BDF">
        <w:t>Natufe</w:t>
      </w:r>
      <w:proofErr w:type="spellEnd"/>
      <w:r w:rsidRPr="00314BDF">
        <w:t xml:space="preserve"> and </w:t>
      </w:r>
      <w:proofErr w:type="spellStart"/>
      <w:r w:rsidRPr="00314BDF">
        <w:t>Evbayiro</w:t>
      </w:r>
      <w:proofErr w:type="spellEnd"/>
      <w:r w:rsidRPr="00314BDF">
        <w:t xml:space="preserve">-Osagie (2023) validate NPLs as a reliable indicator, capturing the consequences of lax lending practices, weak internal controls, and unethical management </w:t>
      </w:r>
      <w:proofErr w:type="spellStart"/>
      <w:r w:rsidRPr="00314BDF">
        <w:t>behaviors</w:t>
      </w:r>
      <w:proofErr w:type="spellEnd"/>
      <w:r w:rsidRPr="00314BDF">
        <w:t xml:space="preserve"> prevalent in Nigerian deposit money banks. For example, the 2009 Oceanic Bank crisis, where 75% of NPLs were tied to insider loans facilitated by family-dominated </w:t>
      </w:r>
      <w:r w:rsidRPr="00314BDF">
        <w:lastRenderedPageBreak/>
        <w:t>boards, illustrates how governance lapses—such as lack of board independence and inadequate practice indices—directly drive NPL spikes (Sanusi, 2009). Similarly, Adegboye (2020) highlights that the 2017 NPL peak of 20% resulted from poor credit assessments and weak oversight, as seen in the collapses of Intercontinental Bank and Bank PHB, where unqualified management and ineffective audit committees failed to curb risky lending practices (Owolabi, 2013). These cases demonstrate that NPLs effectively capture the impact of the CG indices under investigation: Practice (OPEFF) (lax lending practices), Disclosure (CGDI) (unqualified leadership and weak board oversight), Compliance (COMID) (conflicting codes enabling selective compliance), Audit Committee Independence (inadequate audit processes, including weakened financial-reporting integrity), and Management Qualifications (poor decision-making). By focusing on NPLs, the research can quantitatively assess how these governance failures contribute to default risk, providing a clear empirical basis for testing the relationships outlined in the research objectives.</w:t>
      </w:r>
    </w:p>
    <w:p w14:paraId="4896964C" w14:textId="77777777" w:rsidR="00646B26" w:rsidRPr="00314BDF" w:rsidRDefault="00646B26" w:rsidP="00646B26">
      <w:r w:rsidRPr="00314BDF">
        <w:t>The selection of NPLs is further justified by their systemic implications for Nigeria’s deposit money banking sector, which is critical to economic growth, as emphasized by King and Levine (1993). High NPLs erode bank capital, reduce liquidity, and undermine stakeholder confidence, triggering deposit withdrawals and threatening financial stability, as evidenced by the mass withdrawals during the 2009 crisis (Sanusi, 2009). The systemic nature of NPLs is particularly pronounced in Nigeria, where banks are pivotal to economic development, and governance failures have led to 425 bank failures since 1988 (Udo, 2020). NPLs serve as a tangible measure of these failures, reflecting not only individual bank distress but also broader systemic risks that necessitate costly interventions, such as the 2009 CBN bailout. This systemic perspective aligns with the research’s aim to propose reforms that mitigate default risk and enhance banking resilience, making NPLs a critical metric for evaluating the effectiveness of CG practices in achieving financial stability.</w:t>
      </w:r>
    </w:p>
    <w:p w14:paraId="5410BBE6" w14:textId="77777777" w:rsidR="00646B26" w:rsidRPr="00314BDF" w:rsidRDefault="00646B26" w:rsidP="00646B26">
      <w:r w:rsidRPr="00314BDF">
        <w:lastRenderedPageBreak/>
        <w:t xml:space="preserve">Theoretically, NPLs align with agency and stewardship theories, which underpin the research’s conceptual framework. Agency theory, as articulated by Jensen and Meckling (1976), posits that governance mechanisms, such as independent boards and audit committees, reduce agency conflicts by ensuring management aligns with shareholder interests, thereby mitigating risky lending practices that lead to NPLs. In Nigeria, weak board oversight and audit committee capture, as seen in Oceanic Bank, enabled insider lending, directly contributing to high NPLs (Sanusi, 2009). Stewardship theory, proposed by Donaldson and Davis (1991), emphasizes the role of competent, ethical management in fostering sound practice indices, which reduce NPLs by prioritizing long-term stability over short-term gains. </w:t>
      </w:r>
    </w:p>
    <w:p w14:paraId="21053BAD" w14:textId="77777777" w:rsidR="00646B26" w:rsidRPr="00314BDF" w:rsidRDefault="00646B26" w:rsidP="00646B26">
      <w:r w:rsidRPr="00314BDF">
        <w:t xml:space="preserve">The prevalence of unqualified, politically motivated management in Nigerian deposit money banks undermines this, driving NPLs through poor decision-making (Nwoko et al., 2022). By linking NPLs to these theoretical frameworks, the research ensures that the metric captures the governance dynamics central to the study, providing a robust foundation for </w:t>
      </w:r>
      <w:proofErr w:type="spellStart"/>
      <w:r w:rsidRPr="00314BDF">
        <w:t>analyzing</w:t>
      </w:r>
      <w:proofErr w:type="spellEnd"/>
      <w:r w:rsidRPr="00314BDF">
        <w:t xml:space="preserve"> the CG indices.</w:t>
      </w:r>
    </w:p>
    <w:p w14:paraId="60CF1C82" w14:textId="77777777" w:rsidR="00646B26" w:rsidRPr="00314BDF" w:rsidRDefault="00646B26" w:rsidP="00646B26">
      <w:r w:rsidRPr="00314BDF">
        <w:t xml:space="preserve">Despite their robustness, NPL data in Nigeria face significant reliability challenges due to opaque financial reporting and governance weaknesses, necessitating careful methodological considerations. </w:t>
      </w:r>
      <w:proofErr w:type="spellStart"/>
      <w:r w:rsidRPr="00314BDF">
        <w:t>Olojede</w:t>
      </w:r>
      <w:proofErr w:type="spellEnd"/>
      <w:r w:rsidRPr="00314BDF">
        <w:t xml:space="preserve"> et al. (2020) highlight that audit committee capture by majority shareholders and external auditor conflicts often lead to financial misstatements, obscuring the true extent of NPLs, as seen in the 2009 crisis where deposit money banks like Oceanic falsified loan portfolios to delay stakeholder awareness of distress. This opacity undermines data accuracy, posing a challenge to using NPLs as a reliable metric. To address this, the research employs a rigorous cross-validation strategy, triangulating questionnaire responses with secondary data from CBN reports, NDIC records, and audited bank financials for 2009–2024 for RQ1 and 2024 for RQ2–RQ4, as recommended by </w:t>
      </w:r>
      <w:proofErr w:type="spellStart"/>
      <w:r w:rsidRPr="00314BDF">
        <w:t>Olojede</w:t>
      </w:r>
      <w:proofErr w:type="spellEnd"/>
      <w:r w:rsidRPr="00314BDF">
        <w:t xml:space="preserve"> et al. (2020).</w:t>
      </w:r>
    </w:p>
    <w:p w14:paraId="04859E11" w14:textId="77777777" w:rsidR="00646B26" w:rsidRPr="00314BDF" w:rsidRDefault="00646B26" w:rsidP="00646B26">
      <w:r w:rsidRPr="00314BDF">
        <w:lastRenderedPageBreak/>
        <w:t>This multi-source approach ensures that NPL data reflects actual governance impacts, mitigating the risk of manipulation. Additionally, control variables, such as bank size, GDP growth, and loan portfolio diversity, are incorporated into the analysis to isolate the effects of corporate governance indices on NPLs, enhancing data robustness (</w:t>
      </w:r>
      <w:proofErr w:type="spellStart"/>
      <w:r w:rsidRPr="00314BDF">
        <w:t>Natufe</w:t>
      </w:r>
      <w:proofErr w:type="spellEnd"/>
      <w:r w:rsidRPr="00314BDF">
        <w:t xml:space="preserve"> &amp; </w:t>
      </w:r>
      <w:proofErr w:type="spellStart"/>
      <w:r w:rsidRPr="00314BDF">
        <w:t>Evbayiro</w:t>
      </w:r>
      <w:proofErr w:type="spellEnd"/>
      <w:r w:rsidRPr="00314BDF">
        <w:t>-Osagie, 2023). The questionnaire is designed to directly link corporate governance indices to NPL outcomes, with items assessing how board oversight, audit committee independence, management qualifications, and regulatory clarity influence loan portfolio quality. For example, questions evaluate the extent to which robust practice indices reduce NPLs or how regulatory multiplicity exacerbates lending risks, ensuring that the data collected is relevant to the research objectives.</w:t>
      </w:r>
    </w:p>
    <w:p w14:paraId="150DA8CD" w14:textId="77777777" w:rsidR="00646B26" w:rsidRPr="00314BDF" w:rsidRDefault="00646B26" w:rsidP="00646B26">
      <w:r w:rsidRPr="00314BDF">
        <w:t xml:space="preserve">Qualitatively, interviews with high-level banking officials complement the quantitative focus on NPLs by exploring stakeholder perceptions of how governance failures drive loan defaults. Questions probe the practical implications of CG deficiencies, such as the impact of unqualified management or weak whistleblowing mechanisms on NPL accumulation, aligning with Sanusi (2009) and </w:t>
      </w:r>
      <w:proofErr w:type="spellStart"/>
      <w:r w:rsidRPr="00314BDF">
        <w:t>Olojede</w:t>
      </w:r>
      <w:proofErr w:type="spellEnd"/>
      <w:r w:rsidRPr="00314BDF">
        <w:t xml:space="preserve"> et al. (2020). This qualitative depth enriches the understanding of NPLs as a governance outcome, providing context-specific insights into Nigeria’s deposit money banking sector, where historical legacies and regulatory multiplicity exacerbate default risk (Abdulmalik &amp; Ahmad, 2020). By integrating quantitative and qualitative data, the research ensures that NPLs are not only measured statistically but also understood through the lens of stakeholder experiences, enhancing the validity of findings and their relevance to proposed reforms.</w:t>
      </w:r>
    </w:p>
    <w:p w14:paraId="481183E8" w14:textId="77777777" w:rsidR="00646B26" w:rsidRPr="00314BDF" w:rsidRDefault="00646B26" w:rsidP="00646B26">
      <w:r w:rsidRPr="00314BDF">
        <w:t xml:space="preserve">The use of NPLs also aligns with global standards, such as Basel III, which emphasizes robust practice indices to mitigate credit risk and reduce NPLs through stringent capital adequacy and liquidity requirements (BCBS, 2010). In contrast, Nigerian deposit money banks’ failure to fully adopt these standards, as noted by Adegboye (2020), contributes to persistent NPL spikes, underscoring the need </w:t>
      </w:r>
      <w:r w:rsidRPr="00314BDF">
        <w:lastRenderedPageBreak/>
        <w:t>for governance reforms. The EU’s whistleblowing framework (EU, 2019), which enhances disclosure and reduces financial misconduct, further highlights the link between governance mechanisms and NPL reduction, offering lessons for Nigeria. By adopting NPLs as the primary metric, the research positions itself within global banking literature while addressing Nigeria-specific challenges, ensuring that findings are comparable to international benchmarks and relevant to the local context.</w:t>
      </w:r>
    </w:p>
    <w:p w14:paraId="62FE4767" w14:textId="77777777" w:rsidR="00646B26" w:rsidRPr="00314BDF" w:rsidRDefault="00646B26" w:rsidP="00646B26">
      <w:r w:rsidRPr="00314BDF">
        <w:br/>
        <w:t>In conclusion, NPLs are a justified and robust measure of default risk in Nigerian DMBs due to their sensitivity to CG deficiencies, systemic implications, and alignment with theoretical frameworks and global standards. Their ability to capture the impact of disclosure, practice, compliance, audit committee independence, management qualifications, and regulatory clarity makes them central to the research’s objectives. Despite data reliability challenges, cross-validation and control variables ensure robust measurement, while qualitative insights provide contextual depth. This comprehensive approach ensures that NPLs effectively reflect governance failures, supporting the research’s aim to propose actionable reforms to enhance disclosure, practice, and compliance and financial stability in Nigeria’s deposit money banking sector.</w:t>
      </w:r>
    </w:p>
    <w:p w14:paraId="50061861" w14:textId="77777777" w:rsidR="00646B26" w:rsidRDefault="00646B26" w:rsidP="00646B26"/>
    <w:p w14:paraId="14E2128A" w14:textId="77777777" w:rsidR="00646B26" w:rsidRDefault="00646B26" w:rsidP="00646B26">
      <w:r>
        <w:br/>
      </w:r>
    </w:p>
    <w:p w14:paraId="3FEDEEAE" w14:textId="77777777" w:rsidR="00646B26" w:rsidRDefault="00646B26" w:rsidP="00646B26">
      <w:pPr>
        <w:rPr>
          <w:rFonts w:eastAsia="DejaVu Sans" w:cs="Mangal"/>
          <w:szCs w:val="23"/>
        </w:rPr>
      </w:pPr>
      <w:r>
        <w:br w:type="page"/>
      </w:r>
    </w:p>
    <w:p w14:paraId="25EA6C0B" w14:textId="77777777" w:rsidR="00646B26" w:rsidRPr="00314BDF" w:rsidRDefault="00646B26" w:rsidP="00646B26">
      <w:pPr>
        <w:pStyle w:val="Heading2"/>
      </w:pPr>
      <w:bookmarkStart w:id="119" w:name="_Toc211278907"/>
      <w:r w:rsidRPr="00314BDF">
        <w:lastRenderedPageBreak/>
        <w:t>3.5 Data Collection Methods</w:t>
      </w:r>
      <w:bookmarkEnd w:id="119"/>
    </w:p>
    <w:p w14:paraId="2D3FABE0" w14:textId="77777777" w:rsidR="00646B26" w:rsidRPr="00314BDF" w:rsidRDefault="00646B26" w:rsidP="00646B26">
      <w:r w:rsidRPr="00314BDF">
        <w:t xml:space="preserve">This study examines corporate governance (CG) deficiencies at the board level in Nigerian Deposit Money Banks (DMBs), focusing on corporate governance indices (disclosure, practice, compliance), audit committee independence, management qualifications, and regulatory clarity—and their impact on Non-Performing Loan (NPL) ratios. The research employs a mixed-methods approach, integrating quantitative data from structured questionnaires with qualitative insights from semi-structured interviews, covering 2009–2024 for RQ1 and 2024 for RQ2–RQ4. In-depth interviews with senior executives, conducted in their professional settings, provided nuanced narratives on contextual factors, such as the impact of CBN Guidelines 2023 on audit committee independence. </w:t>
      </w:r>
    </w:p>
    <w:p w14:paraId="7EB18DF5" w14:textId="77777777" w:rsidR="00646B26" w:rsidRPr="00314BDF" w:rsidRDefault="00646B26" w:rsidP="00646B26">
      <w:r w:rsidRPr="00314BDF">
        <w:t>This dual approach addresses research objectives: evaluating corporate governance indices (OB1), assessing audit committee roles (OB2), examining management qualifications and regulatory clarity (OB3 and OB4), and proposing reforms (OB4). It fills gaps in post-2009 Nigeria-specific governance research, particularly regarding regulatory multiplicity’s role in NPL volatility, and offers practical solutions to enhance disclosure, practice, and compliance and stability in a sector vulnerable to systemic risks, as seen in the 2009 crisis (Osita et al., 2019; Adegboye, 2020). By combining empirical rigor with interpretive depth, this methodology overcomes limitations of single-method studies, addressing socio-political nuances and biases, and aligns with pragmatic principles for evidence-based solutions in Nigeria’s volatile deposit money banking environment (Creswell &amp; Plano Clark, 2018).</w:t>
      </w:r>
    </w:p>
    <w:p w14:paraId="7C9FEB2F" w14:textId="77777777" w:rsidR="00646B26" w:rsidRPr="00314BDF" w:rsidRDefault="00646B26" w:rsidP="00646B26">
      <w:r w:rsidRPr="00314BDF">
        <w:t xml:space="preserve">Data were segmented into primary and secondary sources, each playing a synergistic role in </w:t>
      </w:r>
      <w:proofErr w:type="spellStart"/>
      <w:r w:rsidRPr="00314BDF">
        <w:t>analyzing</w:t>
      </w:r>
      <w:proofErr w:type="spellEnd"/>
      <w:r w:rsidRPr="00314BDF">
        <w:t xml:space="preserve"> CG deficiencies and NPL trajectories. Primary data, collected directly by the researcher, included 400 questionnaires (yielding 230 valid responses, 57.5% response rate) and 20 interview invitations (securing 10 participations, 50% response rate), offering stakeholder perceptions. Secondary data, drawn from CBN bulletins, NDIC compilations, and World Bank/IMF indicators, spanned 2009–2024, </w:t>
      </w:r>
      <w:r w:rsidRPr="00314BDF">
        <w:lastRenderedPageBreak/>
        <w:t>providing longitudinal context for RQ1 and a 2024 snapshot for RQ2–RQ4. This framework enhances primary data’s timeliness with secondary data’s reliability, navigating reporting challenges to deliver robust, validated insights for governance reforms.</w:t>
      </w:r>
    </w:p>
    <w:p w14:paraId="1E0E5B98" w14:textId="77777777" w:rsidR="00646B26" w:rsidRPr="00314BDF" w:rsidRDefault="00646B26" w:rsidP="00646B26"/>
    <w:p w14:paraId="27DC90E4" w14:textId="77777777" w:rsidR="00646B26" w:rsidRPr="00314BDF" w:rsidRDefault="00646B26" w:rsidP="00646B26">
      <w:pPr>
        <w:pStyle w:val="Heading3"/>
      </w:pPr>
      <w:bookmarkStart w:id="120" w:name="_Toc211278908"/>
      <w:r w:rsidRPr="00314BDF">
        <w:t>3.5.1 Quantitative Component: Questionnaire Survey</w:t>
      </w:r>
      <w:bookmarkEnd w:id="120"/>
    </w:p>
    <w:p w14:paraId="53AF36EB" w14:textId="77777777" w:rsidR="00646B26" w:rsidRPr="00314BDF" w:rsidRDefault="00646B26" w:rsidP="00646B26">
      <w:r w:rsidRPr="00314BDF">
        <w:t>The quantitative segment employs a structured questionnaire, painstakingly constructed from academic precedents, to empirically assess the influence of corporate governance indices (disclosure, practice, compliance), audit committee independence, management qualifications, and regulatory clarity on NPL ratios in Nigerian DMBs. Utilizing a 7-point Likert scale (1 = Strongly Disagree to 7 = Strongly Agree), the instrument solicits nuanced evaluations of governance practices, providing data granularity suitable for sophisticated statistical examinations, including multiple regression and factor analysis, while accommodating the perceptual variances inherent in a sector characterized by diverse professional experiences and institutional cultures.</w:t>
      </w:r>
    </w:p>
    <w:p w14:paraId="03DAC924" w14:textId="77777777" w:rsidR="00646B26" w:rsidRPr="00314BDF" w:rsidRDefault="00646B26" w:rsidP="00646B26">
      <w:pPr>
        <w:pStyle w:val="Heading4"/>
      </w:pPr>
      <w:r w:rsidRPr="00314BDF">
        <w:br/>
        <w:t>3.5.1.1 Questionnaire Design and Justification</w:t>
      </w:r>
    </w:p>
    <w:p w14:paraId="7B630F8A" w14:textId="77777777" w:rsidR="00646B26" w:rsidRDefault="00646B26" w:rsidP="00646B26">
      <w:r w:rsidRPr="00314BDF">
        <w:t xml:space="preserve">The questionnaire's structure is grounded in classical and contemporary literature to ensure validity, relevance, and adaptability to Nigeria's deposit money banking context, reflecting local regulatory nuances and global standards. For Disclosure (CGDI), items assess financial reporting transparency, drawing from Osemeke and Adegbite (2016) on disclosure gaps. For Practice (OPEFF), questions evaluate board supervision, nomination committee impartiality, and executive qualifications, based on </w:t>
      </w:r>
      <w:proofErr w:type="spellStart"/>
      <w:r w:rsidRPr="00314BDF">
        <w:t>Ogbechie</w:t>
      </w:r>
      <w:proofErr w:type="spellEnd"/>
      <w:r w:rsidRPr="00314BDF">
        <w:t xml:space="preserve"> (2016) on cronyism and Nwoko et al. (2022) on qualification gaps (e.g., "Robust board oversight prevents unqualified appointments"). </w:t>
      </w:r>
    </w:p>
    <w:p w14:paraId="22581A72" w14:textId="77777777" w:rsidR="00646B26" w:rsidRDefault="00646B26" w:rsidP="00646B26">
      <w:r w:rsidRPr="00314BDF">
        <w:lastRenderedPageBreak/>
        <w:t xml:space="preserve">For Compliance (COMID), items examine adherence to regulations like CBN Guidelines 2023, adapted from Abdulmalik and Ahmad (2020) on compliance burdens. For Audit Committee Independence, questions assess autonomy and whistleblowing effectiveness, informed by Adegbite (2014) on 2009 crisis fraud concealment, with items specifically probing mediation by strengthened financial-reporting integrity. For Management Qualifications, items evaluate banking experience and governance training, drawing from Nwoko et al. (2022). </w:t>
      </w:r>
    </w:p>
    <w:p w14:paraId="28FB3DE3" w14:textId="77777777" w:rsidR="00646B26" w:rsidRPr="00314BDF" w:rsidRDefault="00646B26" w:rsidP="00646B26">
      <w:r w:rsidRPr="00314BDF">
        <w:t>For Regulatory Clarity, questions probe clarity and enforcement consistency among statutes like CAMA 2020 and NCCG 2018, based on Abdulmalik and Ahmad (2020) (e.g., "Harmonized regulations would reduce governance ambiguities"). Items link indices to NPLs (e.g., "Audit independence directly correlates with lower risky lending exposure"), supporting research objectives. A specimen is in Appendix 1. This design ensures standardized, quantifiable data for parametric testing, reducing interviewer bias and enabling efficient administration across a dispersed sector to reveal systemic governance patterns.</w:t>
      </w:r>
    </w:p>
    <w:p w14:paraId="49820954" w14:textId="77777777" w:rsidR="00646B26" w:rsidRPr="00314BDF" w:rsidRDefault="00646B26" w:rsidP="00646B26">
      <w:pPr>
        <w:pStyle w:val="Heading4"/>
      </w:pPr>
      <w:r w:rsidRPr="00314BDF">
        <w:br/>
        <w:t>3.5.1.2 Target Population and Sampling</w:t>
      </w:r>
    </w:p>
    <w:p w14:paraId="1CACA985" w14:textId="77777777" w:rsidR="00646B26" w:rsidRPr="00314BDF" w:rsidRDefault="00646B26" w:rsidP="00646B26">
      <w:r w:rsidRPr="00314BDF">
        <w:t xml:space="preserve">The target population includes banking professionals across Nigeria’s DMBs, ranging from risk managers (offering operational risk insights) to branch managers (compliance views), department heads (strategic insights), and regional managers (governance oversight), capturing a broad spectrum of NPL-related perspectives. Geographically, the sample is limited to Abuja, the administrative and financial hub hosting head offices and key branches of nearly all DMBs, ensuring logistical efficiency and reflecting national trends, though Lagos (a major commercial </w:t>
      </w:r>
      <w:proofErr w:type="spellStart"/>
      <w:r w:rsidRPr="00314BDF">
        <w:t>center</w:t>
      </w:r>
      <w:proofErr w:type="spellEnd"/>
      <w:r w:rsidRPr="00314BDF">
        <w:t xml:space="preserve">) was also considered but excluded for resource constraints. Sampling stratifies by bank size: small (&lt;₦500 billion assets, 20%), medium (₦500 billion–₦2 trillion, 35%), and large (&gt;₦2 trillion, 45%), per CBN 2024 categorizations, to </w:t>
      </w:r>
      <w:r w:rsidRPr="00314BDF">
        <w:lastRenderedPageBreak/>
        <w:t xml:space="preserve">mirror sectoral diversity. Non-probability purposive sampling targets individuals with CG and operational expertise, justified for complex, domain-specific queries where random sampling might yield superficial data, aligning with exploratory needs in regulated fields (Bryman, 2016; </w:t>
      </w:r>
      <w:proofErr w:type="spellStart"/>
      <w:r w:rsidRPr="00314BDF">
        <w:t>Etikan</w:t>
      </w:r>
      <w:proofErr w:type="spellEnd"/>
      <w:r w:rsidRPr="00314BDF">
        <w:t xml:space="preserve"> et al., 2016; Tongco, 2007). This approach ensures data quality and balances representation across hierarchies and scales.</w:t>
      </w:r>
    </w:p>
    <w:p w14:paraId="26F00A2A" w14:textId="77777777" w:rsidR="00646B26" w:rsidRPr="00314BDF" w:rsidRDefault="00646B26" w:rsidP="00646B26">
      <w:pPr>
        <w:pStyle w:val="Heading4"/>
      </w:pPr>
      <w:r w:rsidRPr="00314BDF">
        <w:br/>
        <w:t>3.5.1.3 Sample Size Determination</w:t>
      </w:r>
    </w:p>
    <w:p w14:paraId="61C2C599" w14:textId="77777777" w:rsidR="00646B26" w:rsidRPr="00314BDF" w:rsidRDefault="00646B26" w:rsidP="00646B26">
      <w:r w:rsidRPr="00314BDF">
        <w:t>Sample size was determined using SPSS. A target of 400 was set, yielding 230 valid responses (57.5% response rate), balancing inferential strength with practicality, based on Yamane’s (1967) formula n = N / (1 + N(e)²), where N=5000 (estimated Abuja professionals) and e=0.05, suggesting n≈370, with 400 as a buffer for precision and non-response. Bootstrapping confirmed resilience to attrition (20-25%, per pilot feedback), ensuring adequacy for subgroup analysis and generalizability, while minimizing type II errors (Cohen, 1992; Faul et al., 2009).</w:t>
      </w:r>
    </w:p>
    <w:p w14:paraId="08235E58" w14:textId="77777777" w:rsidR="00646B26" w:rsidRPr="00314BDF" w:rsidRDefault="00646B26" w:rsidP="00646B26"/>
    <w:p w14:paraId="4FE70EB0" w14:textId="77777777" w:rsidR="00646B26" w:rsidRPr="00314BDF" w:rsidRDefault="00646B26" w:rsidP="00646B26">
      <w:pPr>
        <w:pStyle w:val="Heading4"/>
      </w:pPr>
      <w:r w:rsidRPr="00314BDF">
        <w:t>3.5.1.4 Data Collection Process</w:t>
      </w:r>
    </w:p>
    <w:p w14:paraId="6E2B6308" w14:textId="77777777" w:rsidR="00646B26" w:rsidRDefault="00646B26" w:rsidP="00646B26">
      <w:r w:rsidRPr="00314BDF">
        <w:t xml:space="preserve">Questionnaires were manually administered in-person at selected Abuja bank branches, demanding researcher patience, courtesy, and deference to establish trust and encourage participation across the professional spectrum, from cashiers managing frontline transactions to regional managers overseeing strategic operations, thereby maximizing response authenticity and completeness. Traversals included a representative assortment of institutions, with preliminary explanations of the study's purpose, ethical safeguards, and item rationales to enhance comprehension, particularly for sophisticated governance concepts that might intimidate lower-tier staff. To counteract social desirability bias—wherein respondents might embellish CG perceptions to conform with professional norms or avoid </w:t>
      </w:r>
      <w:r w:rsidRPr="00314BDF">
        <w:lastRenderedPageBreak/>
        <w:t xml:space="preserve">scrutiny—anonymity was rigorously enforced through coded response sheets devoid of personal identifiers, sealed collection envelopes to prevent oversight, and prefatory assurances emphasizing data aggregation and non-attribution, supplemented by balanced item wording to discourage consistent positive skewing (Podsakoff et al., 2003; </w:t>
      </w:r>
      <w:proofErr w:type="spellStart"/>
      <w:r w:rsidRPr="00314BDF">
        <w:t>Nederhof</w:t>
      </w:r>
      <w:proofErr w:type="spellEnd"/>
      <w:r w:rsidRPr="00314BDF">
        <w:t>, 1985). Cross-validation with secondary repositories (CBN supervisory reports, NDIC soundness indicators) rectifies NPL opacity by juxtaposing perceptual data against verified ratios (e.g., corroborating audit committee independence assertions with historical misstatements from the 2009 crisis), ensuring data integrity in a milieu notorious for underreporting driven by weak enforcement consistency and incentive misalignments (</w:t>
      </w:r>
      <w:proofErr w:type="spellStart"/>
      <w:r w:rsidRPr="00314BDF">
        <w:t>Olojede</w:t>
      </w:r>
      <w:proofErr w:type="spellEnd"/>
      <w:r w:rsidRPr="00314BDF">
        <w:t xml:space="preserve"> et al., 2020; Sanusi, 2014). This hands-on process, though resource-intensive, elevates response quality through immediate clarifications and rapport-building, rendering it superior for Nigeria's trust-oriented culture where digital alternatives might encounter </w:t>
      </w:r>
      <w:proofErr w:type="spellStart"/>
      <w:r w:rsidRPr="00314BDF">
        <w:t>skepticism</w:t>
      </w:r>
      <w:proofErr w:type="spellEnd"/>
      <w:r w:rsidRPr="00314BDF">
        <w:t xml:space="preserve"> or low engagement.</w:t>
      </w:r>
    </w:p>
    <w:p w14:paraId="118315BB" w14:textId="77777777" w:rsidR="00646B26" w:rsidRDefault="00646B26" w:rsidP="00646B26">
      <w:pPr>
        <w:pStyle w:val="Heading4"/>
      </w:pPr>
      <w:r w:rsidRPr="00314BDF">
        <w:br/>
        <w:t>3.5.1.5 Pilot Testing and Validation</w:t>
      </w:r>
    </w:p>
    <w:p w14:paraId="6CE56918" w14:textId="77777777" w:rsidR="00646B26" w:rsidRPr="00314BDF" w:rsidRDefault="00646B26" w:rsidP="00646B26">
      <w:r w:rsidRPr="00314BDF">
        <w:t xml:space="preserve">A pilot trial with 15 questionnaires (stratified to mirror main demographics: 5 risk managers for operational feedback, 5 branch managers for tactical input, 5 department heads for strategic views) assessed clarity, reliability, and respondent burden, yielding a Cronbach’s alpha of 0.85 (subscales: 0.78 for Disclosure, 0.81 for Practice, 0.85 for Compliance, 0.88 for Audit Committee Independence, 0.82 for Management Qualifications, 0.88 for Regulatory Clarity, indicating strong internal consistency per Nunnally, 1978). Respondent feedback led to key revisions: ambiguous terms in Regulatory Clarity (e.g., "arbitrage" changed to "conflicts in banking laws" for accessibility among junior staff unfamiliar with jargon); addition of reverse-scored items (e.g., "Regulatory overlaps do not affect compliance" to counter acquiescence, noted in 12% of pilots); removal of two redundant questions with low item-total correlations (r&lt;0.3, e.g., a repetitive board oversight item) to reduce fatigue. Factor loadings (&gt;0.6 in </w:t>
      </w:r>
      <w:r w:rsidRPr="00314BDF">
        <w:lastRenderedPageBreak/>
        <w:t>exploratory analysis) refined the instrument, enhancing construct validity, cultural fit, and precision for Nigeria’s diverse deposit money banking sector (Bryman, 2016; DeVellis, 2017; Boateng et al., 2018). With final question counts of 8 for Disclosure, 7 for Practice, 6 for Compliance, 5 for Audit Committee Independence, 4 for Management Qualifications, and 5 for Regulatory Clarity, this iterative process minimized error variance and boosted response quality in emerging market contexts.</w:t>
      </w:r>
    </w:p>
    <w:p w14:paraId="37FDA678" w14:textId="77777777" w:rsidR="00646B26" w:rsidRDefault="00646B26" w:rsidP="00646B26"/>
    <w:p w14:paraId="18E820E3" w14:textId="77777777" w:rsidR="00646B26" w:rsidRPr="00314BDF" w:rsidRDefault="00646B26" w:rsidP="00646B26">
      <w:pPr>
        <w:pStyle w:val="Heading3"/>
      </w:pPr>
      <w:bookmarkStart w:id="121" w:name="_Toc211278909"/>
      <w:r w:rsidRPr="00314BDF">
        <w:t>3.5.2 Qualitative Component: Semi-Structured Interviews</w:t>
      </w:r>
      <w:bookmarkEnd w:id="121"/>
    </w:p>
    <w:p w14:paraId="1C426F65" w14:textId="77777777" w:rsidR="00646B26" w:rsidRDefault="00646B26" w:rsidP="00646B26">
      <w:r w:rsidRPr="00314BDF">
        <w:t>The qualitative component employs semi-structured interviews with 10 high-level officials (50% response rate from 20 invitations), providing contextual depth on CG deficiencies linked to NPLs, complementing quantitative data with insights into mechanisms like political influences.</w:t>
      </w:r>
    </w:p>
    <w:p w14:paraId="3BB841BF" w14:textId="77777777" w:rsidR="00646B26" w:rsidRPr="00570194" w:rsidRDefault="00646B26" w:rsidP="00646B26">
      <w:pPr>
        <w:pStyle w:val="Heading4"/>
      </w:pPr>
      <w:r w:rsidRPr="00570194">
        <w:br/>
        <w:t>3.5.2.1 Interview Design and Protocol</w:t>
      </w:r>
    </w:p>
    <w:p w14:paraId="26BEFDE0" w14:textId="77777777" w:rsidR="00646B26" w:rsidRDefault="00646B26" w:rsidP="00646B26">
      <w:r w:rsidRPr="00314BDF">
        <w:t xml:space="preserve">Questions, derived from literature, target corporate governance indices, audit committee independence, management qualifications, and regulatory clarity: e.g., “How do conflicts between CAMA 2020 and NCCG 2018 hinder clarity and enforcement consistency and increase NPLs?” (Regulatory Clarity); “What obstacles do audit committees face in ensuring financial-reporting integrity, and how do these contribute to default risks?” (Audit Committee Independence); “How do management qualifications, including banking experience and governance training, impact risk management practices?” (Management Qualifications). The semi-structured format allows adaptive probing (e.g., “Can you describe specific cases of political interference in appointments and their impact on NPLs?”), with sessions lasting 35–45 minutes. Ethical measures include informed consent, optional audio recording (with manual transcription for privacy), and encrypted Otter.ai transcription. Thematic </w:t>
      </w:r>
      <w:r w:rsidRPr="00314BDF">
        <w:lastRenderedPageBreak/>
        <w:t>coding in NVivo follows Braun and Clarke’s (2006) six-phase process, yielding 45 final themes (e.g., “enforcement gaps,” “audit committee capture,” “political influence,” “risk oversight failures”) after data familiarization, 180 initial codes, theme refinement, review, and definition. This ensures rigor, aligns with Nigeria’s NDPA 2023 (Nigeria Data Protection Commission, 2024), and justifies the approach’s flexibility for uncovering evolving issues like post-2009 fraud concealment, staying focused on research goals.</w:t>
      </w:r>
    </w:p>
    <w:p w14:paraId="081E4AC7" w14:textId="77777777" w:rsidR="00646B26" w:rsidRPr="00314BDF" w:rsidRDefault="00646B26" w:rsidP="00646B26">
      <w:pPr>
        <w:pStyle w:val="Heading4"/>
      </w:pPr>
      <w:r w:rsidRPr="00314BDF">
        <w:br/>
        <w:t>3.5.2.2 Participant Selection and Recruitment</w:t>
      </w:r>
    </w:p>
    <w:p w14:paraId="0D2763F3" w14:textId="77777777" w:rsidR="00646B26" w:rsidRPr="00314BDF" w:rsidRDefault="00646B26" w:rsidP="00646B26">
      <w:r w:rsidRPr="00314BDF">
        <w:t>Purposive selection zeroed in on executives for their authoritative expertise, with recruitment via 20 tailored emails (outlining purpose, duration ~35 minutes, confidentiality assurances, and no incentives to avoid coercion), yielding 10 consents through persistent follow-ups and rapport-building, navigating access obstacles in elite, time-scarce circles where response rates often hover below 50% (Baruch &amp; Holtom, 2008).</w:t>
      </w:r>
    </w:p>
    <w:p w14:paraId="3B3228D6" w14:textId="77777777" w:rsidR="00646B26" w:rsidRPr="00314BDF" w:rsidRDefault="00646B26" w:rsidP="00646B26">
      <w:pPr>
        <w:pStyle w:val="Heading4"/>
      </w:pPr>
      <w:r w:rsidRPr="00314BDF">
        <w:br/>
        <w:t>3.5.2.3 Interview Process</w:t>
      </w:r>
    </w:p>
    <w:p w14:paraId="0E555F21" w14:textId="77777777" w:rsidR="00646B26" w:rsidRPr="00314BDF" w:rsidRDefault="00646B26" w:rsidP="00646B26">
      <w:r w:rsidRPr="00314BDF">
        <w:t>Undertaken in-office to immerse in professional contexts and foster trust, with deferential conduct—active listening, empathetic nods, neutral probes—to elicit forthrightness on sensitivities like board cronyism. Confidentiality was reinforced via anonymized transcripts (pseudonyms, redacted identifiers), secure storage (encrypted drives), and post-interview debriefs to address any discomfort, mitigating reprisal fears and bias (e.g., overly positive framing due to status concerns), ensuring authentic narratives that enrich quantitative findings (Kvale &amp; Brinkmann, 2015).</w:t>
      </w:r>
    </w:p>
    <w:p w14:paraId="7C2F301A" w14:textId="77777777" w:rsidR="00646B26" w:rsidRDefault="00646B26" w:rsidP="00646B26">
      <w:pPr>
        <w:spacing w:line="240" w:lineRule="auto"/>
        <w:jc w:val="left"/>
      </w:pPr>
      <w:r>
        <w:br w:type="page"/>
      </w:r>
    </w:p>
    <w:p w14:paraId="395561B6" w14:textId="77777777" w:rsidR="00646B26" w:rsidRDefault="00646B26" w:rsidP="00646B26">
      <w:pPr>
        <w:pStyle w:val="Heading3"/>
      </w:pPr>
      <w:bookmarkStart w:id="122" w:name="_Toc211278910"/>
      <w:r w:rsidRPr="00314BDF">
        <w:lastRenderedPageBreak/>
        <w:t>3.5.3 Data Sources</w:t>
      </w:r>
      <w:bookmarkEnd w:id="122"/>
    </w:p>
    <w:p w14:paraId="1B925E28" w14:textId="77777777" w:rsidR="00646B26" w:rsidRDefault="00646B26" w:rsidP="00646B26">
      <w:r w:rsidRPr="00314BDF">
        <w:t xml:space="preserve">The study targets Nigeria's deposit money banking sector, focusing on deposit money banks (DMBs) as the primary population due to their systemic role in financial stability and economic growth (CBN, 2024). For RQ1's quantitative panel, the sample comprises ten systemically important banks (SIBs) designated by the Central Bank of Nigeria (CBN), including Access Bank, Zenith Bank, First Bank of Nigeria (FBN), United Bank for Africa (UBA), Guaranty Trust Holding Company (GTCO), Ecobank Nigeria, Fidelity Bank, Stanbic IBTC, Union Bank, and Sterling Bank (CBN, 2024). These institutions represent approximately 78–80% of the sector's total assets (N212.4 trillion combined for quoted banks in 2024, per </w:t>
      </w:r>
      <w:proofErr w:type="spellStart"/>
      <w:r w:rsidRPr="00314BDF">
        <w:t>Nairametrics</w:t>
      </w:r>
      <w:proofErr w:type="spellEnd"/>
      <w:r w:rsidRPr="00314BDF">
        <w:t xml:space="preserve">; sector total ~N265 trillion; CBN, 2024), ensuring relevance for systemic insights (The Banker, 2024). </w:t>
      </w:r>
    </w:p>
    <w:p w14:paraId="5932F29B" w14:textId="77777777" w:rsidR="00646B26" w:rsidRDefault="00646B26" w:rsidP="00646B26">
      <w:r w:rsidRPr="00314BDF">
        <w:t xml:space="preserve">Data span 2009–2024, yielding 160 bank-year observations post-balancing. Annual financial statements, prudential returns, and governance disclosures were hand-collected from CBN archives, NDIC reports, and bank websites, supplemented by </w:t>
      </w:r>
      <w:proofErr w:type="spellStart"/>
      <w:r w:rsidRPr="00314BDF">
        <w:t>Nairametrics</w:t>
      </w:r>
      <w:proofErr w:type="spellEnd"/>
      <w:r w:rsidRPr="00314BDF">
        <w:t xml:space="preserve"> and audited filings. Macroeconomic controls, such as GDP per capita (constant 2010 US$), were sourced from World Bank Development Indicators (2024 release: e.g., $2,447.64 in 2024, down from $2,510.59 in 2023; World Bank, 2024). Mergers (e.g., 2012 and 2019 events) were retroactively adjusted using purchase-method restatements to maintain continuity.</w:t>
      </w:r>
    </w:p>
    <w:p w14:paraId="1292087E" w14:textId="77777777" w:rsidR="00646B26" w:rsidRDefault="00646B26" w:rsidP="00646B26">
      <w:r w:rsidRPr="00314BDF">
        <w:t>For RQ2–RQ4's cross-sectional component, purposive sampling targeted 400 banking professionals (executives, auditors, risk managers) from Abuja-based branches of the ten SIBs, yielding 230 responses (57.5% rate). Interviews involved 10 key informants (5 CEOs/board chairs, 5 executives), selected via snowballing for expertise. This dual sampling ensures representativeness for quantitative trends and depth for qualitative nuances, with demographic balance (e.g., 52% male, 48% female; 60% large-bank affiliated).</w:t>
      </w:r>
    </w:p>
    <w:p w14:paraId="075C77A2" w14:textId="77777777" w:rsidR="00646B26" w:rsidRPr="00570194" w:rsidRDefault="00646B26" w:rsidP="00646B26">
      <w:pPr>
        <w:pStyle w:val="Heading4"/>
      </w:pPr>
      <w:r w:rsidRPr="00570194">
        <w:lastRenderedPageBreak/>
        <w:t>3.5.3.1 Primary Data</w:t>
      </w:r>
    </w:p>
    <w:p w14:paraId="01663BA0" w14:textId="77777777" w:rsidR="00646B26" w:rsidRDefault="00646B26" w:rsidP="00646B26">
      <w:r w:rsidRPr="00570194">
        <w:t xml:space="preserve">Primary data encompasses 230 questionnaire replies and 10 interviews, harvested via in-person engagements to secure immediacy, authenticity, and relevance, encapsulating perceptual and experiential facets across corporate governance indices, audit committee independence, management qualifications, and regulatory clarity for thorough objective </w:t>
      </w:r>
      <w:proofErr w:type="spellStart"/>
      <w:r w:rsidRPr="00570194">
        <w:t>fulfillment</w:t>
      </w:r>
      <w:proofErr w:type="spellEnd"/>
      <w:r w:rsidRPr="00570194">
        <w:t>, with direct interaction minimizing misinterpretations in a culturally diverse setting.</w:t>
      </w:r>
    </w:p>
    <w:p w14:paraId="4A0A1E53" w14:textId="77777777" w:rsidR="00646B26" w:rsidRPr="00570194" w:rsidRDefault="00646B26" w:rsidP="00646B26"/>
    <w:p w14:paraId="013A2EA6" w14:textId="77777777" w:rsidR="00646B26" w:rsidRPr="00570194" w:rsidRDefault="00646B26" w:rsidP="00646B26">
      <w:pPr>
        <w:pStyle w:val="Heading4"/>
      </w:pPr>
      <w:r w:rsidRPr="00570194">
        <w:t>3.5.3.2 Secondary Data</w:t>
      </w:r>
    </w:p>
    <w:p w14:paraId="301C42BD" w14:textId="77777777" w:rsidR="00646B26" w:rsidRPr="00314BDF" w:rsidRDefault="00646B26" w:rsidP="00646B26">
      <w:r w:rsidRPr="00570194">
        <w:t>Secondary data encompasses NPL ratios from 2009 (37%, post-crisis peak) to April 2024 (approximately 5.62%), derived from quarterly CBN bulletins (sector aggregates), NDIC reports (granular soundness indicators), World Bank/IMF Financial Soundness Indicators (global benchmarks), and DMB audits (bank-specific). Reliability is strengthened through cross-checking (e.g., reconciling CBN's reported NPL ratio of 5.62% with NDIC's loan loss provisions, which are calculated as estimated amounts set aside to cover potential losses on NPLs based on historical loss rates, recovery expectations, and regulatory</w:t>
      </w:r>
      <w:r w:rsidRPr="00314BDF">
        <w:t xml:space="preserve"> guidelines under the International Financial Reporting Standard 9 [IFRS 9], ensuring &lt;2% discrepancies in aggregated figures), sensitivity tests for data opacity (e.g., adjusting for misclassifications using literature-derived thresholds from </w:t>
      </w:r>
      <w:proofErr w:type="spellStart"/>
      <w:r w:rsidRPr="00314BDF">
        <w:t>Olojede</w:t>
      </w:r>
      <w:proofErr w:type="spellEnd"/>
      <w:r w:rsidRPr="00314BDF">
        <w:t xml:space="preserve"> et al., 2020), and inclusion of control variables in regression models (e.g., GDP growth and inflation rates to isolate governance effects from macroeconomic influences, as these are standard controls in empirical studies on CG and NPLs to account for external economic pressures that affect loan repayment and default risk without confounding internal governance variables; </w:t>
      </w:r>
      <w:proofErr w:type="spellStart"/>
      <w:r w:rsidRPr="00314BDF">
        <w:t>Natufe</w:t>
      </w:r>
      <w:proofErr w:type="spellEnd"/>
      <w:r w:rsidRPr="00314BDF">
        <w:t xml:space="preserve"> &amp; </w:t>
      </w:r>
      <w:proofErr w:type="spellStart"/>
      <w:r w:rsidRPr="00314BDF">
        <w:t>Evbayiro</w:t>
      </w:r>
      <w:proofErr w:type="spellEnd"/>
      <w:r w:rsidRPr="00314BDF">
        <w:t>-Osagie, 2023).</w:t>
      </w:r>
    </w:p>
    <w:p w14:paraId="47391B7C" w14:textId="77777777" w:rsidR="00646B26" w:rsidRPr="00314BDF" w:rsidRDefault="00646B26" w:rsidP="00646B26"/>
    <w:p w14:paraId="74E04CAE" w14:textId="77777777" w:rsidR="00646B26" w:rsidRPr="00314BDF" w:rsidRDefault="00646B26" w:rsidP="00646B26"/>
    <w:p w14:paraId="5BEAB5A2" w14:textId="77777777" w:rsidR="00646B26" w:rsidRPr="00314BDF" w:rsidRDefault="00646B26" w:rsidP="00646B26">
      <w:pPr>
        <w:pStyle w:val="Heading4"/>
      </w:pPr>
      <w:r w:rsidRPr="00314BDF">
        <w:lastRenderedPageBreak/>
        <w:t>3.5.3.3 Variable Definition and Measurement</w:t>
      </w:r>
    </w:p>
    <w:p w14:paraId="5646DC72" w14:textId="77777777" w:rsidR="00646B26" w:rsidRPr="00570194" w:rsidRDefault="00646B26" w:rsidP="00646B26">
      <w:r w:rsidRPr="00570194">
        <w:t>Variables are operationalized to align with the corporate governance indices (disclosure, practice, compliance), ensuring theoretical fidelity and empirical precision.</w:t>
      </w:r>
    </w:p>
    <w:p w14:paraId="7783DE06" w14:textId="77777777" w:rsidR="00646B26" w:rsidRDefault="00646B26" w:rsidP="00646B26">
      <w:r w:rsidRPr="00570194">
        <w:br/>
        <w:t>Dependent Variable</w:t>
      </w:r>
    </w:p>
    <w:p w14:paraId="18E97981" w14:textId="77777777" w:rsidR="00646B26" w:rsidRPr="00570194" w:rsidRDefault="00646B26" w:rsidP="00646B26">
      <w:r w:rsidRPr="00570194">
        <w:t>Non-performing loan ratio (NPLR): Defined as IFRS-9 Stage-3 credit-impaired assets divided by gross loans and advances, expressed as a percentage. This captures exposures with significant credit deterioration, ensuring consistency across the 2018 IFRS-9 transition and post-2009 reforms (CBN, 2018). NPLR's validity as a default proxy is affirmed by its alignment with CBN's 5% threshold and emerging-market literature (</w:t>
      </w:r>
      <w:proofErr w:type="spellStart"/>
      <w:r w:rsidRPr="00570194">
        <w:t>Natufe</w:t>
      </w:r>
      <w:proofErr w:type="spellEnd"/>
      <w:r w:rsidRPr="00570194">
        <w:t xml:space="preserve"> &amp; </w:t>
      </w:r>
      <w:proofErr w:type="spellStart"/>
      <w:r w:rsidRPr="00570194">
        <w:t>Evbayiro</w:t>
      </w:r>
      <w:proofErr w:type="spellEnd"/>
      <w:r w:rsidRPr="00570194">
        <w:t>-Osagie, 2023; Fernando et al., 2019).</w:t>
      </w:r>
    </w:p>
    <w:p w14:paraId="4FE6FDF0" w14:textId="77777777" w:rsidR="00646B26" w:rsidRPr="00570194" w:rsidRDefault="00646B26" w:rsidP="00646B26">
      <w:r w:rsidRPr="00570194">
        <w:br/>
        <w:t>Independent Variables (Corporate Governance Indices)</w:t>
      </w:r>
    </w:p>
    <w:p w14:paraId="6BA8C33E" w14:textId="77777777" w:rsidR="00646B26" w:rsidRDefault="00646B26" w:rsidP="00646B26">
      <w:pPr>
        <w:pStyle w:val="ListParagraph"/>
        <w:numPr>
          <w:ilvl w:val="0"/>
          <w:numId w:val="1"/>
        </w:numPr>
      </w:pPr>
      <w:r w:rsidRPr="00570194">
        <w:t>Disclosure (CGDI): A 60-item checklist based on OECD (2015) and CBN (2018) templates, scoring 1 per disclosed item (e.g., board composition, risk policies) in annual reports or governance statements, scaled 0–100. This measures informational breadth and timeliness.</w:t>
      </w:r>
    </w:p>
    <w:p w14:paraId="4457004F" w14:textId="77777777" w:rsidR="00646B26" w:rsidRDefault="00646B26" w:rsidP="00646B26">
      <w:pPr>
        <w:pStyle w:val="ListParagraph"/>
        <w:numPr>
          <w:ilvl w:val="0"/>
          <w:numId w:val="1"/>
        </w:numPr>
      </w:pPr>
      <w:r w:rsidRPr="00570194">
        <w:t>Practice (OPEFF): 100 × (1 – cost-to-income ratio), where higher scores reflect efficient, controlled processes mitigating underwriting errors (COSO, 2013).</w:t>
      </w:r>
    </w:p>
    <w:p w14:paraId="58B3A7FF" w14:textId="77777777" w:rsidR="00646B26" w:rsidRDefault="00646B26" w:rsidP="00646B26">
      <w:pPr>
        <w:pStyle w:val="ListParagraph"/>
        <w:numPr>
          <w:ilvl w:val="0"/>
          <w:numId w:val="1"/>
        </w:numPr>
      </w:pPr>
      <w:r w:rsidRPr="00570194">
        <w:t xml:space="preserve">Compliance (COMID): A weighted composite (equal weights) of prudential-return timeliness (days late), CAMELS rating accuracy (audit discrepancies), and remediation speed (days to resolve CBN findings), normalized 0–100. This captures </w:t>
      </w:r>
      <w:proofErr w:type="spellStart"/>
      <w:r w:rsidRPr="00570194">
        <w:t>behavioral</w:t>
      </w:r>
      <w:proofErr w:type="spellEnd"/>
      <w:r w:rsidRPr="00570194">
        <w:t xml:space="preserve"> adherence beyond binary compliance.</w:t>
      </w:r>
    </w:p>
    <w:p w14:paraId="7F40BE8B" w14:textId="77777777" w:rsidR="00646B26" w:rsidRDefault="00646B26" w:rsidP="00646B26">
      <w:pPr>
        <w:pStyle w:val="ListParagraph"/>
        <w:numPr>
          <w:ilvl w:val="0"/>
          <w:numId w:val="1"/>
        </w:numPr>
      </w:pPr>
      <w:r w:rsidRPr="00570194">
        <w:t xml:space="preserve">Audit Committee Independence: Measured via 5 questionnaire items (7-point Likert, Cronbach’s α=0.85) assessing autonomy and effectiveness (e.g., “Audit committees operate </w:t>
      </w:r>
      <w:r w:rsidRPr="00570194">
        <w:lastRenderedPageBreak/>
        <w:t>free from shareholder influence”), informed by Adegbite (2014), including mediation by strengthened financial-reporting integrity.</w:t>
      </w:r>
    </w:p>
    <w:p w14:paraId="71DAE3B0" w14:textId="77777777" w:rsidR="00646B26" w:rsidRDefault="00646B26" w:rsidP="00646B26">
      <w:pPr>
        <w:pStyle w:val="ListParagraph"/>
        <w:numPr>
          <w:ilvl w:val="0"/>
          <w:numId w:val="1"/>
        </w:numPr>
      </w:pPr>
      <w:r w:rsidRPr="00570194">
        <w:t>Management Qualifications: Measured via 4 questionnaire items (7-point Likert, α=0.82) assessing banking experience and governance training (e.g., “Executives possess relevant certifications”), based on Nwoko et al. (2022).</w:t>
      </w:r>
    </w:p>
    <w:p w14:paraId="755DC741" w14:textId="77777777" w:rsidR="00646B26" w:rsidRPr="00570194" w:rsidRDefault="00646B26" w:rsidP="00646B26">
      <w:pPr>
        <w:pStyle w:val="ListParagraph"/>
        <w:numPr>
          <w:ilvl w:val="0"/>
          <w:numId w:val="1"/>
        </w:numPr>
      </w:pPr>
      <w:r w:rsidRPr="00570194">
        <w:t>Regulatory Clarity: Measured via 6 questionnaire items (7-point Likert, α=0.88) assessing clarity and enforcement consistency (e.g., “Harmonized regulations reduce compliance ambiguity”), drawn from Abdulmalik and Ahmad (2020).</w:t>
      </w:r>
    </w:p>
    <w:p w14:paraId="29B1ED3E" w14:textId="77777777" w:rsidR="00646B26" w:rsidRPr="00570194" w:rsidRDefault="00646B26" w:rsidP="00646B26">
      <w:r w:rsidRPr="00570194">
        <w:br/>
        <w:t>Control Variables</w:t>
      </w:r>
    </w:p>
    <w:p w14:paraId="29E73B44" w14:textId="77777777" w:rsidR="00646B26" w:rsidRPr="00570194" w:rsidRDefault="00646B26" w:rsidP="00646B26">
      <w:r w:rsidRPr="00570194">
        <w:t>Log of GDP per capita (</w:t>
      </w:r>
      <w:proofErr w:type="spellStart"/>
      <w:r w:rsidRPr="00570194">
        <w:t>LnGDPPC</w:t>
      </w:r>
      <w:proofErr w:type="spellEnd"/>
      <w:r w:rsidRPr="00570194">
        <w:t>): Natural log of constant 2010 US$ values (World Bank, 2024), controlling for cyclical repayment capacity (e.g., $2,447.64 in 2024). Additional controls in regressions include bank size (log total assets) and inflation (CBN, 2024).</w:t>
      </w:r>
    </w:p>
    <w:p w14:paraId="26D96E14" w14:textId="77777777" w:rsidR="00646B26" w:rsidRPr="00570194" w:rsidRDefault="00646B26" w:rsidP="00646B26">
      <w:r w:rsidRPr="00570194">
        <w:t>For RQ2–RQ4, questionnaire items (7-point Likert) operationalize constructs: e.g., audit committee independence (5 items, Cronbach's α=0.85), management qualifications (4 items, α=0.82), regulatory clarity (6 items, α=0.88). Interview guides probe these qualitatively.</w:t>
      </w:r>
    </w:p>
    <w:p w14:paraId="7E60CEF4" w14:textId="77777777" w:rsidR="00646B26" w:rsidRDefault="00646B26" w:rsidP="00646B26">
      <w:pPr>
        <w:sectPr w:rsidR="00646B26" w:rsidSect="00646B26">
          <w:footerReference w:type="even" r:id="rId20"/>
          <w:footerReference w:type="default" r:id="rId21"/>
          <w:footerReference w:type="first" r:id="rId22"/>
          <w:pgSz w:w="12240" w:h="15840"/>
          <w:pgMar w:top="1134" w:right="1134" w:bottom="1134" w:left="1134" w:header="0" w:footer="0" w:gutter="0"/>
          <w:cols w:space="720"/>
          <w:formProt w:val="0"/>
          <w:docGrid w:linePitch="326"/>
        </w:sectPr>
      </w:pPr>
    </w:p>
    <w:p w14:paraId="62F050BD" w14:textId="77777777" w:rsidR="00646B26" w:rsidRPr="00314BDF" w:rsidRDefault="00646B26" w:rsidP="00646B26">
      <w:pPr>
        <w:rPr>
          <w:b/>
          <w:bCs/>
        </w:rPr>
      </w:pPr>
      <w:r w:rsidRPr="00314BDF">
        <w:rPr>
          <w:b/>
          <w:bCs/>
        </w:rPr>
        <w:lastRenderedPageBreak/>
        <w:t>Table 3.2: Variable Definition and Measurement</w:t>
      </w:r>
    </w:p>
    <w:tbl>
      <w:tblPr>
        <w:tblStyle w:val="GridTable1Light-Accent4"/>
        <w:tblW w:w="13499" w:type="dxa"/>
        <w:tblLayout w:type="fixed"/>
        <w:tblLook w:val="04A0" w:firstRow="1" w:lastRow="0" w:firstColumn="1" w:lastColumn="0" w:noHBand="0" w:noVBand="1"/>
      </w:tblPr>
      <w:tblGrid>
        <w:gridCol w:w="2848"/>
        <w:gridCol w:w="2868"/>
        <w:gridCol w:w="4772"/>
        <w:gridCol w:w="3011"/>
      </w:tblGrid>
      <w:tr w:rsidR="00646B26" w14:paraId="526AB193" w14:textId="77777777" w:rsidTr="00727D26">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48" w:type="dxa"/>
          </w:tcPr>
          <w:p w14:paraId="3856444B" w14:textId="77777777" w:rsidR="00646B26" w:rsidRDefault="00646B26" w:rsidP="00727D26">
            <w:pPr>
              <w:pStyle w:val="TableHeading"/>
            </w:pPr>
            <w:r>
              <w:rPr>
                <w:rStyle w:val="Strong"/>
                <w:b w:val="0"/>
                <w:bCs w:val="0"/>
              </w:rPr>
              <w:t>Variable</w:t>
            </w:r>
          </w:p>
        </w:tc>
        <w:tc>
          <w:tcPr>
            <w:tcW w:w="2868" w:type="dxa"/>
          </w:tcPr>
          <w:p w14:paraId="6086BEB8"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Description</w:t>
            </w:r>
          </w:p>
        </w:tc>
        <w:tc>
          <w:tcPr>
            <w:tcW w:w="4772" w:type="dxa"/>
          </w:tcPr>
          <w:p w14:paraId="2C4F9201"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Construction</w:t>
            </w:r>
          </w:p>
        </w:tc>
        <w:tc>
          <w:tcPr>
            <w:tcW w:w="3011" w:type="dxa"/>
          </w:tcPr>
          <w:p w14:paraId="03A0FF31"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Source</w:t>
            </w:r>
          </w:p>
        </w:tc>
      </w:tr>
      <w:tr w:rsidR="00646B26" w14:paraId="6EF0F09E" w14:textId="77777777" w:rsidTr="00727D26">
        <w:trPr>
          <w:trHeight w:val="664"/>
        </w:trPr>
        <w:tc>
          <w:tcPr>
            <w:cnfStyle w:val="001000000000" w:firstRow="0" w:lastRow="0" w:firstColumn="1" w:lastColumn="0" w:oddVBand="0" w:evenVBand="0" w:oddHBand="0" w:evenHBand="0" w:firstRowFirstColumn="0" w:firstRowLastColumn="0" w:lastRowFirstColumn="0" w:lastRowLastColumn="0"/>
            <w:tcW w:w="2848" w:type="dxa"/>
          </w:tcPr>
          <w:p w14:paraId="622B25C6" w14:textId="77777777" w:rsidR="00646B26" w:rsidRDefault="00646B26" w:rsidP="00727D26">
            <w:pPr>
              <w:pStyle w:val="TableContents"/>
            </w:pPr>
            <w:r>
              <w:rPr>
                <w:rStyle w:val="Strong"/>
              </w:rPr>
              <w:t>NPLR</w:t>
            </w:r>
          </w:p>
        </w:tc>
        <w:tc>
          <w:tcPr>
            <w:tcW w:w="2868" w:type="dxa"/>
          </w:tcPr>
          <w:p w14:paraId="2C5500D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Non-performing loan ratio</w:t>
            </w:r>
          </w:p>
        </w:tc>
        <w:tc>
          <w:tcPr>
            <w:tcW w:w="4772" w:type="dxa"/>
          </w:tcPr>
          <w:p w14:paraId="540CE3E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IFRS-9 Stage-3 assets / gross loans (%)</w:t>
            </w:r>
          </w:p>
        </w:tc>
        <w:tc>
          <w:tcPr>
            <w:tcW w:w="3011" w:type="dxa"/>
          </w:tcPr>
          <w:p w14:paraId="0D902BE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Annual reports, CBN</w:t>
            </w:r>
          </w:p>
        </w:tc>
      </w:tr>
      <w:tr w:rsidR="00646B26" w14:paraId="6919C76E" w14:textId="77777777" w:rsidTr="00727D26">
        <w:trPr>
          <w:trHeight w:val="664"/>
        </w:trPr>
        <w:tc>
          <w:tcPr>
            <w:cnfStyle w:val="001000000000" w:firstRow="0" w:lastRow="0" w:firstColumn="1" w:lastColumn="0" w:oddVBand="0" w:evenVBand="0" w:oddHBand="0" w:evenHBand="0" w:firstRowFirstColumn="0" w:firstRowLastColumn="0" w:lastRowFirstColumn="0" w:lastRowLastColumn="0"/>
            <w:tcW w:w="2848" w:type="dxa"/>
          </w:tcPr>
          <w:p w14:paraId="2C4BC3FA" w14:textId="77777777" w:rsidR="00646B26" w:rsidRDefault="00646B26" w:rsidP="00727D26">
            <w:pPr>
              <w:pStyle w:val="TableContents"/>
            </w:pPr>
            <w:r>
              <w:rPr>
                <w:rStyle w:val="Strong"/>
              </w:rPr>
              <w:t>CGDI</w:t>
            </w:r>
          </w:p>
        </w:tc>
        <w:tc>
          <w:tcPr>
            <w:tcW w:w="2868" w:type="dxa"/>
          </w:tcPr>
          <w:p w14:paraId="71AA1AE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Disclosure index</w:t>
            </w:r>
          </w:p>
        </w:tc>
        <w:tc>
          <w:tcPr>
            <w:tcW w:w="4772" w:type="dxa"/>
          </w:tcPr>
          <w:p w14:paraId="25D7A60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60-item disclosure checklist / 60 × 100</w:t>
            </w:r>
          </w:p>
        </w:tc>
        <w:tc>
          <w:tcPr>
            <w:tcW w:w="3011" w:type="dxa"/>
          </w:tcPr>
          <w:p w14:paraId="5D0A2427"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Annual reports, OECD/CBN templates</w:t>
            </w:r>
          </w:p>
        </w:tc>
      </w:tr>
      <w:tr w:rsidR="00646B26" w14:paraId="0E94B415" w14:textId="77777777" w:rsidTr="00727D26">
        <w:trPr>
          <w:trHeight w:val="664"/>
        </w:trPr>
        <w:tc>
          <w:tcPr>
            <w:cnfStyle w:val="001000000000" w:firstRow="0" w:lastRow="0" w:firstColumn="1" w:lastColumn="0" w:oddVBand="0" w:evenVBand="0" w:oddHBand="0" w:evenHBand="0" w:firstRowFirstColumn="0" w:firstRowLastColumn="0" w:lastRowFirstColumn="0" w:lastRowLastColumn="0"/>
            <w:tcW w:w="2848" w:type="dxa"/>
          </w:tcPr>
          <w:p w14:paraId="1D04A9F2" w14:textId="77777777" w:rsidR="00646B26" w:rsidRDefault="00646B26" w:rsidP="00727D26">
            <w:pPr>
              <w:pStyle w:val="TableContents"/>
            </w:pPr>
            <w:r>
              <w:rPr>
                <w:rStyle w:val="Strong"/>
              </w:rPr>
              <w:t>OPEFF</w:t>
            </w:r>
          </w:p>
        </w:tc>
        <w:tc>
          <w:tcPr>
            <w:tcW w:w="2868" w:type="dxa"/>
          </w:tcPr>
          <w:p w14:paraId="56F85A5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Practice index</w:t>
            </w:r>
          </w:p>
        </w:tc>
        <w:tc>
          <w:tcPr>
            <w:tcW w:w="4772" w:type="dxa"/>
          </w:tcPr>
          <w:p w14:paraId="10AF9D7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100 × (1 – cost-to-income ratio)</w:t>
            </w:r>
          </w:p>
        </w:tc>
        <w:tc>
          <w:tcPr>
            <w:tcW w:w="3011" w:type="dxa"/>
          </w:tcPr>
          <w:p w14:paraId="3C39C05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 income statements</w:t>
            </w:r>
          </w:p>
        </w:tc>
      </w:tr>
      <w:tr w:rsidR="00646B26" w14:paraId="456F6CAA" w14:textId="77777777" w:rsidTr="00727D26">
        <w:trPr>
          <w:trHeight w:val="988"/>
        </w:trPr>
        <w:tc>
          <w:tcPr>
            <w:cnfStyle w:val="001000000000" w:firstRow="0" w:lastRow="0" w:firstColumn="1" w:lastColumn="0" w:oddVBand="0" w:evenVBand="0" w:oddHBand="0" w:evenHBand="0" w:firstRowFirstColumn="0" w:firstRowLastColumn="0" w:lastRowFirstColumn="0" w:lastRowLastColumn="0"/>
            <w:tcW w:w="2848" w:type="dxa"/>
          </w:tcPr>
          <w:p w14:paraId="79CD415F" w14:textId="77777777" w:rsidR="00646B26" w:rsidRDefault="00646B26" w:rsidP="00727D26">
            <w:pPr>
              <w:pStyle w:val="TableContents"/>
            </w:pPr>
            <w:r>
              <w:rPr>
                <w:rStyle w:val="Strong"/>
              </w:rPr>
              <w:t>COMID</w:t>
            </w:r>
          </w:p>
        </w:tc>
        <w:tc>
          <w:tcPr>
            <w:tcW w:w="2868" w:type="dxa"/>
          </w:tcPr>
          <w:p w14:paraId="5251DF1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Compliance index</w:t>
            </w:r>
          </w:p>
        </w:tc>
        <w:tc>
          <w:tcPr>
            <w:tcW w:w="4772" w:type="dxa"/>
          </w:tcPr>
          <w:p w14:paraId="29E909E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Weighted composite of return accuracy, CAMELS, remediation speed (0–100)</w:t>
            </w:r>
          </w:p>
        </w:tc>
        <w:tc>
          <w:tcPr>
            <w:tcW w:w="3011" w:type="dxa"/>
          </w:tcPr>
          <w:p w14:paraId="6C2E408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 supervision archives</w:t>
            </w:r>
          </w:p>
        </w:tc>
      </w:tr>
      <w:tr w:rsidR="00646B26" w14:paraId="48A73E40" w14:textId="77777777" w:rsidTr="00727D26">
        <w:trPr>
          <w:trHeight w:val="664"/>
        </w:trPr>
        <w:tc>
          <w:tcPr>
            <w:cnfStyle w:val="001000000000" w:firstRow="0" w:lastRow="0" w:firstColumn="1" w:lastColumn="0" w:oddVBand="0" w:evenVBand="0" w:oddHBand="0" w:evenHBand="0" w:firstRowFirstColumn="0" w:firstRowLastColumn="0" w:lastRowFirstColumn="0" w:lastRowLastColumn="0"/>
            <w:tcW w:w="2848" w:type="dxa"/>
          </w:tcPr>
          <w:p w14:paraId="5EA890F2" w14:textId="77777777" w:rsidR="00646B26" w:rsidRDefault="00646B26" w:rsidP="00727D26">
            <w:pPr>
              <w:pStyle w:val="TableContents"/>
            </w:pPr>
            <w:r>
              <w:rPr>
                <w:rStyle w:val="Strong"/>
              </w:rPr>
              <w:t>Audit Committee Independence</w:t>
            </w:r>
          </w:p>
        </w:tc>
        <w:tc>
          <w:tcPr>
            <w:tcW w:w="2868" w:type="dxa"/>
          </w:tcPr>
          <w:p w14:paraId="03CD6FE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Autonomy and effectiveness</w:t>
            </w:r>
          </w:p>
        </w:tc>
        <w:tc>
          <w:tcPr>
            <w:tcW w:w="4772" w:type="dxa"/>
          </w:tcPr>
          <w:p w14:paraId="7B4BB30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5-item Likert scale (α=0.85)</w:t>
            </w:r>
          </w:p>
        </w:tc>
        <w:tc>
          <w:tcPr>
            <w:tcW w:w="3011" w:type="dxa"/>
          </w:tcPr>
          <w:p w14:paraId="2220353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Questionnaire responses</w:t>
            </w:r>
          </w:p>
        </w:tc>
      </w:tr>
      <w:tr w:rsidR="00646B26" w14:paraId="7076AAF0" w14:textId="77777777" w:rsidTr="00727D26">
        <w:trPr>
          <w:trHeight w:val="664"/>
        </w:trPr>
        <w:tc>
          <w:tcPr>
            <w:cnfStyle w:val="001000000000" w:firstRow="0" w:lastRow="0" w:firstColumn="1" w:lastColumn="0" w:oddVBand="0" w:evenVBand="0" w:oddHBand="0" w:evenHBand="0" w:firstRowFirstColumn="0" w:firstRowLastColumn="0" w:lastRowFirstColumn="0" w:lastRowLastColumn="0"/>
            <w:tcW w:w="2848" w:type="dxa"/>
          </w:tcPr>
          <w:p w14:paraId="530BF5F7" w14:textId="77777777" w:rsidR="00646B26" w:rsidRDefault="00646B26" w:rsidP="00727D26">
            <w:pPr>
              <w:pStyle w:val="TableContents"/>
            </w:pPr>
            <w:r>
              <w:rPr>
                <w:rStyle w:val="Strong"/>
              </w:rPr>
              <w:t>Management Qualifications</w:t>
            </w:r>
          </w:p>
        </w:tc>
        <w:tc>
          <w:tcPr>
            <w:tcW w:w="2868" w:type="dxa"/>
          </w:tcPr>
          <w:p w14:paraId="0CE7E0F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Financial expertise and training</w:t>
            </w:r>
          </w:p>
        </w:tc>
        <w:tc>
          <w:tcPr>
            <w:tcW w:w="4772" w:type="dxa"/>
          </w:tcPr>
          <w:p w14:paraId="36AE549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4-item Likert scale (α=0.82)</w:t>
            </w:r>
          </w:p>
        </w:tc>
        <w:tc>
          <w:tcPr>
            <w:tcW w:w="3011" w:type="dxa"/>
          </w:tcPr>
          <w:p w14:paraId="58EF540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Questionnaire responses</w:t>
            </w:r>
          </w:p>
        </w:tc>
      </w:tr>
      <w:tr w:rsidR="00646B26" w14:paraId="4D53F7FA" w14:textId="77777777" w:rsidTr="00727D26">
        <w:trPr>
          <w:trHeight w:val="647"/>
        </w:trPr>
        <w:tc>
          <w:tcPr>
            <w:cnfStyle w:val="001000000000" w:firstRow="0" w:lastRow="0" w:firstColumn="1" w:lastColumn="0" w:oddVBand="0" w:evenVBand="0" w:oddHBand="0" w:evenHBand="0" w:firstRowFirstColumn="0" w:firstRowLastColumn="0" w:lastRowFirstColumn="0" w:lastRowLastColumn="0"/>
            <w:tcW w:w="2848" w:type="dxa"/>
          </w:tcPr>
          <w:p w14:paraId="1388ADB4" w14:textId="77777777" w:rsidR="00646B26" w:rsidRDefault="00646B26" w:rsidP="00727D26">
            <w:pPr>
              <w:pStyle w:val="TableContents"/>
            </w:pPr>
            <w:r>
              <w:rPr>
                <w:rStyle w:val="Strong"/>
              </w:rPr>
              <w:t>Regulatory Clarity</w:t>
            </w:r>
          </w:p>
        </w:tc>
        <w:tc>
          <w:tcPr>
            <w:tcW w:w="2868" w:type="dxa"/>
          </w:tcPr>
          <w:p w14:paraId="7D7C973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Regulatory consistency</w:t>
            </w:r>
          </w:p>
        </w:tc>
        <w:tc>
          <w:tcPr>
            <w:tcW w:w="4772" w:type="dxa"/>
          </w:tcPr>
          <w:p w14:paraId="2FC34951"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6-item Likert scale (α=0.88)</w:t>
            </w:r>
          </w:p>
        </w:tc>
        <w:tc>
          <w:tcPr>
            <w:tcW w:w="3011" w:type="dxa"/>
          </w:tcPr>
          <w:p w14:paraId="71E084CF"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Questionnaire responses</w:t>
            </w:r>
          </w:p>
        </w:tc>
      </w:tr>
      <w:tr w:rsidR="00646B26" w14:paraId="6AAF6602" w14:textId="77777777" w:rsidTr="00727D26">
        <w:trPr>
          <w:trHeight w:val="1005"/>
        </w:trPr>
        <w:tc>
          <w:tcPr>
            <w:cnfStyle w:val="001000000000" w:firstRow="0" w:lastRow="0" w:firstColumn="1" w:lastColumn="0" w:oddVBand="0" w:evenVBand="0" w:oddHBand="0" w:evenHBand="0" w:firstRowFirstColumn="0" w:firstRowLastColumn="0" w:lastRowFirstColumn="0" w:lastRowLastColumn="0"/>
            <w:tcW w:w="2848" w:type="dxa"/>
          </w:tcPr>
          <w:p w14:paraId="295D188C" w14:textId="77777777" w:rsidR="00646B26" w:rsidRDefault="00646B26" w:rsidP="00727D26">
            <w:pPr>
              <w:pStyle w:val="TableContents"/>
            </w:pPr>
            <w:proofErr w:type="spellStart"/>
            <w:r>
              <w:rPr>
                <w:rStyle w:val="Strong"/>
              </w:rPr>
              <w:t>LnGDPPC</w:t>
            </w:r>
            <w:proofErr w:type="spellEnd"/>
          </w:p>
        </w:tc>
        <w:tc>
          <w:tcPr>
            <w:tcW w:w="2868" w:type="dxa"/>
          </w:tcPr>
          <w:p w14:paraId="73838DD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Macro control</w:t>
            </w:r>
          </w:p>
        </w:tc>
        <w:tc>
          <w:tcPr>
            <w:tcW w:w="4772" w:type="dxa"/>
          </w:tcPr>
          <w:p w14:paraId="18E49EC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gramStart"/>
            <w:r>
              <w:t>ln(</w:t>
            </w:r>
            <w:proofErr w:type="gramEnd"/>
            <w:r>
              <w:t>GDP per capita, 2010 US$)</w:t>
            </w:r>
          </w:p>
        </w:tc>
        <w:tc>
          <w:tcPr>
            <w:tcW w:w="3011" w:type="dxa"/>
          </w:tcPr>
          <w:p w14:paraId="15AB60D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World Bank Development Indicators</w:t>
            </w:r>
          </w:p>
        </w:tc>
      </w:tr>
      <w:tr w:rsidR="00646B26" w14:paraId="123E8020" w14:textId="77777777" w:rsidTr="00727D26">
        <w:trPr>
          <w:trHeight w:val="647"/>
        </w:trPr>
        <w:tc>
          <w:tcPr>
            <w:cnfStyle w:val="001000000000" w:firstRow="0" w:lastRow="0" w:firstColumn="1" w:lastColumn="0" w:oddVBand="0" w:evenVBand="0" w:oddHBand="0" w:evenHBand="0" w:firstRowFirstColumn="0" w:firstRowLastColumn="0" w:lastRowFirstColumn="0" w:lastRowLastColumn="0"/>
            <w:tcW w:w="2848" w:type="dxa"/>
          </w:tcPr>
          <w:p w14:paraId="65E93A42" w14:textId="77777777" w:rsidR="00646B26" w:rsidRDefault="00646B26" w:rsidP="00727D26">
            <w:pPr>
              <w:pStyle w:val="TableContents"/>
            </w:pPr>
            <w:r>
              <w:rPr>
                <w:rStyle w:val="Strong"/>
              </w:rPr>
              <w:t>Bank Size</w:t>
            </w:r>
          </w:p>
        </w:tc>
        <w:tc>
          <w:tcPr>
            <w:tcW w:w="2868" w:type="dxa"/>
          </w:tcPr>
          <w:p w14:paraId="3F6CE68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Total assets</w:t>
            </w:r>
          </w:p>
        </w:tc>
        <w:tc>
          <w:tcPr>
            <w:tcW w:w="4772" w:type="dxa"/>
          </w:tcPr>
          <w:p w14:paraId="4FD44F6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proofErr w:type="gramStart"/>
            <w:r>
              <w:t>ln(</w:t>
            </w:r>
            <w:proofErr w:type="gramEnd"/>
            <w:r>
              <w:t>total assets)</w:t>
            </w:r>
          </w:p>
        </w:tc>
        <w:tc>
          <w:tcPr>
            <w:tcW w:w="3011" w:type="dxa"/>
          </w:tcPr>
          <w:p w14:paraId="1EF759D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Bank financial statements</w:t>
            </w:r>
          </w:p>
        </w:tc>
      </w:tr>
      <w:tr w:rsidR="00646B26" w14:paraId="08DE641D" w14:textId="77777777" w:rsidTr="00727D26">
        <w:trPr>
          <w:trHeight w:val="340"/>
        </w:trPr>
        <w:tc>
          <w:tcPr>
            <w:cnfStyle w:val="001000000000" w:firstRow="0" w:lastRow="0" w:firstColumn="1" w:lastColumn="0" w:oddVBand="0" w:evenVBand="0" w:oddHBand="0" w:evenHBand="0" w:firstRowFirstColumn="0" w:firstRowLastColumn="0" w:lastRowFirstColumn="0" w:lastRowLastColumn="0"/>
            <w:tcW w:w="2848" w:type="dxa"/>
          </w:tcPr>
          <w:p w14:paraId="02C5F823" w14:textId="77777777" w:rsidR="00646B26" w:rsidRDefault="00646B26" w:rsidP="00727D26">
            <w:pPr>
              <w:pStyle w:val="TableContents"/>
            </w:pPr>
            <w:r>
              <w:rPr>
                <w:rStyle w:val="Strong"/>
              </w:rPr>
              <w:t>Inflation</w:t>
            </w:r>
          </w:p>
        </w:tc>
        <w:tc>
          <w:tcPr>
            <w:tcW w:w="2868" w:type="dxa"/>
          </w:tcPr>
          <w:p w14:paraId="7FCD0624"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Macro control</w:t>
            </w:r>
          </w:p>
        </w:tc>
        <w:tc>
          <w:tcPr>
            <w:tcW w:w="4772" w:type="dxa"/>
          </w:tcPr>
          <w:p w14:paraId="7771927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Annual inflation rate (%)</w:t>
            </w:r>
          </w:p>
        </w:tc>
        <w:tc>
          <w:tcPr>
            <w:tcW w:w="3011" w:type="dxa"/>
          </w:tcPr>
          <w:p w14:paraId="5B0C7B2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w:t>
            </w:r>
          </w:p>
        </w:tc>
      </w:tr>
    </w:tbl>
    <w:p w14:paraId="56B35C30" w14:textId="77777777" w:rsidR="00646B26" w:rsidRPr="00570194" w:rsidRDefault="00646B26" w:rsidP="00646B26">
      <w:pPr>
        <w:rPr>
          <w:color w:val="2F5496" w:themeColor="accent1" w:themeShade="BF"/>
        </w:rPr>
        <w:sectPr w:rsidR="00646B26" w:rsidRPr="00570194" w:rsidSect="00646B26">
          <w:pgSz w:w="15840" w:h="12240" w:orient="landscape"/>
          <w:pgMar w:top="1134" w:right="1134" w:bottom="1134" w:left="1134" w:header="0" w:footer="0" w:gutter="0"/>
          <w:cols w:space="720"/>
          <w:formProt w:val="0"/>
          <w:docGrid w:linePitch="326"/>
        </w:sectPr>
      </w:pPr>
      <w:r>
        <w:br w:type="page"/>
      </w:r>
    </w:p>
    <w:p w14:paraId="39E48B5C" w14:textId="77777777" w:rsidR="00646B26" w:rsidRPr="00570194" w:rsidRDefault="00646B26" w:rsidP="00646B26">
      <w:pPr>
        <w:pStyle w:val="Heading2"/>
      </w:pPr>
      <w:bookmarkStart w:id="123" w:name="_Toc211278911"/>
      <w:r w:rsidRPr="00570194">
        <w:lastRenderedPageBreak/>
        <w:t>3.6 Data Analysis Procedures</w:t>
      </w:r>
      <w:bookmarkEnd w:id="123"/>
    </w:p>
    <w:p w14:paraId="0FC30DCF" w14:textId="77777777" w:rsidR="00646B26" w:rsidRDefault="00646B26" w:rsidP="00646B26">
      <w:pPr>
        <w:pStyle w:val="BodyText"/>
        <w:spacing w:line="480" w:lineRule="auto"/>
      </w:pPr>
      <w:r>
        <w:t xml:space="preserve">This section outlines the methods used to examine the impact of corporate governance indices (disclosure, practice, compliance), audit committee independence, management qualifications, and regulatory clarity on Non-Performing Loan (NPL) ratios in Nigerian Deposit Money Banks (DMBs). By integrating quantitative data from 230 valid questionnaire responses (57.5% response rate from 400 distributed) among Abuja banking professionals with qualitative insights from 10 semi-structured interviews (50% response rate from 20 scheduled) with senior executives, the study ensures a robust analysis aligned with research objectives (OB1–OB4) and hypotheses (H1–H4). </w:t>
      </w:r>
    </w:p>
    <w:p w14:paraId="48F57951" w14:textId="77777777" w:rsidR="00646B26" w:rsidRDefault="00646B26" w:rsidP="00646B26">
      <w:pPr>
        <w:pStyle w:val="BodyText"/>
        <w:spacing w:line="480" w:lineRule="auto"/>
      </w:pPr>
      <w:r>
        <w:t>Quantitative data are processed using SPSS v28 for empirical relationships, while qualitative data are analyzed via NVivo v14 for contextual depth. Data triangulation, guided by agency theory (Jensen &amp; Meckling, 1976) to address principal-agent conflicts and stakeholder theory (Freeman, 1984) for inclusive accountability, enhances validity and resolves discrepancies through meta-inferences. This approach navigates Nigeria’s deposit money banking sector complexities, including regulatory volatility and data opacity, filling post-2009 governance research gaps (Osita et al., 2019; OECD, 2023; BCBS, 2010; Natufe &amp; Evbayiro-Osagie, 2023). Table 3.3 summarizes data types, sources, and applications for clarity.</w:t>
      </w:r>
    </w:p>
    <w:p w14:paraId="0C3BFE55" w14:textId="77777777" w:rsidR="00646B26" w:rsidRDefault="00646B26" w:rsidP="00646B26">
      <w:pPr>
        <w:pStyle w:val="BodyText"/>
        <w:spacing w:line="480" w:lineRule="auto"/>
      </w:pPr>
    </w:p>
    <w:p w14:paraId="7498B78D" w14:textId="77777777" w:rsidR="00646B26" w:rsidRDefault="00646B26" w:rsidP="00646B26">
      <w:pPr>
        <w:pStyle w:val="BodyText"/>
        <w:spacing w:line="480" w:lineRule="auto"/>
      </w:pPr>
    </w:p>
    <w:p w14:paraId="21C690AA" w14:textId="77777777" w:rsidR="00646B26" w:rsidRDefault="00646B26" w:rsidP="00646B26">
      <w:pPr>
        <w:pStyle w:val="BodyText"/>
        <w:spacing w:line="480" w:lineRule="auto"/>
      </w:pPr>
    </w:p>
    <w:p w14:paraId="59A88793" w14:textId="77777777" w:rsidR="00646B26" w:rsidRDefault="00646B26" w:rsidP="00646B26">
      <w:pPr>
        <w:pStyle w:val="BodyText"/>
        <w:spacing w:line="480" w:lineRule="auto"/>
      </w:pPr>
    </w:p>
    <w:p w14:paraId="3165E69F" w14:textId="77777777" w:rsidR="00646B26" w:rsidRDefault="00646B26" w:rsidP="00646B26">
      <w:pPr>
        <w:pStyle w:val="BodyText"/>
        <w:spacing w:line="480" w:lineRule="auto"/>
      </w:pPr>
    </w:p>
    <w:p w14:paraId="2D4D41E5" w14:textId="77777777" w:rsidR="00646B26" w:rsidRDefault="00646B26" w:rsidP="00646B26"/>
    <w:p w14:paraId="07E5C9C2" w14:textId="77777777" w:rsidR="00646B26" w:rsidRDefault="00646B26" w:rsidP="00646B26">
      <w:pPr>
        <w:pStyle w:val="BodyText"/>
      </w:pPr>
      <w:r>
        <w:rPr>
          <w:rStyle w:val="Strong"/>
        </w:rPr>
        <w:t>Table 3.3: Data Types, Sources, and Applications</w:t>
      </w:r>
    </w:p>
    <w:tbl>
      <w:tblPr>
        <w:tblStyle w:val="GridTable1Light-Accent4"/>
        <w:tblW w:w="10031" w:type="dxa"/>
        <w:tblLayout w:type="fixed"/>
        <w:tblLook w:val="04A0" w:firstRow="1" w:lastRow="0" w:firstColumn="1" w:lastColumn="0" w:noHBand="0" w:noVBand="1"/>
      </w:tblPr>
      <w:tblGrid>
        <w:gridCol w:w="1422"/>
        <w:gridCol w:w="3215"/>
        <w:gridCol w:w="5394"/>
      </w:tblGrid>
      <w:tr w:rsidR="00646B26" w14:paraId="63DB2ECA" w14:textId="77777777" w:rsidTr="00727D26">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422" w:type="dxa"/>
          </w:tcPr>
          <w:p w14:paraId="1579C99B" w14:textId="77777777" w:rsidR="00646B26" w:rsidRDefault="00646B26" w:rsidP="00727D26">
            <w:pPr>
              <w:pStyle w:val="TableHeading"/>
            </w:pPr>
            <w:r>
              <w:rPr>
                <w:rStyle w:val="Strong"/>
                <w:b w:val="0"/>
                <w:bCs w:val="0"/>
              </w:rPr>
              <w:t>Data Type</w:t>
            </w:r>
          </w:p>
        </w:tc>
        <w:tc>
          <w:tcPr>
            <w:tcW w:w="3215" w:type="dxa"/>
          </w:tcPr>
          <w:p w14:paraId="7C3806A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Source</w:t>
            </w:r>
          </w:p>
        </w:tc>
        <w:tc>
          <w:tcPr>
            <w:tcW w:w="5394" w:type="dxa"/>
          </w:tcPr>
          <w:p w14:paraId="0C63986C"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Application</w:t>
            </w:r>
          </w:p>
        </w:tc>
      </w:tr>
      <w:tr w:rsidR="00646B26" w14:paraId="0015CE2E" w14:textId="77777777" w:rsidTr="00727D26">
        <w:trPr>
          <w:trHeight w:val="1062"/>
        </w:trPr>
        <w:tc>
          <w:tcPr>
            <w:cnfStyle w:val="001000000000" w:firstRow="0" w:lastRow="0" w:firstColumn="1" w:lastColumn="0" w:oddVBand="0" w:evenVBand="0" w:oddHBand="0" w:evenHBand="0" w:firstRowFirstColumn="0" w:firstRowLastColumn="0" w:lastRowFirstColumn="0" w:lastRowLastColumn="0"/>
            <w:tcW w:w="1422" w:type="dxa"/>
          </w:tcPr>
          <w:p w14:paraId="6A9EE721" w14:textId="77777777" w:rsidR="00646B26" w:rsidRDefault="00646B26" w:rsidP="00727D26">
            <w:pPr>
              <w:pStyle w:val="TableContents"/>
            </w:pPr>
            <w:r>
              <w:rPr>
                <w:rStyle w:val="Strong"/>
              </w:rPr>
              <w:t>Quantitative</w:t>
            </w:r>
          </w:p>
        </w:tc>
        <w:tc>
          <w:tcPr>
            <w:tcW w:w="3215" w:type="dxa"/>
          </w:tcPr>
          <w:p w14:paraId="6D15BE78"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230 questionnaire responses (7-point Likert), CBN/NDIC reports (2009–2024)</w:t>
            </w:r>
          </w:p>
        </w:tc>
        <w:tc>
          <w:tcPr>
            <w:tcW w:w="5394" w:type="dxa"/>
          </w:tcPr>
          <w:p w14:paraId="7638E77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Regression analysis for RQ1 (corporate governance indices), RQ2 (audit committee independence), RQ3 (management qualifications), RQ4 (regulatory clarity)</w:t>
            </w:r>
          </w:p>
        </w:tc>
      </w:tr>
      <w:tr w:rsidR="00646B26" w14:paraId="733E2B5E" w14:textId="77777777" w:rsidTr="00727D26">
        <w:trPr>
          <w:trHeight w:val="702"/>
        </w:trPr>
        <w:tc>
          <w:tcPr>
            <w:cnfStyle w:val="001000000000" w:firstRow="0" w:lastRow="0" w:firstColumn="1" w:lastColumn="0" w:oddVBand="0" w:evenVBand="0" w:oddHBand="0" w:evenHBand="0" w:firstRowFirstColumn="0" w:firstRowLastColumn="0" w:lastRowFirstColumn="0" w:lastRowLastColumn="0"/>
            <w:tcW w:w="1422" w:type="dxa"/>
          </w:tcPr>
          <w:p w14:paraId="5F93627F" w14:textId="77777777" w:rsidR="00646B26" w:rsidRDefault="00646B26" w:rsidP="00727D26">
            <w:pPr>
              <w:pStyle w:val="TableContents"/>
            </w:pPr>
            <w:r>
              <w:rPr>
                <w:rStyle w:val="Strong"/>
              </w:rPr>
              <w:t>Qualitative</w:t>
            </w:r>
          </w:p>
        </w:tc>
        <w:tc>
          <w:tcPr>
            <w:tcW w:w="3215" w:type="dxa"/>
          </w:tcPr>
          <w:p w14:paraId="34368D4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10 semi-structured interviews</w:t>
            </w:r>
          </w:p>
        </w:tc>
        <w:tc>
          <w:tcPr>
            <w:tcW w:w="5394" w:type="dxa"/>
          </w:tcPr>
          <w:p w14:paraId="2BD7074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Thematic analysis for RQ2–RQ4, complementing quantitative findings</w:t>
            </w:r>
          </w:p>
        </w:tc>
      </w:tr>
      <w:tr w:rsidR="00646B26" w14:paraId="2175A234" w14:textId="77777777" w:rsidTr="00727D26">
        <w:trPr>
          <w:trHeight w:val="1026"/>
        </w:trPr>
        <w:tc>
          <w:tcPr>
            <w:cnfStyle w:val="001000000000" w:firstRow="0" w:lastRow="0" w:firstColumn="1" w:lastColumn="0" w:oddVBand="0" w:evenVBand="0" w:oddHBand="0" w:evenHBand="0" w:firstRowFirstColumn="0" w:firstRowLastColumn="0" w:lastRowFirstColumn="0" w:lastRowLastColumn="0"/>
            <w:tcW w:w="1422" w:type="dxa"/>
          </w:tcPr>
          <w:p w14:paraId="33129E6C" w14:textId="77777777" w:rsidR="00646B26" w:rsidRDefault="00646B26" w:rsidP="00727D26">
            <w:pPr>
              <w:pStyle w:val="TableContents"/>
            </w:pPr>
            <w:r>
              <w:rPr>
                <w:rStyle w:val="Strong"/>
              </w:rPr>
              <w:t>Secondary</w:t>
            </w:r>
          </w:p>
        </w:tc>
        <w:tc>
          <w:tcPr>
            <w:tcW w:w="3215" w:type="dxa"/>
          </w:tcPr>
          <w:p w14:paraId="6C54770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CBN bulletins, NDIC reports, World Bank/IMF indicators (2009–2024)</w:t>
            </w:r>
          </w:p>
        </w:tc>
        <w:tc>
          <w:tcPr>
            <w:tcW w:w="5394" w:type="dxa"/>
          </w:tcPr>
          <w:p w14:paraId="7F66AFD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Cross-validation of NPL ratios and control variables (e.g., bank size, GDP growth)</w:t>
            </w:r>
          </w:p>
        </w:tc>
      </w:tr>
    </w:tbl>
    <w:p w14:paraId="38DC748A" w14:textId="77777777" w:rsidR="00646B26" w:rsidRDefault="00646B26" w:rsidP="00646B26">
      <w:pPr>
        <w:pStyle w:val="Heading3"/>
        <w:rPr>
          <w:rStyle w:val="Strong"/>
        </w:rPr>
      </w:pPr>
    </w:p>
    <w:p w14:paraId="7C6FAF31" w14:textId="77777777" w:rsidR="00646B26" w:rsidRPr="0060655F" w:rsidRDefault="00646B26" w:rsidP="00646B26">
      <w:pPr>
        <w:pStyle w:val="Heading3"/>
      </w:pPr>
      <w:bookmarkStart w:id="124" w:name="_Toc211278912"/>
      <w:r w:rsidRPr="0060655F">
        <w:rPr>
          <w:rStyle w:val="Strong"/>
        </w:rPr>
        <w:t>3.6.1 Econometric Specification</w:t>
      </w:r>
      <w:bookmarkEnd w:id="124"/>
    </w:p>
    <w:p w14:paraId="63A0DB91" w14:textId="77777777" w:rsidR="00646B26" w:rsidRDefault="00646B26" w:rsidP="00646B26">
      <w:r w:rsidRPr="00570194">
        <w:t>For RQ1, the baseline two-way fixed-effects model is:</w:t>
      </w:r>
    </w:p>
    <w:p w14:paraId="2D1431C1" w14:textId="77777777" w:rsidR="00646B26" w:rsidRPr="00570194" w:rsidRDefault="00646B26" w:rsidP="00646B26">
      <w:pPr>
        <w:rPr>
          <w:b/>
          <w:bCs/>
        </w:rPr>
      </w:pPr>
      <w:r w:rsidRPr="00570194">
        <w:rPr>
          <w:b/>
          <w:bCs/>
        </w:rPr>
        <w:br/>
        <w:t>NPLR_{</w:t>
      </w:r>
      <w:proofErr w:type="spellStart"/>
      <w:proofErr w:type="gramStart"/>
      <w:r w:rsidRPr="00570194">
        <w:rPr>
          <w:b/>
          <w:bCs/>
        </w:rPr>
        <w:t>i,t</w:t>
      </w:r>
      <w:proofErr w:type="spellEnd"/>
      <w:proofErr w:type="gramEnd"/>
      <w:r w:rsidRPr="00570194">
        <w:rPr>
          <w:b/>
          <w:bCs/>
        </w:rPr>
        <w:t>} = α + β₁ CGDI_{</w:t>
      </w:r>
      <w:proofErr w:type="spellStart"/>
      <w:proofErr w:type="gramStart"/>
      <w:r w:rsidRPr="00570194">
        <w:rPr>
          <w:b/>
          <w:bCs/>
        </w:rPr>
        <w:t>i,t</w:t>
      </w:r>
      <w:proofErr w:type="spellEnd"/>
      <w:proofErr w:type="gramEnd"/>
      <w:r w:rsidRPr="00570194">
        <w:rPr>
          <w:b/>
          <w:bCs/>
        </w:rPr>
        <w:t>} + β₂ OPEFF_{</w:t>
      </w:r>
      <w:proofErr w:type="spellStart"/>
      <w:proofErr w:type="gramStart"/>
      <w:r w:rsidRPr="00570194">
        <w:rPr>
          <w:b/>
          <w:bCs/>
        </w:rPr>
        <w:t>i,t</w:t>
      </w:r>
      <w:proofErr w:type="spellEnd"/>
      <w:proofErr w:type="gramEnd"/>
      <w:r w:rsidRPr="00570194">
        <w:rPr>
          <w:b/>
          <w:bCs/>
        </w:rPr>
        <w:t>} + β₃ COMID_{</w:t>
      </w:r>
      <w:proofErr w:type="spellStart"/>
      <w:proofErr w:type="gramStart"/>
      <w:r w:rsidRPr="00570194">
        <w:rPr>
          <w:b/>
          <w:bCs/>
        </w:rPr>
        <w:t>i,t</w:t>
      </w:r>
      <w:proofErr w:type="spellEnd"/>
      <w:proofErr w:type="gramEnd"/>
      <w:r w:rsidRPr="00570194">
        <w:rPr>
          <w:b/>
          <w:bCs/>
        </w:rPr>
        <w:t>} + β₄ TCAR_{</w:t>
      </w:r>
      <w:proofErr w:type="gramStart"/>
      <w:r w:rsidRPr="00570194">
        <w:rPr>
          <w:b/>
          <w:bCs/>
        </w:rPr>
        <w:t>i,t</w:t>
      </w:r>
      <w:proofErr w:type="gramEnd"/>
      <w:r w:rsidRPr="00570194">
        <w:rPr>
          <w:b/>
          <w:bCs/>
        </w:rPr>
        <w:t xml:space="preserve">-1} + β₅ </w:t>
      </w:r>
      <w:proofErr w:type="spellStart"/>
      <w:r w:rsidRPr="00570194">
        <w:rPr>
          <w:b/>
          <w:bCs/>
        </w:rPr>
        <w:t>LnGDPPC_t</w:t>
      </w:r>
      <w:proofErr w:type="spellEnd"/>
      <w:r w:rsidRPr="00570194">
        <w:rPr>
          <w:b/>
          <w:bCs/>
        </w:rPr>
        <w:t xml:space="preserve"> + β₆ </w:t>
      </w:r>
      <w:proofErr w:type="spellStart"/>
      <w:r w:rsidRPr="00570194">
        <w:rPr>
          <w:b/>
          <w:bCs/>
        </w:rPr>
        <w:t>LnAssets</w:t>
      </w:r>
      <w:proofErr w:type="spellEnd"/>
      <w:r w:rsidRPr="00570194">
        <w:rPr>
          <w:b/>
          <w:bCs/>
        </w:rPr>
        <w:t>_{</w:t>
      </w:r>
      <w:proofErr w:type="spellStart"/>
      <w:proofErr w:type="gramStart"/>
      <w:r w:rsidRPr="00570194">
        <w:rPr>
          <w:b/>
          <w:bCs/>
        </w:rPr>
        <w:t>i,t</w:t>
      </w:r>
      <w:proofErr w:type="spellEnd"/>
      <w:proofErr w:type="gramEnd"/>
      <w:r w:rsidRPr="00570194">
        <w:rPr>
          <w:b/>
          <w:bCs/>
        </w:rPr>
        <w:t xml:space="preserve">} + </w:t>
      </w:r>
      <w:proofErr w:type="spellStart"/>
      <w:r w:rsidRPr="00570194">
        <w:rPr>
          <w:b/>
          <w:bCs/>
        </w:rPr>
        <w:t>μ_i</w:t>
      </w:r>
      <w:proofErr w:type="spellEnd"/>
      <w:r w:rsidRPr="00570194">
        <w:rPr>
          <w:b/>
          <w:bCs/>
        </w:rPr>
        <w:t xml:space="preserve"> + </w:t>
      </w:r>
      <w:proofErr w:type="spellStart"/>
      <w:r w:rsidRPr="00570194">
        <w:rPr>
          <w:b/>
          <w:bCs/>
        </w:rPr>
        <w:t>λ_t</w:t>
      </w:r>
      <w:proofErr w:type="spellEnd"/>
      <w:r w:rsidRPr="00570194">
        <w:rPr>
          <w:b/>
          <w:bCs/>
        </w:rPr>
        <w:t xml:space="preserve"> + ε_{</w:t>
      </w:r>
      <w:proofErr w:type="spellStart"/>
      <w:proofErr w:type="gramStart"/>
      <w:r w:rsidRPr="00570194">
        <w:rPr>
          <w:b/>
          <w:bCs/>
        </w:rPr>
        <w:t>i,t</w:t>
      </w:r>
      <w:proofErr w:type="spellEnd"/>
      <w:proofErr w:type="gramEnd"/>
      <w:r w:rsidRPr="00570194">
        <w:rPr>
          <w:b/>
          <w:bCs/>
        </w:rPr>
        <w:t>}</w:t>
      </w:r>
    </w:p>
    <w:p w14:paraId="7AC5780D" w14:textId="77777777" w:rsidR="00646B26" w:rsidRPr="00570194" w:rsidRDefault="00646B26" w:rsidP="00646B26">
      <w:r w:rsidRPr="00570194">
        <w:br/>
        <w:t xml:space="preserve">Where </w:t>
      </w:r>
      <w:proofErr w:type="spellStart"/>
      <w:r w:rsidRPr="00570194">
        <w:t>i</w:t>
      </w:r>
      <w:proofErr w:type="spellEnd"/>
      <w:r w:rsidRPr="00570194">
        <w:t>=</w:t>
      </w:r>
      <w:proofErr w:type="gramStart"/>
      <w:r w:rsidRPr="00570194">
        <w:t>1,...</w:t>
      </w:r>
      <w:proofErr w:type="gramEnd"/>
      <w:r w:rsidRPr="00570194">
        <w:t>,10 banks, t=</w:t>
      </w:r>
      <w:proofErr w:type="gramStart"/>
      <w:r w:rsidRPr="00570194">
        <w:t>2009,...</w:t>
      </w:r>
      <w:proofErr w:type="gramEnd"/>
      <w:r w:rsidRPr="00570194">
        <w:t xml:space="preserve">,2024; </w:t>
      </w:r>
      <w:proofErr w:type="spellStart"/>
      <w:r w:rsidRPr="00570194">
        <w:t>μ_i</w:t>
      </w:r>
      <w:proofErr w:type="spellEnd"/>
      <w:r w:rsidRPr="00570194">
        <w:t xml:space="preserve"> are bank fixed effects; </w:t>
      </w:r>
      <w:proofErr w:type="spellStart"/>
      <w:r w:rsidRPr="00570194">
        <w:t>λ_t</w:t>
      </w:r>
      <w:proofErr w:type="spellEnd"/>
      <w:r w:rsidRPr="00570194">
        <w:t xml:space="preserve"> year dummies; ε_{</w:t>
      </w:r>
      <w:proofErr w:type="spellStart"/>
      <w:proofErr w:type="gramStart"/>
      <w:r w:rsidRPr="00570194">
        <w:t>i,t</w:t>
      </w:r>
      <w:proofErr w:type="spellEnd"/>
      <w:proofErr w:type="gramEnd"/>
      <w:r w:rsidRPr="00570194">
        <w:t>} idiosyncratic error. Standard errors are clustered at the bank level for heteroskedasticity and autocorrelation (Arellano, 1987). For RQ2–RQ4, cross-sectional OLS regressions model NPL associations with survey-derived constructs (audit committee independence with mediation by financial-reporting integrity, management qualifications, regulatory clarity and enforcement consistency), controlling for demographics.</w:t>
      </w:r>
    </w:p>
    <w:p w14:paraId="049B7ABF" w14:textId="77777777" w:rsidR="00646B26" w:rsidRDefault="00646B26" w:rsidP="00646B26"/>
    <w:p w14:paraId="5BC093C7" w14:textId="77777777" w:rsidR="00646B26" w:rsidRPr="0060655F" w:rsidRDefault="00646B26" w:rsidP="00646B26">
      <w:pPr>
        <w:pStyle w:val="Heading4"/>
        <w:rPr>
          <w:rStyle w:val="Strong"/>
        </w:rPr>
      </w:pPr>
      <w:r w:rsidRPr="0060655F">
        <w:rPr>
          <w:rStyle w:val="Strong"/>
        </w:rPr>
        <w:lastRenderedPageBreak/>
        <w:t>3.6.1.1 Estimator Selection and Endogeneity Mitigation</w:t>
      </w:r>
    </w:p>
    <w:p w14:paraId="05F22172" w14:textId="77777777" w:rsidR="00646B26" w:rsidRPr="0060655F" w:rsidRDefault="00646B26" w:rsidP="00646B26">
      <w:r w:rsidRPr="0060655F">
        <w:t xml:space="preserve">Hausman (1978) tests compare fixed- vs. random-effects; fixed-effects are preferred if unobserved bank effects correlate with regressors (e.g., χ²=15.23, p&lt;0.01). Lagged TCAR mitigates reverse causality; variance inflation factors (VIF&lt;4) confirm no multicollinearity. Qualitative data address residual endogeneity by exploring </w:t>
      </w:r>
      <w:proofErr w:type="spellStart"/>
      <w:r w:rsidRPr="0060655F">
        <w:t>unobservables</w:t>
      </w:r>
      <w:proofErr w:type="spellEnd"/>
      <w:r w:rsidRPr="0060655F">
        <w:t xml:space="preserve"> like cultural barriers.</w:t>
      </w:r>
    </w:p>
    <w:p w14:paraId="34F9D853" w14:textId="77777777" w:rsidR="00646B26" w:rsidRDefault="00646B26" w:rsidP="00646B26">
      <w:pPr>
        <w:pStyle w:val="Heading4"/>
        <w:rPr>
          <w:rStyle w:val="Strong"/>
          <w:b w:val="0"/>
        </w:rPr>
      </w:pPr>
      <w:r>
        <w:rPr>
          <w:rStyle w:val="Strong"/>
        </w:rPr>
        <w:br/>
        <w:t>3.6.1.2 Dynamic Specification and Instrumentation</w:t>
      </w:r>
    </w:p>
    <w:p w14:paraId="6FECADAF" w14:textId="77777777" w:rsidR="00646B26" w:rsidRDefault="00646B26" w:rsidP="00646B26">
      <w:pPr>
        <w:pStyle w:val="BodyText"/>
        <w:rPr>
          <w:rStyle w:val="Strong"/>
          <w:b w:val="0"/>
        </w:rPr>
      </w:pPr>
      <w:r>
        <w:rPr>
          <w:rStyle w:val="Strong"/>
        </w:rPr>
        <w:t>To capture NPL persistence:</w:t>
      </w:r>
    </w:p>
    <w:p w14:paraId="65D001FE" w14:textId="77777777" w:rsidR="00646B26" w:rsidRPr="00570194" w:rsidRDefault="00646B26" w:rsidP="00646B26">
      <w:pPr>
        <w:pStyle w:val="BodyText"/>
        <w:rPr>
          <w:rStyle w:val="Strong"/>
          <w:bCs w:val="0"/>
        </w:rPr>
      </w:pPr>
      <w:r w:rsidRPr="00570194">
        <w:rPr>
          <w:rStyle w:val="Strong"/>
          <w:bCs w:val="0"/>
        </w:rPr>
        <w:br/>
        <w:t>NPLR_{i,t} = α + ρ NPLR_{i,t-1} + β' X_{i,t-1} + μ_i + λ_t + ε_{i,t}</w:t>
      </w:r>
    </w:p>
    <w:p w14:paraId="77E94B01" w14:textId="77777777" w:rsidR="00646B26" w:rsidRPr="0060655F" w:rsidRDefault="00646B26" w:rsidP="00646B26">
      <w:r w:rsidRPr="0060655F">
        <w:t xml:space="preserve">Arellano-Bond GMM uses lagged levels as instruments; Hansen over-identification (p&gt;0.10) and </w:t>
      </w:r>
      <w:proofErr w:type="gramStart"/>
      <w:r w:rsidRPr="0060655F">
        <w:t>AR(</w:t>
      </w:r>
      <w:proofErr w:type="gramEnd"/>
      <w:r w:rsidRPr="0060655F">
        <w:t>2) tests (p&gt;0.05) validate. For qualitative, thematic analysis via NVivo employs inductive coding for RQ2–RQ4.</w:t>
      </w:r>
    </w:p>
    <w:p w14:paraId="4BEF6E7B" w14:textId="77777777" w:rsidR="00646B26" w:rsidRPr="0060655F" w:rsidRDefault="00646B26" w:rsidP="00646B26">
      <w:pPr>
        <w:pStyle w:val="Heading4"/>
      </w:pPr>
      <w:r w:rsidRPr="0060655F">
        <w:br/>
        <w:t>3.6</w:t>
      </w:r>
      <w:r>
        <w:t>.1</w:t>
      </w:r>
      <w:r w:rsidRPr="0060655F">
        <w:t>.3 Regime-Shift Analysis</w:t>
      </w:r>
    </w:p>
    <w:p w14:paraId="3B6E4DF5" w14:textId="77777777" w:rsidR="00646B26" w:rsidRDefault="00646B26" w:rsidP="00646B26">
      <w:r w:rsidRPr="0060655F">
        <w:t>The panel splits into voluntary (2009–2014) and mandatory (2015–2024) eras post-2014 code; Chow test (F=3.45, p&lt;0.05) confirms breaks. This assesses reform intensification on corporate governance index elasticities.</w:t>
      </w:r>
    </w:p>
    <w:p w14:paraId="11B191B7" w14:textId="77777777" w:rsidR="00646B26" w:rsidRPr="0060655F" w:rsidRDefault="00646B26" w:rsidP="00646B26">
      <w:pPr>
        <w:pStyle w:val="Heading4"/>
      </w:pPr>
      <w:r w:rsidRPr="0060655F">
        <w:br/>
        <w:t>3.6</w:t>
      </w:r>
      <w:r>
        <w:t>.1</w:t>
      </w:r>
      <w:r w:rsidRPr="0060655F">
        <w:t>.4 Robustness Diagnostics</w:t>
      </w:r>
    </w:p>
    <w:p w14:paraId="642FC78F" w14:textId="77777777" w:rsidR="00646B26" w:rsidRDefault="00646B26" w:rsidP="00646B26">
      <w:pPr>
        <w:rPr>
          <w:rStyle w:val="Heading2Char"/>
        </w:rPr>
      </w:pPr>
      <w:r w:rsidRPr="0060655F">
        <w:t>(</w:t>
      </w:r>
      <w:proofErr w:type="spellStart"/>
      <w:r w:rsidRPr="0060655F">
        <w:t>i</w:t>
      </w:r>
      <w:proofErr w:type="spellEnd"/>
      <w:r w:rsidRPr="0060655F">
        <w:t xml:space="preserve">) Alternate NPL definitions (90-day past-due vs. IFRS-9) yield consistent rankings. (ii) </w:t>
      </w:r>
      <w:proofErr w:type="spellStart"/>
      <w:r w:rsidRPr="0060655F">
        <w:t>Winsorization</w:t>
      </w:r>
      <w:proofErr w:type="spellEnd"/>
      <w:r w:rsidRPr="0060655F">
        <w:t xml:space="preserve"> at 1%/99% </w:t>
      </w:r>
      <w:proofErr w:type="gramStart"/>
      <w:r w:rsidRPr="0060655F">
        <w:t>guards</w:t>
      </w:r>
      <w:proofErr w:type="gramEnd"/>
      <w:r w:rsidRPr="0060655F">
        <w:t xml:space="preserve"> outliers. (iii) Placebo permutations of indices produce null coefficients, affirming causality. For mixed-methods, inter-coder reliability (Kappa=0.82) and member-checking ensure </w:t>
      </w:r>
      <w:r w:rsidRPr="0060655F">
        <w:lastRenderedPageBreak/>
        <w:t>validity.</w:t>
      </w:r>
      <w:r w:rsidRPr="0060655F">
        <w:br/>
      </w:r>
    </w:p>
    <w:p w14:paraId="1807ADFD" w14:textId="77777777" w:rsidR="00646B26" w:rsidRPr="0060655F" w:rsidRDefault="00646B26" w:rsidP="00646B26">
      <w:pPr>
        <w:pStyle w:val="Heading3"/>
      </w:pPr>
      <w:bookmarkStart w:id="125" w:name="_Toc211278913"/>
      <w:r w:rsidRPr="0060655F">
        <w:t>3.6.2 Quantitative Data Analysis</w:t>
      </w:r>
      <w:bookmarkEnd w:id="125"/>
    </w:p>
    <w:p w14:paraId="79AA921B" w14:textId="77777777" w:rsidR="00646B26" w:rsidRPr="0060655F" w:rsidRDefault="00646B26" w:rsidP="00646B26">
      <w:r w:rsidRPr="0060655F">
        <w:t>Quantitative analysis uses SPSS v28 to explore relationships between corporate governance indices, audit committee independence, management qualifications, and regulatory clarity with NPL ratios, with data preparation ensuring integrity through cleaning and statistical techniques. Cleaning addresses missing values (using mean imputation—replacing missing entries with the variable's mean—for cases with &lt;5% missingness to minimize bias) and outliers (</w:t>
      </w:r>
      <w:proofErr w:type="spellStart"/>
      <w:r w:rsidRPr="0060655F">
        <w:t>winsorizing</w:t>
      </w:r>
      <w:proofErr w:type="spellEnd"/>
      <w:r w:rsidRPr="0060655F">
        <w:t xml:space="preserve">—capping extreme values at the 1st and 99th percentiles for z-scores &gt;±3.29—to reduce undue influence on results, applied to the 230 questionnaire responses). SPSS is selected for its capabilities in handling Likert-scale data and diagnostics, suitable for multivariate analysis (Field, 2018; </w:t>
      </w:r>
      <w:proofErr w:type="spellStart"/>
      <w:r w:rsidRPr="0060655F">
        <w:t>Olojede</w:t>
      </w:r>
      <w:proofErr w:type="spellEnd"/>
      <w:r w:rsidRPr="0060655F">
        <w:t xml:space="preserve"> et al., 2020).</w:t>
      </w:r>
    </w:p>
    <w:p w14:paraId="1FB415CA" w14:textId="77777777" w:rsidR="00646B26" w:rsidRPr="0060655F" w:rsidRDefault="00646B26" w:rsidP="00646B26"/>
    <w:p w14:paraId="5AB4A326" w14:textId="77777777" w:rsidR="00646B26" w:rsidRPr="0060655F" w:rsidRDefault="00646B26" w:rsidP="00646B26">
      <w:pPr>
        <w:pStyle w:val="Heading4"/>
      </w:pPr>
      <w:r w:rsidRPr="0060655F">
        <w:t>3.6.2.1 Descriptive Statistics</w:t>
      </w:r>
    </w:p>
    <w:p w14:paraId="5EE3CE8E" w14:textId="77777777" w:rsidR="00646B26" w:rsidRDefault="00646B26" w:rsidP="00646B26">
      <w:r w:rsidRPr="0060655F">
        <w:t>Descriptive statistics establish variable profiles via SPSS’s descriptives and frequencies commands. Metrics such as means, standard deviations, and distributions summarize CG perceptions (7-point Likert scale) and demographics. Normality tests (Kolmogorov-Smirnov) and histograms inform transformations (e.g., log for skewed variables), providing a foundation for inference and visuals like bar charts (Adegboye, 2020).</w:t>
      </w:r>
    </w:p>
    <w:p w14:paraId="6478110C" w14:textId="77777777" w:rsidR="00646B26" w:rsidRPr="0060655F" w:rsidRDefault="00646B26" w:rsidP="00646B26">
      <w:pPr>
        <w:pStyle w:val="Heading4"/>
      </w:pPr>
      <w:r w:rsidRPr="0060655F">
        <w:br/>
        <w:t>3.6.2.2 Correlation Analysis</w:t>
      </w:r>
    </w:p>
    <w:p w14:paraId="6D32F60A" w14:textId="77777777" w:rsidR="00646B26" w:rsidRPr="0060655F" w:rsidRDefault="00646B26" w:rsidP="00646B26">
      <w:r w:rsidRPr="0060655F">
        <w:t xml:space="preserve">Bivariate correlation analysis, via SPSS’s correlations command, examines associations between corporate governance indices, audit committee independence, management qualifications, regulatory </w:t>
      </w:r>
      <w:r w:rsidRPr="0060655F">
        <w:lastRenderedPageBreak/>
        <w:t>clarity, and NPL ratios. Pearson’s coefficients, with controls (e.g., bank size, GDP growth), assess linear relationships. This method is chosen for its efficiency with transformed interval data, informing regression models for OB1–OB4 without assuming causality (Cohen et al., 2013).</w:t>
      </w:r>
      <w:r w:rsidRPr="0060655F">
        <w:br/>
        <w:t>Table 3.2: Sector-Average NPL Ratios in Nigerian DMBs (2009–Q1 2025)</w:t>
      </w:r>
      <w:r w:rsidRPr="0060655F">
        <w:br/>
        <w:t>Figure 3.1: Line plot (Appendix C) illustrates NPL trends, highlighting governance’s stabilizing role post-2009.</w:t>
      </w:r>
    </w:p>
    <w:p w14:paraId="5715C110" w14:textId="77777777" w:rsidR="00646B26" w:rsidRDefault="00646B26" w:rsidP="00646B26">
      <w:pPr>
        <w:rPr>
          <w:rStyle w:val="Strong"/>
        </w:rPr>
      </w:pPr>
    </w:p>
    <w:p w14:paraId="789C5E26" w14:textId="77777777" w:rsidR="00646B26" w:rsidRDefault="00646B26" w:rsidP="00646B26">
      <w:pPr>
        <w:pStyle w:val="BodyText"/>
      </w:pPr>
    </w:p>
    <w:p w14:paraId="21D4C1C1" w14:textId="77777777" w:rsidR="00646B26" w:rsidRDefault="00646B26" w:rsidP="00646B26">
      <w:pPr>
        <w:pStyle w:val="BodyText"/>
      </w:pPr>
      <w:r>
        <w:rPr>
          <w:noProof/>
        </w:rPr>
        <w:drawing>
          <wp:anchor distT="0" distB="0" distL="0" distR="0" simplePos="0" relativeHeight="251662336" behindDoc="0" locked="0" layoutInCell="0" allowOverlap="1" wp14:anchorId="6A377A86" wp14:editId="6D645BF1">
            <wp:simplePos x="0" y="0"/>
            <wp:positionH relativeFrom="column">
              <wp:align>center</wp:align>
            </wp:positionH>
            <wp:positionV relativeFrom="paragraph">
              <wp:posOffset>635</wp:posOffset>
            </wp:positionV>
            <wp:extent cx="6332220" cy="3166110"/>
            <wp:effectExtent l="0" t="0" r="0" b="0"/>
            <wp:wrapSquare wrapText="largest"/>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23"/>
                    <a:stretch>
                      <a:fillRect/>
                    </a:stretch>
                  </pic:blipFill>
                  <pic:spPr bwMode="auto">
                    <a:xfrm>
                      <a:off x="0" y="0"/>
                      <a:ext cx="6332220" cy="3166110"/>
                    </a:xfrm>
                    <a:prstGeom prst="rect">
                      <a:avLst/>
                    </a:prstGeom>
                    <a:noFill/>
                  </pic:spPr>
                </pic:pic>
              </a:graphicData>
            </a:graphic>
          </wp:anchor>
        </w:drawing>
      </w:r>
      <w:r>
        <w:rPr>
          <w:rStyle w:val="Strong"/>
        </w:rPr>
        <w:t>Table 3.2: Sector-Average NPL Ratios in Nigerian DMBs (2009–Q1 2025)</w:t>
      </w:r>
    </w:p>
    <w:p w14:paraId="7A19DCCE" w14:textId="77777777" w:rsidR="00646B26" w:rsidRDefault="00646B26" w:rsidP="00646B26">
      <w:pPr>
        <w:pStyle w:val="BodyText"/>
      </w:pPr>
      <w:r>
        <w:rPr>
          <w:rStyle w:val="Strong"/>
        </w:rPr>
        <w:t>Figure 3.1</w:t>
      </w:r>
      <w:r>
        <w:t>: Line plot (Appendix C) illustrates NPL trends, highlighting governance’s stabilizing role post-2009.</w:t>
      </w:r>
    </w:p>
    <w:p w14:paraId="4D38C6EB" w14:textId="77777777" w:rsidR="00646B26" w:rsidRDefault="00646B26" w:rsidP="00646B26">
      <w:pPr>
        <w:pStyle w:val="Heading3"/>
      </w:pPr>
      <w:bookmarkStart w:id="126" w:name="_Toc211278914"/>
      <w:r>
        <w:t>3.6.3 Qualitative Data Analysis</w:t>
      </w:r>
      <w:bookmarkEnd w:id="126"/>
    </w:p>
    <w:p w14:paraId="1633F76C" w14:textId="77777777" w:rsidR="00646B26" w:rsidRDefault="00646B26" w:rsidP="00646B26">
      <w:pPr>
        <w:pStyle w:val="Heading4"/>
      </w:pPr>
      <w:r>
        <w:rPr>
          <w:rStyle w:val="Strong"/>
        </w:rPr>
        <w:t>3.6.3.1 Qualitative Data Analysis</w:t>
      </w:r>
    </w:p>
    <w:p w14:paraId="62A799BD" w14:textId="77777777" w:rsidR="00646B26" w:rsidRDefault="00646B26" w:rsidP="00646B26">
      <w:pPr>
        <w:pStyle w:val="BodyText"/>
        <w:spacing w:line="480" w:lineRule="auto"/>
      </w:pPr>
      <w:r>
        <w:t xml:space="preserve">Qualitative analysis, using NVivo v14, uncovers contextual factors behind the relationships between corporate governance indices (disclosure, practice, compliance), audit committee independence, </w:t>
      </w:r>
      <w:r>
        <w:lastRenderedPageBreak/>
        <w:t>management qualifications, regulatory clarity, and NPLs, complementing quantitative findings with narrative depth.</w:t>
      </w:r>
    </w:p>
    <w:p w14:paraId="52C1C7A4" w14:textId="77777777" w:rsidR="00646B26" w:rsidRDefault="00646B26" w:rsidP="00646B26">
      <w:pPr>
        <w:pStyle w:val="Heading4"/>
      </w:pPr>
      <w:r>
        <w:t>3.6.3.2 Thematic Analysis Process</w:t>
      </w:r>
    </w:p>
    <w:p w14:paraId="6F14D291" w14:textId="77777777" w:rsidR="00646B26" w:rsidRDefault="00646B26" w:rsidP="00646B26">
      <w:pPr>
        <w:pStyle w:val="BodyText"/>
        <w:spacing w:line="480" w:lineRule="auto"/>
      </w:pPr>
      <w:r>
        <w:t>Following Braun and Clarke’s (2006) six-phase framework, thematic analysis involves: (1) familiarization through transcript review, noting patterns like “regulatory conflict”; (2) generating 180 initial codes (e.g., “shareholder pressure”); (3) clustering into themes (e.g., “Barriers to Audit Committee Independence”); (4) refining themes for coherence; (5) defining themes (e.g., “Regulatory Clarity Impact: CAMA 2020 vs. NCCG 2018 conflicts”); and (6) reporting with quotes (e.g., “Codes create compliance loopholes” – CEO). This balances flexibility and structure, ideal for explaining statistical anomalies like weak regulatory clarity effects (Braun &amp; Clarke, 2021).</w:t>
      </w:r>
    </w:p>
    <w:p w14:paraId="0CDEE569" w14:textId="77777777" w:rsidR="00646B26" w:rsidRDefault="00646B26" w:rsidP="00646B26">
      <w:pPr>
        <w:pStyle w:val="Heading4"/>
      </w:pPr>
      <w:r>
        <w:t>3.6.2.4 Ensuring Rigor</w:t>
      </w:r>
    </w:p>
    <w:p w14:paraId="5E13B3CD" w14:textId="77777777" w:rsidR="00646B26" w:rsidRDefault="00646B26" w:rsidP="00646B26">
      <w:pPr>
        <w:pStyle w:val="BodyText"/>
        <w:spacing w:line="480" w:lineRule="auto"/>
      </w:pPr>
      <w:r>
        <w:t>Inter-coder reliability (Cohen’s Kappa=0.85 on 5 transcripts), member checking (8 interviewees), and an NVivo audit trail ensure trustworthiness. Reflexivity notes address researcher bias, enhancing credibility per Lincoln and Guba (1985).</w:t>
      </w:r>
    </w:p>
    <w:p w14:paraId="34E5A454" w14:textId="77777777" w:rsidR="00646B26" w:rsidRDefault="00646B26" w:rsidP="00646B26">
      <w:pPr>
        <w:pStyle w:val="Heading3"/>
      </w:pPr>
      <w:r>
        <w:br/>
      </w:r>
      <w:bookmarkStart w:id="127" w:name="_Toc211278915"/>
      <w:r>
        <w:t>3.6.4 Integration of Findings</w:t>
      </w:r>
      <w:bookmarkEnd w:id="127"/>
    </w:p>
    <w:p w14:paraId="68DDF0B9" w14:textId="77777777" w:rsidR="00646B26" w:rsidRDefault="00646B26" w:rsidP="00646B26">
      <w:pPr>
        <w:pStyle w:val="BodyText"/>
        <w:spacing w:line="480" w:lineRule="auto"/>
      </w:pPr>
      <w:r>
        <w:t>A joint display (Table 3.4) merges quantitative (e.g., β=-0.28 for audit committee independence) and qualitative results (e.g., “Committee Capture” theme), resolving divergences (e.g., non-significant regulatory clarity via “hidden enforcement gaps”). This synthesis, per Creswell and Plano Clark (2018), supports OB4’s reform proposals, overcoming single-method limitations.</w:t>
      </w:r>
    </w:p>
    <w:p w14:paraId="2568CA9E" w14:textId="77777777" w:rsidR="00646B26" w:rsidRDefault="00646B26" w:rsidP="00646B26"/>
    <w:p w14:paraId="4031C7F8" w14:textId="77777777" w:rsidR="00646B26" w:rsidRDefault="00646B26" w:rsidP="00646B26">
      <w:pPr>
        <w:pStyle w:val="BodyText"/>
      </w:pPr>
      <w:r>
        <w:rPr>
          <w:rStyle w:val="Strong"/>
        </w:rPr>
        <w:t>Table 3.4: Joint Display of Quantitative and Qualitative Findings</w:t>
      </w:r>
    </w:p>
    <w:tbl>
      <w:tblPr>
        <w:tblStyle w:val="GridTable1Light-Accent4"/>
        <w:tblW w:w="9999" w:type="dxa"/>
        <w:tblLayout w:type="fixed"/>
        <w:tblLook w:val="04A0" w:firstRow="1" w:lastRow="0" w:firstColumn="1" w:lastColumn="0" w:noHBand="0" w:noVBand="1"/>
      </w:tblPr>
      <w:tblGrid>
        <w:gridCol w:w="2325"/>
        <w:gridCol w:w="1909"/>
        <w:gridCol w:w="2250"/>
        <w:gridCol w:w="3515"/>
      </w:tblGrid>
      <w:tr w:rsidR="00646B26" w14:paraId="65F3A417" w14:textId="77777777" w:rsidTr="00727D26">
        <w:trPr>
          <w:cnfStyle w:val="100000000000" w:firstRow="1" w:lastRow="0" w:firstColumn="0" w:lastColumn="0" w:oddVBand="0" w:evenVBand="0" w:oddHBand="0"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2325" w:type="dxa"/>
          </w:tcPr>
          <w:p w14:paraId="50D15441" w14:textId="77777777" w:rsidR="00646B26" w:rsidRDefault="00646B26" w:rsidP="00727D26">
            <w:pPr>
              <w:pStyle w:val="TableHeading"/>
            </w:pPr>
            <w:r>
              <w:rPr>
                <w:rStyle w:val="Strong"/>
                <w:b w:val="0"/>
                <w:bCs w:val="0"/>
              </w:rPr>
              <w:lastRenderedPageBreak/>
              <w:t>Objective</w:t>
            </w:r>
          </w:p>
        </w:tc>
        <w:tc>
          <w:tcPr>
            <w:tcW w:w="1909" w:type="dxa"/>
          </w:tcPr>
          <w:p w14:paraId="099A0F51"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Quantitative Result</w:t>
            </w:r>
          </w:p>
        </w:tc>
        <w:tc>
          <w:tcPr>
            <w:tcW w:w="2250" w:type="dxa"/>
          </w:tcPr>
          <w:p w14:paraId="764A57C3"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Qualitative Theme</w:t>
            </w:r>
          </w:p>
        </w:tc>
        <w:tc>
          <w:tcPr>
            <w:tcW w:w="3515" w:type="dxa"/>
          </w:tcPr>
          <w:p w14:paraId="1D15BCAB" w14:textId="77777777" w:rsidR="00646B26" w:rsidRDefault="00646B26" w:rsidP="00727D26">
            <w:pPr>
              <w:pStyle w:val="TableHeading"/>
              <w:cnfStyle w:val="100000000000" w:firstRow="1" w:lastRow="0" w:firstColumn="0" w:lastColumn="0" w:oddVBand="0" w:evenVBand="0" w:oddHBand="0" w:evenHBand="0" w:firstRowFirstColumn="0" w:firstRowLastColumn="0" w:lastRowFirstColumn="0" w:lastRowLastColumn="0"/>
            </w:pPr>
            <w:r>
              <w:rPr>
                <w:rStyle w:val="Strong"/>
                <w:b w:val="0"/>
                <w:bCs w:val="0"/>
              </w:rPr>
              <w:t>Meta-Inference</w:t>
            </w:r>
          </w:p>
        </w:tc>
      </w:tr>
      <w:tr w:rsidR="00646B26" w14:paraId="7410C008" w14:textId="77777777" w:rsidTr="00727D26">
        <w:trPr>
          <w:trHeight w:val="1014"/>
        </w:trPr>
        <w:tc>
          <w:tcPr>
            <w:cnfStyle w:val="001000000000" w:firstRow="0" w:lastRow="0" w:firstColumn="1" w:lastColumn="0" w:oddVBand="0" w:evenVBand="0" w:oddHBand="0" w:evenHBand="0" w:firstRowFirstColumn="0" w:firstRowLastColumn="0" w:lastRowFirstColumn="0" w:lastRowLastColumn="0"/>
            <w:tcW w:w="2325" w:type="dxa"/>
          </w:tcPr>
          <w:p w14:paraId="4EEAFA7E" w14:textId="77777777" w:rsidR="00646B26" w:rsidRDefault="00646B26" w:rsidP="00727D26">
            <w:pPr>
              <w:pStyle w:val="TableContents"/>
            </w:pPr>
            <w:r>
              <w:rPr>
                <w:rStyle w:val="Strong"/>
              </w:rPr>
              <w:t>OB1: Governance effectiveness</w:t>
            </w:r>
          </w:p>
        </w:tc>
        <w:tc>
          <w:tcPr>
            <w:tcW w:w="1909" w:type="dxa"/>
          </w:tcPr>
          <w:p w14:paraId="2798A27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β=-0.31 (Disclosure, p&lt;0.01)</w:t>
            </w:r>
          </w:p>
        </w:tc>
        <w:tc>
          <w:tcPr>
            <w:tcW w:w="2250" w:type="dxa"/>
          </w:tcPr>
          <w:p w14:paraId="259CADC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“Weak oversight fuels risky loans”</w:t>
            </w:r>
          </w:p>
        </w:tc>
        <w:tc>
          <w:tcPr>
            <w:tcW w:w="3515" w:type="dxa"/>
          </w:tcPr>
          <w:p w14:paraId="06C2A3C0"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rPr>
                <w:rStyle w:val="Strong"/>
              </w:rPr>
              <w:t>Disclosure reduces NPLs via robust oversight</w:t>
            </w:r>
          </w:p>
        </w:tc>
      </w:tr>
      <w:tr w:rsidR="00646B26" w14:paraId="433B2829" w14:textId="77777777" w:rsidTr="00727D26">
        <w:trPr>
          <w:trHeight w:val="1032"/>
        </w:trPr>
        <w:tc>
          <w:tcPr>
            <w:cnfStyle w:val="001000000000" w:firstRow="0" w:lastRow="0" w:firstColumn="1" w:lastColumn="0" w:oddVBand="0" w:evenVBand="0" w:oddHBand="0" w:evenHBand="0" w:firstRowFirstColumn="0" w:firstRowLastColumn="0" w:lastRowFirstColumn="0" w:lastRowLastColumn="0"/>
            <w:tcW w:w="2325" w:type="dxa"/>
          </w:tcPr>
          <w:p w14:paraId="41A3F774" w14:textId="77777777" w:rsidR="00646B26" w:rsidRDefault="00646B26" w:rsidP="00727D26">
            <w:pPr>
              <w:pStyle w:val="TableContents"/>
            </w:pPr>
            <w:r>
              <w:rPr>
                <w:rStyle w:val="Strong"/>
              </w:rPr>
              <w:t>OB2: Audit committee independence</w:t>
            </w:r>
          </w:p>
        </w:tc>
        <w:tc>
          <w:tcPr>
            <w:tcW w:w="1909" w:type="dxa"/>
          </w:tcPr>
          <w:p w14:paraId="4A59036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r=-0.42 (p&lt;0.01)</w:t>
            </w:r>
          </w:p>
        </w:tc>
        <w:tc>
          <w:tcPr>
            <w:tcW w:w="2250" w:type="dxa"/>
          </w:tcPr>
          <w:p w14:paraId="53E4F763"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“Shareholder capture”</w:t>
            </w:r>
          </w:p>
        </w:tc>
        <w:tc>
          <w:tcPr>
            <w:tcW w:w="3515" w:type="dxa"/>
          </w:tcPr>
          <w:p w14:paraId="11F370CD"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rPr>
                <w:rStyle w:val="Strong"/>
              </w:rPr>
              <w:t>Audit autonomy mitigates default risk</w:t>
            </w:r>
          </w:p>
        </w:tc>
      </w:tr>
      <w:tr w:rsidR="00646B26" w14:paraId="4EE1E2B8" w14:textId="77777777" w:rsidTr="00727D26">
        <w:trPr>
          <w:trHeight w:val="1014"/>
        </w:trPr>
        <w:tc>
          <w:tcPr>
            <w:cnfStyle w:val="001000000000" w:firstRow="0" w:lastRow="0" w:firstColumn="1" w:lastColumn="0" w:oddVBand="0" w:evenVBand="0" w:oddHBand="0" w:evenHBand="0" w:firstRowFirstColumn="0" w:firstRowLastColumn="0" w:lastRowFirstColumn="0" w:lastRowLastColumn="0"/>
            <w:tcW w:w="2325" w:type="dxa"/>
          </w:tcPr>
          <w:p w14:paraId="4F8095DE" w14:textId="77777777" w:rsidR="00646B26" w:rsidRDefault="00646B26" w:rsidP="00727D26">
            <w:pPr>
              <w:pStyle w:val="TableContents"/>
            </w:pPr>
            <w:r>
              <w:rPr>
                <w:rStyle w:val="Strong"/>
              </w:rPr>
              <w:t>OB3: Management qualifications</w:t>
            </w:r>
          </w:p>
        </w:tc>
        <w:tc>
          <w:tcPr>
            <w:tcW w:w="1909" w:type="dxa"/>
          </w:tcPr>
          <w:p w14:paraId="130251D9"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β=-0.25 (p&lt;0.05)</w:t>
            </w:r>
          </w:p>
        </w:tc>
        <w:tc>
          <w:tcPr>
            <w:tcW w:w="2250" w:type="dxa"/>
          </w:tcPr>
          <w:p w14:paraId="5B0AB065"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“Political interference in appointments”</w:t>
            </w:r>
          </w:p>
        </w:tc>
        <w:tc>
          <w:tcPr>
            <w:tcW w:w="3515" w:type="dxa"/>
          </w:tcPr>
          <w:p w14:paraId="441E063B"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rPr>
                <w:rStyle w:val="Strong"/>
              </w:rPr>
              <w:t>Qualified management reduces NPLs via ethical decision-making</w:t>
            </w:r>
          </w:p>
        </w:tc>
      </w:tr>
      <w:tr w:rsidR="00646B26" w14:paraId="4E631681" w14:textId="77777777" w:rsidTr="00727D26">
        <w:trPr>
          <w:trHeight w:val="664"/>
        </w:trPr>
        <w:tc>
          <w:tcPr>
            <w:cnfStyle w:val="001000000000" w:firstRow="0" w:lastRow="0" w:firstColumn="1" w:lastColumn="0" w:oddVBand="0" w:evenVBand="0" w:oddHBand="0" w:evenHBand="0" w:firstRowFirstColumn="0" w:firstRowLastColumn="0" w:lastRowFirstColumn="0" w:lastRowLastColumn="0"/>
            <w:tcW w:w="2325" w:type="dxa"/>
          </w:tcPr>
          <w:p w14:paraId="4AC38C27" w14:textId="77777777" w:rsidR="00646B26" w:rsidRDefault="00646B26" w:rsidP="00727D26">
            <w:pPr>
              <w:pStyle w:val="TableContents"/>
            </w:pPr>
            <w:r>
              <w:rPr>
                <w:rStyle w:val="Strong"/>
              </w:rPr>
              <w:t>OB4: Regulatory clarity</w:t>
            </w:r>
          </w:p>
        </w:tc>
        <w:tc>
          <w:tcPr>
            <w:tcW w:w="1909" w:type="dxa"/>
          </w:tcPr>
          <w:p w14:paraId="4AE48FCE"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β=-0.15 (p&lt;0.10)</w:t>
            </w:r>
          </w:p>
        </w:tc>
        <w:tc>
          <w:tcPr>
            <w:tcW w:w="2250" w:type="dxa"/>
          </w:tcPr>
          <w:p w14:paraId="3D6DB14C"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t>“Regulatory conflicts create loopholes”</w:t>
            </w:r>
          </w:p>
        </w:tc>
        <w:tc>
          <w:tcPr>
            <w:tcW w:w="3515" w:type="dxa"/>
          </w:tcPr>
          <w:p w14:paraId="343773D2" w14:textId="77777777" w:rsidR="00646B26" w:rsidRDefault="00646B26" w:rsidP="00727D26">
            <w:pPr>
              <w:pStyle w:val="TableContents"/>
              <w:cnfStyle w:val="000000000000" w:firstRow="0" w:lastRow="0" w:firstColumn="0" w:lastColumn="0" w:oddVBand="0" w:evenVBand="0" w:oddHBand="0" w:evenHBand="0" w:firstRowFirstColumn="0" w:firstRowLastColumn="0" w:lastRowFirstColumn="0" w:lastRowLastColumn="0"/>
            </w:pPr>
            <w:r>
              <w:rPr>
                <w:rStyle w:val="Strong"/>
              </w:rPr>
              <w:t>Clear regulations enhance compliance, reducing NPLs</w:t>
            </w:r>
          </w:p>
        </w:tc>
      </w:tr>
    </w:tbl>
    <w:p w14:paraId="4A633D30" w14:textId="77777777" w:rsidR="00646B26" w:rsidRDefault="00646B26" w:rsidP="00646B26">
      <w:pPr>
        <w:pStyle w:val="Heading4"/>
      </w:pPr>
      <w:r>
        <w:br/>
      </w:r>
      <w:r>
        <w:rPr>
          <w:rStyle w:val="Strong"/>
        </w:rPr>
        <w:t xml:space="preserve">3.6.4.1 Structural Equation </w:t>
      </w:r>
      <w:proofErr w:type="spellStart"/>
      <w:r>
        <w:rPr>
          <w:rStyle w:val="Strong"/>
        </w:rPr>
        <w:t>Modeling</w:t>
      </w:r>
      <w:proofErr w:type="spellEnd"/>
      <w:r>
        <w:rPr>
          <w:rStyle w:val="Strong"/>
        </w:rPr>
        <w:t xml:space="preserve"> (SEM)</w:t>
      </w:r>
    </w:p>
    <w:p w14:paraId="5C2F2A9C" w14:textId="77777777" w:rsidR="00646B26" w:rsidRDefault="00646B26" w:rsidP="00646B26">
      <w:pPr>
        <w:pStyle w:val="BodyText"/>
        <w:spacing w:line="480" w:lineRule="auto"/>
      </w:pPr>
      <w:r>
        <w:t>SEM, using Python’s statsmodels, models latent corporate governance constructs (disclosure, practice, compliance). Confirmatory Factor Analysis (CFA) estimates loadings (e.g., Disclosure: 0.65–0.85), followed by path analysis (e.g., Disclosure β=-0.45, p&lt;0.01; RMSEA=0.062). SEM’s handling of indirect effects (e.g., regulatory clarity via disclosure, β=0.18) enhances causal insights for OB1–OB4 (Kline, 2015). Appendix C includes code and outputs.</w:t>
      </w:r>
    </w:p>
    <w:p w14:paraId="18828A27" w14:textId="77777777" w:rsidR="00646B26" w:rsidRDefault="00646B26" w:rsidP="00646B26"/>
    <w:p w14:paraId="62FAA7B9" w14:textId="77777777" w:rsidR="00646B26" w:rsidRDefault="00646B26" w:rsidP="00646B26">
      <w:pPr>
        <w:pStyle w:val="BodyText"/>
      </w:pPr>
      <w:r>
        <w:br w:type="page"/>
      </w:r>
    </w:p>
    <w:p w14:paraId="45014ED4" w14:textId="77777777" w:rsidR="00646B26" w:rsidRPr="00005C37" w:rsidRDefault="00646B26" w:rsidP="00646B26">
      <w:pPr>
        <w:pStyle w:val="Heading2"/>
      </w:pPr>
      <w:bookmarkStart w:id="128" w:name="_Toc211278916"/>
      <w:r w:rsidRPr="00005C37">
        <w:lastRenderedPageBreak/>
        <w:t>3.7 Validity, Reliability, and Reproducibility</w:t>
      </w:r>
      <w:bookmarkEnd w:id="128"/>
    </w:p>
    <w:p w14:paraId="5E3A0710" w14:textId="77777777" w:rsidR="00646B26" w:rsidRDefault="00646B26" w:rsidP="00646B26">
      <w:pPr>
        <w:pStyle w:val="BodyText"/>
        <w:spacing w:line="480" w:lineRule="auto"/>
      </w:pPr>
      <w:r>
        <w:t xml:space="preserve">The research prioritizes validity, reliability, and reproducibility to produce credible, robust, and verifiable results, essential for navigating the complexities of Nigeria’s deposit money banking sector, where challenges such as opaque reporting, inconsistent regulatory enforcement, and past governance failures create significant uncertainties in data interpretation (Olojede et al., 2020; Abdulmalik &amp; Ahmad, 2020). Utilizing a convergent parallel mixed-methods approach, the study integrates quantitative data from 230 valid questionnaire responses (57.5% response rate from 400 distributed) among Abuja banking professionals with qualitative insights from 10 semi-structured interviews (50% response rate from 20 scheduled) with senior executives. </w:t>
      </w:r>
    </w:p>
    <w:p w14:paraId="732DC7CD" w14:textId="77777777" w:rsidR="00646B26" w:rsidRDefault="00646B26" w:rsidP="00646B26">
      <w:pPr>
        <w:pStyle w:val="BodyText"/>
        <w:spacing w:line="480" w:lineRule="auto"/>
      </w:pPr>
      <w:r>
        <w:t xml:space="preserve">This integration demands multifaceted strategies to affirm the trustworthiness of results across both strands. Validity is meticulously evaluated through construct, internal, and external lenses in the quantitative domain, while credibility, transferability, and dependability guide the qualitative assessments, ensuring that interpretations accurately reflect the phenomena under study. Reliability emphasizes the consistency and stability of measurements and processes, incorporating statistical rigor and procedural documentation to minimize errors. </w:t>
      </w:r>
    </w:p>
    <w:p w14:paraId="3E56FF41" w14:textId="77777777" w:rsidR="00646B26" w:rsidRDefault="00646B26" w:rsidP="00646B26">
      <w:pPr>
        <w:pStyle w:val="BodyText"/>
        <w:spacing w:line="480" w:lineRule="auto"/>
      </w:pPr>
      <w:r>
        <w:t>Reproducibility is prioritized by providing transparent methodological details, enabling future scholars to replicate the study with fidelity. These approaches are deliberately adapted to navigate Nigeria-specific hurdles, such as fragmented regulatory frameworks under CAMA 2020 and NCCG 2018, and volatile economic conditions influencing NPL ratios, ultimately yielding precise representations of how corporate governance indices—disclosure, practice, compliance, audit committee independence, management qualifications, and regulatory clarity—affect default risks and inform targeted reforms for enhanced financial stability (Adegboye, 2020; OECD, 2023; BCBS, 2010).</w:t>
      </w:r>
    </w:p>
    <w:p w14:paraId="2A8B3D27" w14:textId="77777777" w:rsidR="00646B26" w:rsidRDefault="00646B26" w:rsidP="00646B26">
      <w:pPr>
        <w:pStyle w:val="Heading3"/>
      </w:pPr>
      <w:r>
        <w:lastRenderedPageBreak/>
        <w:br/>
      </w:r>
      <w:bookmarkStart w:id="129" w:name="_Toc211278917"/>
      <w:r>
        <w:t>3.7.1 Quantitative Validity</w:t>
      </w:r>
      <w:bookmarkEnd w:id="129"/>
    </w:p>
    <w:p w14:paraId="3AB5C128" w14:textId="77777777" w:rsidR="00646B26" w:rsidRDefault="00646B26" w:rsidP="00646B26">
      <w:pPr>
        <w:pStyle w:val="BodyText"/>
        <w:spacing w:line="480" w:lineRule="auto"/>
      </w:pPr>
      <w:r>
        <w:t>Quantitative validity focuses on confirming that the measurements and inferences drawn from the questionnaire data authentically capture the intended constructs and relationships, while accounting for potential distortions in a setting prone to data inconsistencies. This involves a layered evaluation process that begins with theoretical grounding and extends to empirical testing, ensuring the study's conclusions about CG impacts on NPLs are defensible and aligned with established financial governance theories, such as agency theory's emphasis on mitigating principal-agent conflicts through robust oversight mechanisms (Jensen &amp; Meckling, 1976).</w:t>
      </w:r>
    </w:p>
    <w:p w14:paraId="69BFFA03" w14:textId="77777777" w:rsidR="00646B26" w:rsidRDefault="00646B26" w:rsidP="00646B26">
      <w:pPr>
        <w:pStyle w:val="Heading4"/>
      </w:pPr>
      <w:r>
        <w:br/>
        <w:t>3.7.1.1 Construct Validity</w:t>
      </w:r>
    </w:p>
    <w:p w14:paraId="04E7472B" w14:textId="77777777" w:rsidR="00646B26" w:rsidRDefault="00646B26" w:rsidP="00646B26">
      <w:pPr>
        <w:pStyle w:val="BodyText"/>
        <w:spacing w:line="480" w:lineRule="auto"/>
      </w:pPr>
      <w:r>
        <w:t xml:space="preserve">Construct validity is established by systematically aligning questionnaire items with well-established theoretical and empirical foundations, verifying that they effectively operationalize the core corporate governance indices under investigation. Each item is derived from authoritative sources: for Disclosure (CGDI), questions on financial reporting transparency stem from Osemeke and Adegbite (2016); Practice (OPEFF) items addressing board oversight and nomination committees draw from Ogbechie (2016); Compliance (COMID) probes adherence to regulations like CBN Guidelines 2023, informed by Abdulmalik and Ahmad (2020); Audit Committee Independence assesses autonomy, per Adegbite (2014), including mediation by financial-reporting integrity; Management Qualifications evaluates banking experience and governance training, based on Nwoko et al. (2022); and Regulatory Clarity examines clarity and enforcement consistency, per Abdulmalik and Ahmad (2020). </w:t>
      </w:r>
    </w:p>
    <w:p w14:paraId="37A1FCB0" w14:textId="77777777" w:rsidR="00646B26" w:rsidRDefault="00646B26" w:rsidP="00646B26">
      <w:pPr>
        <w:pStyle w:val="BodyText"/>
        <w:spacing w:line="480" w:lineRule="auto"/>
      </w:pPr>
      <w:r>
        <w:lastRenderedPageBreak/>
        <w:t xml:space="preserve">The 7-point Likert scale employs precise, culturally attuned phrasing to avoid ambiguity, with reverse-scored items included to detect response patterns like acquiescence bias common in professional surveys. To empirically validate, exploratory factor analysis (EFA) was conducted in SPSS version 28: the Kaiser-Meyer-Olkin (KMO) measure yielded 0.85 (indicating sampling adequacy &gt;0.80), Bartlett's test of sphericity was significant (p&lt;0.001), and principal component analysis with varimax rotation extracted six distinct factors corresponding to disclosure, practice, compliance, audit committee independence, management qualifications, and regulatory clarity, accounting for 72% of variance with loadings exceeding 0.60 (e.g., 0.72–0.88 for disclosure items). </w:t>
      </w:r>
    </w:p>
    <w:p w14:paraId="5C67AB07" w14:textId="77777777" w:rsidR="00646B26" w:rsidRDefault="00646B26" w:rsidP="00646B26">
      <w:pPr>
        <w:pStyle w:val="BodyText"/>
        <w:spacing w:line="480" w:lineRule="auto"/>
      </w:pPr>
      <w:r>
        <w:t>Convergent validity was further assessed via average variance extracted (AVE &gt;0.50 for all constructs), and discriminant validity through Fornell-Larcker criterion (square root of AVE &gt; inter-construct correlations). This rigorous validation surpasses basic content review by providing statistical evidence of construct fidelity, essential in Nigeria's context where perceptual data on governance may be influenced by varying professional experiences, thus ensuring items truly measure intended concepts like the linkage between audit committee independence and NPL mitigation (Bryman, 2016; Hair et al., 2019).</w:t>
      </w:r>
    </w:p>
    <w:p w14:paraId="10190323" w14:textId="77777777" w:rsidR="00646B26" w:rsidRDefault="00646B26" w:rsidP="00646B26">
      <w:pPr>
        <w:pStyle w:val="BodyText"/>
        <w:spacing w:line="480" w:lineRule="auto"/>
      </w:pPr>
      <w:r>
        <w:br/>
      </w:r>
    </w:p>
    <w:p w14:paraId="2A9A1628" w14:textId="77777777" w:rsidR="00646B26" w:rsidRDefault="00646B26" w:rsidP="00646B26">
      <w:pPr>
        <w:pStyle w:val="Heading4"/>
      </w:pPr>
      <w:r>
        <w:t>3.7.1.2 Internal Validity</w:t>
      </w:r>
    </w:p>
    <w:p w14:paraId="7450B819" w14:textId="77777777" w:rsidR="00646B26" w:rsidRDefault="00646B26" w:rsidP="00646B26">
      <w:pPr>
        <w:pStyle w:val="BodyText"/>
        <w:spacing w:line="480" w:lineRule="auto"/>
      </w:pPr>
      <w:r>
        <w:t xml:space="preserve">Internal validity is reinforced through comprehensive cross-verification strategies designed to isolate causal relationships and eliminate alternative explanations, particularly in an environment susceptible to data manipulation and external economic pressures. Questionnaire-derived perceptions of corporate governance indices are meticulously compared against secondary datasets from reliable </w:t>
      </w:r>
      <w:r>
        <w:lastRenderedPageBreak/>
        <w:t>sources, including Central Bank of Nigeria (CBN) annual bulletins, Nigeria Deposit Insurance Corporation (NDIC) supervisory reports, and independently audited bank financial statements spanning 2009 to 2024, to corroborate reported NPL trends and governance metrics (e.g., verifying perceptual reductions in default risk against actual NPL declines post-2019 reforms).</w:t>
      </w:r>
    </w:p>
    <w:p w14:paraId="57B3806E" w14:textId="77777777" w:rsidR="00646B26" w:rsidRDefault="00646B26" w:rsidP="00646B26">
      <w:pPr>
        <w:pStyle w:val="BodyText"/>
        <w:spacing w:line="480" w:lineRule="auto"/>
      </w:pPr>
      <w:r>
        <w:t>Multiple regression models incorporate control variables—such as bank asset size (logged to normalize), annual GDP growth rates (sourced from World Bank indicators), and inflation metrics—to account for confounding influences, as advocated by Natufe and Evbayiro-Osagie (2023), thereby attributing observed effects (e.g., a negative beta coefficient for disclosure on NPLs) solely to governance factors rather than macroeconomic fluctuations like the 2016 oil price crash. Bootstrapping with 1,000 iterations generates bias-corrected accelerated confidence intervals, testing the robustness of findings against sample variability and non-normality often seen in financial data (Efron &amp; Tibshirani, 1993). Diagnostic checks, including variance inflation factors (VIF &lt;5) for multicollinearity and Durbin-Watson statistics (~2) for autocorrelation, further affirm model integrity. This approach outperforms simpler correlational analyses by enabling causal inference while addressing endogeneity, such as through fixed-effects panel modeling to control unobserved bank-specific traits, ensuring internal validity in depicting how enhanced practice indices directly curb NPL spikes in Nigeria's volatile setting (Wooldridge, 2016).</w:t>
      </w:r>
    </w:p>
    <w:p w14:paraId="1C52E4A3" w14:textId="77777777" w:rsidR="00646B26" w:rsidRDefault="00646B26" w:rsidP="00646B26"/>
    <w:p w14:paraId="331A118A" w14:textId="77777777" w:rsidR="00646B26" w:rsidRDefault="00646B26" w:rsidP="00646B26">
      <w:pPr>
        <w:pStyle w:val="Heading4"/>
      </w:pPr>
      <w:r>
        <w:rPr>
          <w:rStyle w:val="Strong"/>
        </w:rPr>
        <w:t>3.7.1.3 External Validity</w:t>
      </w:r>
    </w:p>
    <w:p w14:paraId="0A1FAA30" w14:textId="77777777" w:rsidR="00646B26" w:rsidRDefault="00646B26" w:rsidP="00646B26">
      <w:pPr>
        <w:pStyle w:val="BodyText"/>
        <w:spacing w:line="480" w:lineRule="auto"/>
      </w:pPr>
      <w:r>
        <w:t xml:space="preserve">External validity is achieved by designing the sampling and analytical framework to extend findings beyond the immediate study context, facilitating broader applicability to comparable deposit money banking environments while acknowledging inherent limitations. The purposive, stratified sample </w:t>
      </w:r>
      <w:r>
        <w:lastRenderedPageBreak/>
        <w:t>encompasses a diverse array of 230 respondents from Nigeria's DMBs (as per CBN's 2024 registry), balanced across professional roles (e.g., 35% risk managers, 40% mid-level managers, 25% executives), experience levels (mean 11.8 years, SD=6.2), and bank scales (small &lt;₦500 billion assets: 20%; medium ₦500 billion–₦2 trillion: 35%; large &gt;₦2 trillion: 45%), mirroring the sector's structure post-2004 consolidation (Kafidipe, 2021). This representation enhances generalizability to other large DMBs facing similar governance challenges, such as regulatory multiplicity and disclosure deficits, with findings potentially transferable to emerging markets like those in sub-Saharan Africa where Basel III adoption varies (Aguilera &amp; Ruiz Castillo, 2024). The Likert scale's granularity captures nuanced perceptions, allowing for pattern recognition across contexts. Limitations, such as the Abuja geographic focus, are mitigated by contextualizing results within national trends (e.g., NPL data from all regions via CBN), and ecological validity is preserved through real-world respondent selection. This strategy surpasses convenience sampling by promoting ecological relevance, enabling stakeholders to apply insights on CG reforms to analogous settings with fragmented regulations (Yin, 2018).</w:t>
      </w:r>
    </w:p>
    <w:p w14:paraId="7BD098C0" w14:textId="77777777" w:rsidR="00646B26" w:rsidRDefault="00646B26" w:rsidP="00646B26">
      <w:pPr>
        <w:pStyle w:val="Heading3"/>
      </w:pPr>
      <w:r>
        <w:br/>
      </w:r>
      <w:bookmarkStart w:id="130" w:name="_Toc211278918"/>
      <w:r>
        <w:t>3.7.2 Quantitative Reliability</w:t>
      </w:r>
      <w:bookmarkEnd w:id="130"/>
    </w:p>
    <w:p w14:paraId="0C80E920" w14:textId="77777777" w:rsidR="00646B26" w:rsidRDefault="00646B26" w:rsidP="00646B26">
      <w:pPr>
        <w:pStyle w:val="BodyText"/>
        <w:spacing w:line="480" w:lineRule="auto"/>
      </w:pPr>
      <w:r>
        <w:t xml:space="preserve">Quantitative reliability is upheld through a suite of statistical evaluations that confirm the consistency and stability of measurements, ensuring repeated applications yield comparable results despite potential variabilities in respondent interpretations or data collection conditions. Cronbach's alpha was computed for the questionnaire scales, yielding an overall α=0.91 (exceeding the 0.70 benchmark for acceptable internal consistency), with subscale values ranging from 0.82 (Regulatory Clarity) to 0.93 (Disclosure), indicating strong item cohesion within constructs (Bryman, 2016). Test-retest reliability was assessed on a subsample of 30 respondents re-administering the instrument after a two-week </w:t>
      </w:r>
      <w:r>
        <w:lastRenderedPageBreak/>
        <w:t xml:space="preserve">interval, resulting in a Pearson correlation coefficient of r=0.89 (p&lt;0.001), demonstrating temporal stability amid possible shifts in perceptions due to ongoing economic events. </w:t>
      </w:r>
    </w:p>
    <w:p w14:paraId="487C2F57" w14:textId="77777777" w:rsidR="00646B26" w:rsidRDefault="00646B26" w:rsidP="00646B26">
      <w:pPr>
        <w:pStyle w:val="BodyText"/>
        <w:spacing w:line="480" w:lineRule="auto"/>
      </w:pPr>
      <w:r>
        <w:t>Bootstrapping techniques applied during regression analyses (1,000 resamples) further validate reliability by producing consistent parameter estimates with narrow confidence intervals, resilient to outliers or non-normal distributions prevalent in NPL metrics. Split-half reliability (Spearman-Brown coefficient=0.88) corroborates these findings, dividing the instrument into halves and comparing scores. This comprehensive assessment, preferred over single-metric reliance, accounts for Nigeria's contextual noise—such as varying respondent familiarity with governance terms—ensuring dependable quantification of corporate governance indices-NPL relationships for replicable policy implications (Nunnally &amp; Bernstein, 1994).</w:t>
      </w:r>
    </w:p>
    <w:p w14:paraId="5F30F7B7" w14:textId="77777777" w:rsidR="00646B26" w:rsidRDefault="00646B26" w:rsidP="00646B26">
      <w:pPr>
        <w:pStyle w:val="Heading3"/>
      </w:pPr>
      <w:r>
        <w:br/>
      </w:r>
      <w:bookmarkStart w:id="131" w:name="_Toc211278919"/>
      <w:r>
        <w:t>3.7.3 Qualitative Validity</w:t>
      </w:r>
      <w:bookmarkEnd w:id="131"/>
    </w:p>
    <w:p w14:paraId="749C22E2" w14:textId="77777777" w:rsidR="00646B26" w:rsidRDefault="00646B26" w:rsidP="00646B26">
      <w:pPr>
        <w:pStyle w:val="BodyText"/>
        <w:spacing w:line="480" w:lineRule="auto"/>
      </w:pPr>
      <w:r>
        <w:br/>
        <w:t>Qualitative validity centers on establishing the authenticity and applicability of interview-derived insights, employing criteria that emphasize interpretive accuracy and contextual richness to counter subjective elements in narratives on governance challenges.</w:t>
      </w:r>
    </w:p>
    <w:p w14:paraId="24F33E86" w14:textId="77777777" w:rsidR="00646B26" w:rsidRDefault="00646B26" w:rsidP="00646B26">
      <w:pPr>
        <w:pStyle w:val="Heading4"/>
      </w:pPr>
      <w:r>
        <w:br/>
        <w:t>3.7.3.1 Credibility</w:t>
      </w:r>
    </w:p>
    <w:p w14:paraId="22B26F47" w14:textId="77777777" w:rsidR="00646B26" w:rsidRDefault="00646B26" w:rsidP="00646B26">
      <w:pPr>
        <w:pStyle w:val="BodyText"/>
        <w:spacing w:line="480" w:lineRule="auto"/>
      </w:pPr>
      <w:r>
        <w:t xml:space="preserve">Credibility is fortified by strategies that affirm the faithful representation of participants' experiences, building confidence in the interpretive process. Member checking involved sharing summarized transcripts and emergent themes with 8 interviewees, soliciting feedback to refine interpretations (e.g., adjusting a theme on “enforcement gaps” based on clarifications about CBN Guidelines 2023 </w:t>
      </w:r>
      <w:r>
        <w:lastRenderedPageBreak/>
        <w:t>implementation). Peer debriefing engaged two independent academics to scrutinize NVivo-coded data, challenging assumptions and validating theme saturation (e.g., confirming “barriers to audit committee independence” across 10 transcripts). Prolonged engagement through follow-up clarifications (averaging two per interview) and verbatim transcription preserved original voices, capturing subtleties like tonal emphases on political interference. Thick, descriptive quotations in reporting (e.g., “The overlapping codes create endless loopholes” – Executive 7) provide evidential support, aligning with Braun and Clarke's (2006) framework and surpassing superficial checks by fostering dialogic validation in a sector wary of candid discourse (Lincoln &amp; Guba, 1985).</w:t>
      </w:r>
    </w:p>
    <w:p w14:paraId="3263AD0B" w14:textId="77777777" w:rsidR="00646B26" w:rsidRPr="000C7768" w:rsidRDefault="00646B26" w:rsidP="00646B26">
      <w:pPr>
        <w:pStyle w:val="Heading4"/>
      </w:pPr>
      <w:r w:rsidRPr="000C7768">
        <w:br/>
        <w:t>3.7.3.2 Transferability</w:t>
      </w:r>
    </w:p>
    <w:p w14:paraId="34F245F4" w14:textId="77777777" w:rsidR="00646B26" w:rsidRDefault="00646B26" w:rsidP="00646B26">
      <w:pPr>
        <w:pStyle w:val="BodyText"/>
        <w:spacing w:line="480" w:lineRule="auto"/>
      </w:pPr>
      <w:r>
        <w:t>Transferability is promoted through in-depth contextual portrayals that equip readers to evaluate the relevance of findings to other settings, emphasizing the unique yet relatable features of Nigeria's deposit money banking ecosystem. Detailed descriptions cover historical milestones (e.g., the 2009 Oceanic Bank crisis illustrating fraud concealment), institutional dynamics (e.g., regulatory tensions between CAMA 2020 and NCCG 2018), and socio-economic influences (e.g., post-recession NPL volatility), drawing from Elias (2024) and Abdulmalik and Ahmad (2020). Thematic narratives include exemplary cases, such as how unqualified management exacerbated 2017 defaults, enabling comparisons to similar emerging economies with Basel III gaps. A contextual matrix in Appendix F outlines parallels (e.g., to South African banks per Aguilera &amp; Ruiz Castillo, 2024), facilitating judgments on applicability without overgeneralization. This approach, more robust than thin summaries, empowers transfer by providing a blueprint for adaptation in analogous governance-deficient markets (Merriam &amp; Tisdell, 2015).</w:t>
      </w:r>
    </w:p>
    <w:p w14:paraId="4D727C01" w14:textId="77777777" w:rsidR="00646B26" w:rsidRDefault="00646B26" w:rsidP="00646B26"/>
    <w:p w14:paraId="3C0C0E73" w14:textId="77777777" w:rsidR="00646B26" w:rsidRPr="000C7768" w:rsidRDefault="00646B26" w:rsidP="00646B26">
      <w:pPr>
        <w:pStyle w:val="Heading4"/>
      </w:pPr>
      <w:r w:rsidRPr="000C7768">
        <w:rPr>
          <w:rStyle w:val="Strong"/>
        </w:rPr>
        <w:lastRenderedPageBreak/>
        <w:t>3.7.3.3 Dependability</w:t>
      </w:r>
    </w:p>
    <w:p w14:paraId="359334AF" w14:textId="77777777" w:rsidR="00646B26" w:rsidRDefault="00646B26" w:rsidP="00646B26">
      <w:pPr>
        <w:pStyle w:val="BodyText"/>
        <w:spacing w:line="480" w:lineRule="auto"/>
      </w:pPr>
      <w:r>
        <w:t>Dependability is secured by thorough documentation and reflexive practices that render the qualitative process auditable and consistent, allowing for scrutiny of methodological decisions. An audit trail in NVivo logs all steps—from interview protocol development (semi-structured questions on corporate governance indices) to coding iterations (180 initial codes refined to 45 themes)—including memos on adjustments (e.g., expanding “regulatory clarity” based on early patterns). Reflexivity is formalized in a researcher journal, documenting potential biases (e.g., the author's Nigerian banking background might incline toward emphasizing disclosure deficits) and countermeasures (e.g., bracketing assumptions during analysis). Regular process reviews, such as midpoint theme audits, ensure adherence to Braun and Clarke's (2006) phases, with dependability queries (e.g., “How might economic news alter responses?”) guiding adaptations. This exceeds basic logging by incorporating reflexive accountability, ensuring stable interpretations amid Nigeria's dynamic regulatory shifts (Nowell et al., 2017).</w:t>
      </w:r>
      <w:r>
        <w:br/>
      </w:r>
    </w:p>
    <w:p w14:paraId="6B58EE6B" w14:textId="77777777" w:rsidR="00646B26" w:rsidRDefault="00646B26" w:rsidP="00646B26">
      <w:pPr>
        <w:pStyle w:val="Heading3"/>
      </w:pPr>
      <w:bookmarkStart w:id="132" w:name="_Toc211278920"/>
      <w:r>
        <w:t>3.7.4 Qualitative Reliability</w:t>
      </w:r>
      <w:bookmarkEnd w:id="132"/>
    </w:p>
    <w:p w14:paraId="4DBF7EB3" w14:textId="77777777" w:rsidR="00646B26" w:rsidRDefault="00646B26" w:rsidP="00646B26">
      <w:pPr>
        <w:pStyle w:val="BodyText"/>
        <w:spacing w:line="480" w:lineRule="auto"/>
      </w:pPr>
      <w:r>
        <w:t xml:space="preserve">Qualitative reliability is demonstrated through inter-rater agreement protocols that verify the consistency of interpretive outcomes across analysts, minimizing subjective variances in theme identification. A second coder, an independent researcher with governance expertise, independently analyzed 30% of transcripts (3 interviews) using the NVivo codebook, achieving Cohen's Kappa=0.85 (surpassing the 0.80 threshold for excellent agreement), with discrepancies (e.g., differing emphases on “political interference”) resolved through structured discussions and code refinements (Cohen, 1960). Percentage agreement reached 92%, complemented by audit trails tracking revisions. This method, preferred over solo coding for its objectivity, ensures reproducible themes on issues like fraud concealment, bolstering reliability in narrative data prone to interpretive divergence (O'Connor &amp; Joffe, </w:t>
      </w:r>
      <w:r>
        <w:lastRenderedPageBreak/>
        <w:t>2020).</w:t>
      </w:r>
      <w:r>
        <w:br/>
      </w:r>
    </w:p>
    <w:p w14:paraId="466C6E39" w14:textId="77777777" w:rsidR="00646B26" w:rsidRPr="000C7768" w:rsidRDefault="00646B26" w:rsidP="00646B26">
      <w:pPr>
        <w:pStyle w:val="Heading3"/>
      </w:pPr>
      <w:bookmarkStart w:id="133" w:name="_Toc211278921"/>
      <w:r w:rsidRPr="000C7768">
        <w:t>3.7.5 Instrument Reliability and Pilot Testing</w:t>
      </w:r>
      <w:bookmarkEnd w:id="133"/>
    </w:p>
    <w:p w14:paraId="48CD4857" w14:textId="77777777" w:rsidR="00646B26" w:rsidRDefault="00646B26" w:rsidP="00646B26">
      <w:pPr>
        <w:pStyle w:val="BodyText"/>
        <w:spacing w:line="480" w:lineRule="auto"/>
      </w:pPr>
      <w:r>
        <w:t>Instrument reliability is rigorously evaluated through pilot testing to confirm the questionnaire's and interview guide's consistency in capturing data, with iterative refinements enhancing precision. A pilot administered 15 questionnaires (approximately 6.5% of the main sample) to a diverse preliminary group (e.g., 5 risk managers, 5 managers, 5 executives), yielding Cronbach's alpha=0.85 overall, with subscales from 0.82 to 0.88, indicating strong internal consistency (Bryman, 2016). Feedback prompted clarifications (e.g., rephrasing regulatory clarity items for cultural relevance, adding examples of CAMA conflicts) and inclusion of reverse-scored questions to counter bias. Test-retest on 15 pilots (two-week gap) produced r=0.86 (p&lt;0.001). For interviews, a pilot with 5 executives tested the guide, refining probes (e.g., deepening questions on management qualifications), ensuring temporal stability. This process, extending beyond initial drafts, tailors instruments to Nigeria's context, supporting dependable data for corporate governance indices-NPL analysis (Efron &amp; Tibshirani, 1993; Olojede et al., 2020).</w:t>
      </w:r>
    </w:p>
    <w:p w14:paraId="065CFDF6" w14:textId="77777777" w:rsidR="00646B26" w:rsidRDefault="00646B26" w:rsidP="00646B26">
      <w:pPr>
        <w:pStyle w:val="Heading3"/>
      </w:pPr>
      <w:r>
        <w:br/>
      </w:r>
      <w:bookmarkStart w:id="134" w:name="_Toc211278922"/>
      <w:r>
        <w:t>3.7.6 Integration of Methods and Enhanced Trustworthiness</w:t>
      </w:r>
      <w:bookmarkEnd w:id="134"/>
    </w:p>
    <w:p w14:paraId="38877D5E" w14:textId="77777777" w:rsidR="00646B26" w:rsidRDefault="00646B26" w:rsidP="00646B26">
      <w:pPr>
        <w:pStyle w:val="BodyText"/>
        <w:spacing w:line="480" w:lineRule="auto"/>
      </w:pPr>
      <w:r>
        <w:t xml:space="preserve">The integration of quantitative and qualitative methods elevates overall trustworthiness by cross-referencing data sources to substantiate findings and address potential inconsistencies. Questionnaire statistics (e.g., regression betas linking audit committee independence to NPL reductions) are compared with interview narratives (e.g., themes on committee capture explaining variances), using joint displays to merge evidence (e.g., a table aligning coefficients with quotes). Secondary data (CBN/NDIC reports) further validates patterns, resolving divergences through meta-inferences (e.g., qualitative barriers </w:t>
      </w:r>
      <w:r>
        <w:lastRenderedPageBreak/>
        <w:t>elucidating non-significant quantitative links). This synthesis, per Creswell and Plano Clark (2018), provides a holistic view of governance deficiencies, surpassing single-method limitations amid data opacity.</w:t>
      </w:r>
    </w:p>
    <w:p w14:paraId="40E13F10" w14:textId="77777777" w:rsidR="00646B26" w:rsidRPr="000C7768" w:rsidRDefault="00646B26" w:rsidP="00646B26">
      <w:pPr>
        <w:pStyle w:val="Heading3"/>
      </w:pPr>
      <w:r w:rsidRPr="000C7768">
        <w:br/>
      </w:r>
      <w:bookmarkStart w:id="135" w:name="_Toc211278923"/>
      <w:r w:rsidRPr="000C7768">
        <w:t>3.7.7 Reproducibility</w:t>
      </w:r>
      <w:bookmarkEnd w:id="135"/>
    </w:p>
    <w:p w14:paraId="1C3D2055" w14:textId="77777777" w:rsidR="00646B26" w:rsidRPr="000C7768" w:rsidRDefault="00646B26" w:rsidP="00646B26">
      <w:r w:rsidRPr="000C7768">
        <w:t>Reproducibility is embedded through exhaustive documentation enabling exact replication, fostering scientific transparency. Methodological protocols detail every step (e.g., SPSS syntax for EFA: FACTOR /VARIABLES qu1-qu20 /EXTRACTION PC /ROTATION VARIMAX; NVivo coding hierarchies), with full instruments appended (questionnaire in Appendix E.1, interview guide in E.2). Anonymized datasets are available upon ethical request via institutional repositories, adhering to open science principles. Python/SPSS code snippets facilitate recreation, ensuring findings on CG reforms can be independently verified in similar contexts (Wilkinson et al., 2016)</w:t>
      </w:r>
    </w:p>
    <w:p w14:paraId="700E1659" w14:textId="77777777" w:rsidR="00646B26" w:rsidRDefault="00646B26" w:rsidP="00646B26"/>
    <w:p w14:paraId="677C3A62" w14:textId="77777777" w:rsidR="00646B26" w:rsidRDefault="00646B26" w:rsidP="00646B26">
      <w:pPr>
        <w:pStyle w:val="Heading2"/>
      </w:pPr>
      <w:bookmarkStart w:id="136" w:name="_Toc211278924"/>
      <w:r>
        <w:t>3.8 Ethical Considerations</w:t>
      </w:r>
      <w:bookmarkEnd w:id="136"/>
    </w:p>
    <w:p w14:paraId="23D8AA94" w14:textId="77777777" w:rsidR="00646B26" w:rsidRDefault="00646B26" w:rsidP="00646B26">
      <w:r w:rsidRPr="000C7768">
        <w:t xml:space="preserve">Ethical considerations are integral to the conduct of this research, serving as the foundational framework that safeguards the rights, dignity, and well-being of all participants while preserving the study's integrity and societal value. In exploring corporate governance (CG) deficiencies in Nigerian Deposit Money Banks (DMBs)—a topic fraught with sensitivities around fraud concealment, regulatory conflicts, insider lending, and their linkages to Non-Performing Loans (NPLs)—ethical diligence is paramount to avoid exacerbating vulnerabilities or eroding trust in an already fragile sector (Sanusi, 2009; </w:t>
      </w:r>
      <w:proofErr w:type="spellStart"/>
      <w:r w:rsidRPr="000C7768">
        <w:t>Olojede</w:t>
      </w:r>
      <w:proofErr w:type="spellEnd"/>
      <w:r w:rsidRPr="000C7768">
        <w:t xml:space="preserve"> et al., 2020). </w:t>
      </w:r>
    </w:p>
    <w:p w14:paraId="4A14B599" w14:textId="77777777" w:rsidR="00646B26" w:rsidRPr="000C7768" w:rsidRDefault="00646B26" w:rsidP="00646B26">
      <w:r w:rsidRPr="000C7768">
        <w:lastRenderedPageBreak/>
        <w:t>This includes not only compliance with legal mandates but also proactive measures to foster disclosure, practice, and compliance, and accountability throughout the research lifecycle, from design to dissemination. By obtaining written informed consent from every participant and including blank and sample forms in Appendix D (with image references for illustrative purposes), the study ensures verifiable adherence to these principles. These safeguards are especially critical in Nigeria's post-consolidation deposit money banking landscape, where governance lapses have contributed to including waves in 1994-1998 (31 failures) and the 2009 crisis (interventions in 10 banks, some leading to liquidations), underscoring the need for a respectful approach that balances investigative rigor with participant protection (Nigeria Deposit Insurance Corporation [NDIC], 2024; Udo, 2020). Ultimately, this ethical stance aligns with global standards like the Declaration of Helsinki (World Medical Association, 2013) and local guidelines from the Chartered Institute of Bankers of Nigeria (CIBN, 2023), aiming to generate knowledge that promotes financial stability without causing harm.</w:t>
      </w:r>
    </w:p>
    <w:p w14:paraId="17879383" w14:textId="77777777" w:rsidR="00646B26" w:rsidRDefault="00646B26" w:rsidP="00646B26">
      <w:pPr>
        <w:pStyle w:val="Heading3"/>
        <w:rPr>
          <w:rStyle w:val="Strong"/>
        </w:rPr>
      </w:pPr>
      <w:r>
        <w:br/>
      </w:r>
      <w:bookmarkStart w:id="137" w:name="_Toc211278925"/>
      <w:r>
        <w:rPr>
          <w:rStyle w:val="Strong"/>
        </w:rPr>
        <w:t>3.8.1 Informed Consent</w:t>
      </w:r>
      <w:bookmarkEnd w:id="137"/>
    </w:p>
    <w:p w14:paraId="4732D5C4" w14:textId="77777777" w:rsidR="00646B26" w:rsidRDefault="00646B26" w:rsidP="00646B26">
      <w:pPr>
        <w:pStyle w:val="BodyText"/>
        <w:spacing w:line="480" w:lineRule="auto"/>
      </w:pPr>
      <w:r>
        <w:t xml:space="preserve">Informed consent represents a core ethical pillar, empowering participants to make autonomous decisions based on comprehensive information about the study's implications, thereby upholding principles of respect and self-determination. The consent process begins with meticulously designed forms that articulate the research's objectives—such as evaluating corporate governance indices (disclosure, practice, compliance), audit committee independence, management qualifications, and regulatory clarity in relation to NPL ratios—while detailing procedural elements, including the duration and format of involvement (e.g., a 35-45 minute semi-structured interview or a 15-20 minute structured questionnaire). Forms explicitly outline potential risks (e.g., discomfort from discussing sensitive </w:t>
      </w:r>
      <w:r>
        <w:lastRenderedPageBreak/>
        <w:t>governance issues) and benefits (e.g., contributing to sector-wide reforms), alongside unequivocal statements on voluntariness, the right to withdraw at any stage without penalty, and assurances of no direct incentives to prevent coercion.</w:t>
      </w:r>
    </w:p>
    <w:p w14:paraId="043F9D7E" w14:textId="77777777" w:rsidR="00646B26" w:rsidRDefault="00646B26" w:rsidP="00646B26">
      <w:pPr>
        <w:pStyle w:val="BodyText"/>
        <w:spacing w:line="480" w:lineRule="auto"/>
      </w:pPr>
      <w:r>
        <w:t xml:space="preserve"> To enhance accessibility, forms are available in English (the primary business language in Nigerian banking) and incorporate simple, jargon-free explanations, with provisions for verbal translations if needed for diverse respondents. During in-person engagements in Abuja bank offices, the researcher provides oral overviews, answers queries in real-time, and allows time for reflection before signing, ensuring comprehension among varied groups like junior cashiers or senior executives. </w:t>
      </w:r>
    </w:p>
    <w:p w14:paraId="1789A3B9" w14:textId="77777777" w:rsidR="00646B26" w:rsidRDefault="00646B26" w:rsidP="00646B26">
      <w:pPr>
        <w:pStyle w:val="BodyText"/>
        <w:spacing w:line="480" w:lineRule="auto"/>
      </w:pPr>
      <w:r>
        <w:t>This multi-layered approach mitigates power imbalances inherent in professional hierarchies, where subordinates might feel pressured, and fosters genuine participation essential for eliciting honest insights on topics like audit committee capture (Abdulmalik &amp; Ahmad, 2020). By referencing Appendix D's blank form (Figure D.1) and a redacted sample (Figure D.2, with signatures blurred for privacy), the study promotes transparency and reproducibility, aligning with the Belmont Report's emphasis on informed consent as a continuous process rather than a one-time event (National Commission for the Protection of Human Subjects of Biomedical and Behavioral Research, 1979).</w:t>
      </w:r>
    </w:p>
    <w:p w14:paraId="165AA57C" w14:textId="77777777" w:rsidR="00646B26" w:rsidRDefault="00646B26" w:rsidP="00646B26">
      <w:pPr>
        <w:pStyle w:val="Heading3"/>
        <w:rPr>
          <w:rStyle w:val="Strong"/>
        </w:rPr>
      </w:pPr>
      <w:r>
        <w:br/>
      </w:r>
      <w:bookmarkStart w:id="138" w:name="_Toc211278926"/>
      <w:r>
        <w:rPr>
          <w:rStyle w:val="Strong"/>
        </w:rPr>
        <w:t>3.8.2 Confidentiality and Anonymization</w:t>
      </w:r>
      <w:bookmarkEnd w:id="138"/>
    </w:p>
    <w:p w14:paraId="2E8B3F25" w14:textId="77777777" w:rsidR="00646B26" w:rsidRDefault="00646B26" w:rsidP="00646B26">
      <w:pPr>
        <w:pStyle w:val="BodyText"/>
        <w:spacing w:line="480" w:lineRule="auto"/>
      </w:pPr>
      <w:r>
        <w:t xml:space="preserve">Confidentiality and anonymization are rigorously enforced to shield participants from potential repercussions, creating a secure environment that encourages forthright disclosures on contentious CG issues, such as political interference in board nominations or weaknesses in whistleblowing mechanisms. Upon data collection, all identifiable information is systematically stripped: questionnaires and interview recordings are assigned unique codes (e.g., Q001 for questionnaire </w:t>
      </w:r>
      <w:r>
        <w:lastRenderedPageBreak/>
        <w:t xml:space="preserve">respondents, I001 for interviewees), while transcripts undergo pseudonymization (e.g., replacing "CEO of Bank X" with "Senior Executive 1"). </w:t>
      </w:r>
    </w:p>
    <w:p w14:paraId="2F0231A7" w14:textId="77777777" w:rsidR="00646B26" w:rsidRDefault="00646B26" w:rsidP="00646B26">
      <w:pPr>
        <w:pStyle w:val="BodyText"/>
        <w:spacing w:line="480" w:lineRule="auto"/>
      </w:pPr>
      <w:r>
        <w:t>Advanced techniques, including data aggregation in reporting (e.g., presenting findings as sectoral trends rather than bank-specific), further obscure origins, preventing deductive disclosure in a close-knit industry where contextual details could reveal sources. This is vital in Nigeria's deposit money banking context, where weak enforcement consistency of protections has historically silenced critics, as evidenced by limited whistleblower cases amid rising NPLs (Olojede et al., 2020; Nwoko et al., 2022). Anonymization extends to secondary data handling, cross-referencing financial reports without linking to primary sources. By implementing these measures, the study not only complies with ethical norms but also enhances data validity, as participants are more likely to share unfiltered views on regulatory multiplicity under CAMA 2020 and NCCG 2018, ultimately supporting robust, unbiased recommendations for reform.</w:t>
      </w:r>
    </w:p>
    <w:p w14:paraId="0237AAE3" w14:textId="77777777" w:rsidR="00646B26" w:rsidRDefault="00646B26" w:rsidP="00646B26">
      <w:pPr>
        <w:pStyle w:val="Heading3"/>
        <w:rPr>
          <w:rStyle w:val="Strong"/>
        </w:rPr>
      </w:pPr>
      <w:r>
        <w:br/>
      </w:r>
      <w:bookmarkStart w:id="139" w:name="_Toc211278927"/>
      <w:r>
        <w:rPr>
          <w:rStyle w:val="Strong"/>
        </w:rPr>
        <w:t>3.8.3 Data Protection and Storage</w:t>
      </w:r>
      <w:bookmarkEnd w:id="139"/>
    </w:p>
    <w:p w14:paraId="2CA38A6D" w14:textId="77777777" w:rsidR="00646B26" w:rsidRDefault="00646B26" w:rsidP="00646B26">
      <w:pPr>
        <w:pStyle w:val="BodyText"/>
        <w:spacing w:line="480" w:lineRule="auto"/>
      </w:pPr>
      <w:r>
        <w:t xml:space="preserve">Robust data protection and storage protocols are implemented to safeguard sensitive information against breaches, ensuring compliance with evolving legal frameworks and minimizing risks in a digital age prone to cyber threats. The study adheres to the Nigeria Data Protection Act (NDPA) 2023, which establishes comprehensive rules for personal data processing, and preemptively aligns with the General Application and Implementation Directive (GAID) issued in 2024 (Nigeria Data Protection Commission [NDPC], 2024). Under NDPA, data minimization principles limit collection to essentials (e.g., no unnecessary demographics), while purpose limitation restricts use to research objectives. Storage </w:t>
      </w:r>
      <w:r>
        <w:lastRenderedPageBreak/>
        <w:t xml:space="preserve">involves encrypted devices (AES-256 standard) with multi-factor authentication, hosted on secure, local servers to avoid cross-border transfer issues under GAID's adequacy requirements. </w:t>
      </w:r>
    </w:p>
    <w:p w14:paraId="190247C7" w14:textId="77777777" w:rsidR="00646B26" w:rsidRDefault="00646B26" w:rsidP="00646B26">
      <w:pPr>
        <w:pStyle w:val="BodyText"/>
        <w:spacing w:line="480" w:lineRule="auto"/>
      </w:pPr>
      <w:r>
        <w:t>Backups are encrypted and stored separately, with access logs monitored for anomalies. For audio recordings, temporary retention (until transcription) is followed by secure deletion using overwrite software to prevent recovery. Physical security includes locked facilities with restricted entry, and breach response plans entail immediate notification to participants and the NDPC if data is compromised. These measures exceed basic compliance, drawing from GDPR-inspired best practices (e.g., pseudonymization and encryption), and are tailored to deposit money banking research where data leaks could amplify financial instability, thereby reinforcing participant trust and the study's ethical credibility (European Union, 2016; NDPC, 2024).</w:t>
      </w:r>
    </w:p>
    <w:p w14:paraId="07884F0D" w14:textId="77777777" w:rsidR="00646B26" w:rsidRDefault="00646B26" w:rsidP="00646B26">
      <w:pPr>
        <w:pStyle w:val="Heading3"/>
        <w:rPr>
          <w:rStyle w:val="Strong"/>
        </w:rPr>
      </w:pPr>
      <w:r>
        <w:br/>
      </w:r>
      <w:bookmarkStart w:id="140" w:name="_Toc211278928"/>
      <w:r>
        <w:rPr>
          <w:rStyle w:val="Strong"/>
        </w:rPr>
        <w:t>3.8.4 Ethical Approval and Oversight</w:t>
      </w:r>
      <w:bookmarkEnd w:id="140"/>
    </w:p>
    <w:p w14:paraId="134D4A37" w14:textId="77777777" w:rsidR="00646B26" w:rsidRDefault="00646B26" w:rsidP="00646B26">
      <w:pPr>
        <w:pStyle w:val="BodyText"/>
        <w:spacing w:line="480" w:lineRule="auto"/>
      </w:pPr>
      <w:r>
        <w:t xml:space="preserve">Securing formal ethical approval provides independent validation of the study's design, ensuring alignment with institutional and international standards while addressing potential oversights. Approval was granted by the University of Buckingham’s Research Ethics Committee (Reference: UB-REC-2024-012) after a detailed submission encompassing the proposal, risk-benefit analysis, consent templates, and data management strategy. The committee's scrutiny focused on vulnerabilities in mixed-methods research, such as emotional distress from recalling governance crises (e.g., the 2009 interventions) or conflicts arising from in-person settings, mandating mitigants like optional debriefings. </w:t>
      </w:r>
    </w:p>
    <w:p w14:paraId="1724E511" w14:textId="77777777" w:rsidR="00646B26" w:rsidRDefault="00646B26" w:rsidP="00646B26">
      <w:pPr>
        <w:pStyle w:val="BodyText"/>
        <w:spacing w:line="480" w:lineRule="auto"/>
      </w:pPr>
      <w:r>
        <w:t xml:space="preserve">Oversight extends beyond approval: interim reviews monitor adherence, with provisions for amendments if new risks emerge, such as regulatory changes post-GAID issuance. This process integrates UKRI and ESRC frameworks, emphasizing societal impact in emerging markets (UK Research </w:t>
      </w:r>
      <w:r>
        <w:lastRenderedPageBreak/>
        <w:t>and Innovation, 2021; Economic and Social Research Council, 2021), and complements local oversight from bodies like the National Health Research Ethics Committee of Nigeria (NHREC) for financial sector parallels. By embedding this oversight, the study not only legitimizes its methods but also models ethical governance, mirroring the disclosure it advocates for DMBs.</w:t>
      </w:r>
    </w:p>
    <w:p w14:paraId="7D7482C8" w14:textId="77777777" w:rsidR="00646B26" w:rsidRDefault="00646B26" w:rsidP="00646B26">
      <w:pPr>
        <w:pStyle w:val="Heading3"/>
        <w:rPr>
          <w:rStyle w:val="Strong"/>
        </w:rPr>
      </w:pPr>
      <w:r>
        <w:br/>
      </w:r>
      <w:bookmarkStart w:id="141" w:name="_Toc211278929"/>
      <w:r>
        <w:rPr>
          <w:rStyle w:val="Strong"/>
        </w:rPr>
        <w:t>3.8.5 Participant Selection and Fairness</w:t>
      </w:r>
      <w:bookmarkEnd w:id="141"/>
    </w:p>
    <w:p w14:paraId="79CA290A" w14:textId="77777777" w:rsidR="00646B26" w:rsidRDefault="00646B26" w:rsidP="00646B26">
      <w:pPr>
        <w:pStyle w:val="BodyText"/>
        <w:spacing w:line="480" w:lineRule="auto"/>
      </w:pPr>
      <w:r>
        <w:t>Participant selection emphasizes fairness and inclusivity to capture a representative spectrum of voices, mitigating biases that could undermine the study's validity or perpetuate inequities in banking discourse. Employing purposive sampling stratified by role (e.g., 35% risk managers, 40% mid-level managers, 25% executives), bank size (small, medium, large per CBN classifications), and experience levels ensures diverse insights into CG impacts across hierarchies. Recruitment via neutral channels (e.g., professional associations like CIBN) avoids favoritism, with explicit criteria disclosed to participants for transparency.</w:t>
      </w:r>
    </w:p>
    <w:p w14:paraId="5B956489" w14:textId="77777777" w:rsidR="00646B26" w:rsidRDefault="00646B26" w:rsidP="00646B26">
      <w:pPr>
        <w:pStyle w:val="BodyText"/>
        <w:spacing w:line="480" w:lineRule="auto"/>
      </w:pPr>
      <w:r>
        <w:t xml:space="preserve"> Efforts to include underrepresented groups, such as women in senior roles (noting gender disparities in Nigerian banking), align with equity principles, while accommodating logistical needs (e.g., flexible scheduling) respects time constraints. This approach counters elite capture in research, where executive views often dominate, enabling a holistic examination of issues like unqualified management from ground-level perspectives (Kafidipe, 2021; Adegbite, 2014). By adhering to justice principles from the Belmont Report, the selection process enhances the ethical and scientific value, yielding the broader sector and supporting inclusive reforms.</w:t>
      </w:r>
    </w:p>
    <w:p w14:paraId="0D3EB802" w14:textId="77777777" w:rsidR="00646B26" w:rsidRDefault="00646B26" w:rsidP="00646B26">
      <w:pPr>
        <w:pStyle w:val="Heading3"/>
        <w:rPr>
          <w:rStyle w:val="Strong"/>
        </w:rPr>
      </w:pPr>
      <w:r>
        <w:lastRenderedPageBreak/>
        <w:br/>
      </w:r>
      <w:bookmarkStart w:id="142" w:name="_Toc211278930"/>
      <w:r>
        <w:rPr>
          <w:rStyle w:val="Strong"/>
        </w:rPr>
        <w:t>3.8.6 Minimizing Potential Harms and Managing Risks</w:t>
      </w:r>
      <w:bookmarkEnd w:id="142"/>
    </w:p>
    <w:p w14:paraId="3A25EF35" w14:textId="77777777" w:rsidR="00646B26" w:rsidRDefault="00646B26" w:rsidP="00646B26">
      <w:pPr>
        <w:pStyle w:val="BodyText"/>
        <w:spacing w:line="480" w:lineRule="auto"/>
      </w:pPr>
      <w:r>
        <w:t xml:space="preserve">A proactive risk management strategy minimizes harms, prioritizing non-maleficence by identifying and addressing threats to participants' professional, emotional, or reputational well-being. Potential harms include career risks from critiquing governance (e.g., fear of demotion for discussing fraud), mitigated through stringent anonymization and voluntariness reaffirmations during sessions. In-person interviews in private office spaces are framed as confidential dialogues, with options for remote alternatives to reduce perceived pressure. Emotional harms, such as distress from reliving crises like the 2017 NPL spikes, are addressed via post-interview debriefs offering resources (e.g., CIBN counseling referrals) and monitoring for signs of discomfort. </w:t>
      </w:r>
    </w:p>
    <w:p w14:paraId="5C568CDC" w14:textId="77777777" w:rsidR="00646B26" w:rsidRDefault="00646B26" w:rsidP="00646B26">
      <w:pPr>
        <w:pStyle w:val="BodyText"/>
        <w:spacing w:line="480" w:lineRule="auto"/>
      </w:pPr>
      <w:r>
        <w:t>Broader risks, like study findings fueling media sensationalism, are countered by balanced reporting focusing on systemic solutions rather than blame, with pre-publication reviews for sensitivity. Beneficence is realized through potential outcomes like policy recommendations for harmonized regulations, weighed against risks in the ethics application. This comprehensive framework, informed by risk assessment matrices, ensures harms are anticipated and managed, fostering an ethical research environment that respects Nigeria's cultural and professional nuances (CIBN, 2023; Nwosu, 2020).</w:t>
      </w:r>
    </w:p>
    <w:p w14:paraId="7F66AE22" w14:textId="77777777" w:rsidR="00646B26" w:rsidRDefault="00646B26" w:rsidP="00646B26">
      <w:pPr>
        <w:pStyle w:val="Heading3"/>
        <w:rPr>
          <w:rStyle w:val="Strong"/>
        </w:rPr>
      </w:pPr>
      <w:r>
        <w:br/>
      </w:r>
      <w:bookmarkStart w:id="143" w:name="_Toc211278931"/>
      <w:r>
        <w:rPr>
          <w:rStyle w:val="Strong"/>
        </w:rPr>
        <w:t>3.8.7 Addressing Researcher Bias and Conflicts of Interest</w:t>
      </w:r>
      <w:bookmarkEnd w:id="143"/>
    </w:p>
    <w:p w14:paraId="213342DE" w14:textId="77777777" w:rsidR="00646B26" w:rsidRDefault="00646B26" w:rsidP="00646B26">
      <w:pPr>
        <w:pStyle w:val="BodyText"/>
        <w:spacing w:line="480" w:lineRule="auto"/>
      </w:pPr>
      <w:r>
        <w:t xml:space="preserve">Acknowledging and mitigating researcher bias is essential for objective inquiry, particularly in a field where personal experiences could influence interpretations of CG data. Reflexivity is practiced through a dedicated research journal logging preconceptions (e.g., the researcher's Nigerian finance background potentially biasing toward regulatory critiques), reviewed periodically to adjust analytical lenses. </w:t>
      </w:r>
      <w:r>
        <w:lastRenderedPageBreak/>
        <w:t xml:space="preserve">Methodological safeguards, such as mixed-methods triangulation and blind coding for qualitative data, further neutralize subjectivity, with quantitative results cross-checked against independent benchmarks. </w:t>
      </w:r>
    </w:p>
    <w:p w14:paraId="46990382" w14:textId="77777777" w:rsidR="00646B26" w:rsidRDefault="00646B26" w:rsidP="00646B26">
      <w:pPr>
        <w:pStyle w:val="BodyText"/>
        <w:spacing w:line="480" w:lineRule="auto"/>
      </w:pPr>
      <w:r>
        <w:t>Peer debriefing with unaffiliated academics provides external validation, refining themes like “regulatory multiplicity” to avoid overemphasis. Conflicts of interest are absent: the researcher declares no financial, professional, or personal ties to DMBs, regulators, or competitors, as verified in the ethics submission and updated annually. This disclosure, aligned with COPE guidelines (Committee on Publication Ethics, 2021), bolsters credibility, ensuring findings on NPL drivers remain impartial and contribute authentically to scholarly discourse.</w:t>
      </w:r>
    </w:p>
    <w:p w14:paraId="7728694A" w14:textId="77777777" w:rsidR="00646B26" w:rsidRDefault="00646B26" w:rsidP="00646B26">
      <w:pPr>
        <w:pStyle w:val="BodyText"/>
        <w:spacing w:line="480" w:lineRule="auto"/>
        <w:rPr>
          <w:rStyle w:val="Strong"/>
        </w:rPr>
      </w:pPr>
    </w:p>
    <w:p w14:paraId="645C3EA1" w14:textId="77777777" w:rsidR="00646B26" w:rsidRDefault="00646B26" w:rsidP="00646B26">
      <w:pPr>
        <w:pStyle w:val="Heading2"/>
        <w:rPr>
          <w:rStyle w:val="Strong"/>
        </w:rPr>
      </w:pPr>
      <w:bookmarkStart w:id="144" w:name="_Toc211278932"/>
      <w:r>
        <w:rPr>
          <w:rStyle w:val="Strong"/>
        </w:rPr>
        <w:t>3.9 Limitations</w:t>
      </w:r>
      <w:bookmarkEnd w:id="144"/>
    </w:p>
    <w:p w14:paraId="41DBA558" w14:textId="77777777" w:rsidR="00646B26" w:rsidRDefault="00646B26" w:rsidP="00646B26">
      <w:pPr>
        <w:pStyle w:val="BodyText"/>
        <w:spacing w:line="480" w:lineRule="auto"/>
      </w:pPr>
      <w:r>
        <w:t xml:space="preserve">This study strives to curtail assumptions by firmly rooting its analytical frameworks in verifiable empirical data and comprehensive validation protocols, thereby narrowing the avenue for unsupported assertions that could undermine the reliability of conclusions drawn about corporate governance (CG) dynamics in Nigerian Deposit Money Banks (DMBs). For instance, the regression analyses presuppose independence among predictors without perfect multicollinearity, a premise substantiated through rigorous Variance Inflation Factor (VIF) diagnostics (all VIF scores maintained below 4.5, averting coefficient inflation); concurrently, distributional assumptions like normality of residuals are meticulously examined via Shapiro-Wilk tests (yielding p-values &gt;0.05 after appropriate transformations, such as logarithmic adjustments for skewed NPL variables) and visual inspections of Q-Q plots and histograms, ensuring statistical inferences remain sound (Bryman, 2016; Wooldridge, 2016). The pragmatic paradigm further eschews overreaching causal attributions, demanding </w:t>
      </w:r>
      <w:r>
        <w:lastRenderedPageBreak/>
        <w:t xml:space="preserve">convergent evidence from quantitative regressions and qualitative themes before positing relationships, such as the mitigating role of disclosure, practice, and compliance on default risks. </w:t>
      </w:r>
    </w:p>
    <w:p w14:paraId="2262E84D" w14:textId="77777777" w:rsidR="00646B26" w:rsidRDefault="00646B26" w:rsidP="00646B26">
      <w:pPr>
        <w:pStyle w:val="BodyText"/>
        <w:spacing w:line="480" w:lineRule="auto"/>
      </w:pPr>
      <w:r>
        <w:t>Through these data-oriented strategies—including exhaustive cross-verification of NPL figures against authoritative sources like Central Bank of Nigeria (CBN) bulletins and Nigeria Deposit Insurance Corporation (NDIC) reports, alongside bootstrapping to assess sample robustness—the investigation prioritizes tangible, observable patterns over speculative hypotheses. However, despite these safeguards, several inherent limitations endure, as detailed in the subsections below, which may influence the breadth, precision, and extrapolative power of the findings. These constraints are proactively addressed via methodological countermeasures, such as incorporating control variables for economic confounders and employing member checking for qualitative depth, yet they reveal critical junctures for methodological evolution in future research, especially within Nigeria's multifaceted deposit money banking ecosystem characterized by regulatory flux, economic instability, and evolving global pressures like Basel III compliance.</w:t>
      </w:r>
    </w:p>
    <w:p w14:paraId="4776A8D0" w14:textId="77777777" w:rsidR="00646B26" w:rsidRDefault="00646B26" w:rsidP="00646B26">
      <w:pPr>
        <w:pStyle w:val="Heading3"/>
        <w:rPr>
          <w:rStyle w:val="Strong"/>
        </w:rPr>
      </w:pPr>
      <w:r>
        <w:br/>
      </w:r>
      <w:bookmarkStart w:id="145" w:name="_Toc211278933"/>
      <w:r>
        <w:rPr>
          <w:rStyle w:val="Strong"/>
        </w:rPr>
        <w:t>3.9.1 Response Bias in the Questionnaire</w:t>
      </w:r>
      <w:bookmarkEnd w:id="145"/>
    </w:p>
    <w:p w14:paraId="2E372169" w14:textId="77777777" w:rsidR="00646B26" w:rsidRDefault="00646B26" w:rsidP="00646B26">
      <w:pPr>
        <w:pStyle w:val="BodyText"/>
        <w:spacing w:line="480" w:lineRule="auto"/>
      </w:pPr>
      <w:r>
        <w:t xml:space="preserve">Response bias in the structured questionnaire emerges as a substantial limitation, wherein participants may inadvertently or deliberately offer answers that align with perceived social norms, institutional expectations, or self-preservation instincts, rather than providing raw, unfiltered reflections on governance realities, thereby introducing systematic distortions into the quantitative data. </w:t>
      </w:r>
    </w:p>
    <w:p w14:paraId="14097790" w14:textId="77777777" w:rsidR="00646B26" w:rsidRDefault="00646B26" w:rsidP="00646B26">
      <w:pPr>
        <w:pStyle w:val="BodyText"/>
        <w:spacing w:line="480" w:lineRule="auto"/>
      </w:pPr>
      <w:r>
        <w:t xml:space="preserve">This phenomenon is particularly acute in the Nigerian deposit money banking context, where professionals navigating a landscape of stringent hierarchies, political interconnections, and career vulnerabilities might opt for responses that portray CG practices in an unduly favorable light—such as </w:t>
      </w:r>
      <w:r>
        <w:lastRenderedPageBreak/>
        <w:t xml:space="preserve">overstating the effectiveness of practice indices or downplaying disclosure lapses—to evade potential backlash from superiors, regulators, or peers, resulting in artificially elevated Likert-scale scores (e.g., means skewed toward 4-5 on a 7-point scale for compliance items) and attenuated correlations between CG deficiencies and NPL elevations (Bryman, 2016; Podsakoff et al., 2003; Tourangeau &amp; Yan, 2007). For example, cashiers or mid-level managers might hesitate to criticize board cronyism due to fears of internal audits or job insecurity, while executives could embellish regulatory compliance to safeguard institutional reputations amid scrutiny from bodies like the CBN. Such biases not only inflate perceptions of efficacy in indices like practice but also obscure the true magnitude of issues like fraud concealment, leading to conservative estimates of governance impacts on default risks and potentially misleading reform priorities. </w:t>
      </w:r>
    </w:p>
    <w:p w14:paraId="4A3C8E8D" w14:textId="77777777" w:rsidR="00646B26" w:rsidRDefault="00646B26" w:rsidP="00646B26">
      <w:pPr>
        <w:pStyle w:val="BodyText"/>
        <w:spacing w:line="480" w:lineRule="auto"/>
      </w:pPr>
      <w:r>
        <w:t>To temper this, the instrument incorporated anonymity assurances in consent materials, randomized question sequencing to disrupt pattern recognition, and reverse-scored items (e.g., "Audit committees are often influenced by shareholders" reversed to detect inconsistency), alongside post-hoc checks for common method variance via Harman's single-factor test (loading &lt;50%). Nonetheless, these measures cannot wholly eliminate deeply ingrained response tendencies rooted in cultural norms of deference or professional self-protection, thereby constraining the findings' depth by possibly underrepresenting critical governance flaws and limiting generalizability to scenarios where respondents feel fully empowered to disclose. This limitation accentuates the broader methodological quandary in self-assessment tools within regulated sectors, where external observational data or behavioral proxies might offer complementary objectivity in future iterations.</w:t>
      </w:r>
    </w:p>
    <w:p w14:paraId="10359CC1" w14:textId="77777777" w:rsidR="00646B26" w:rsidRDefault="00646B26" w:rsidP="00646B26">
      <w:pPr>
        <w:pStyle w:val="Heading3"/>
        <w:rPr>
          <w:rStyle w:val="Strong"/>
        </w:rPr>
      </w:pPr>
      <w:r>
        <w:lastRenderedPageBreak/>
        <w:br/>
      </w:r>
      <w:bookmarkStart w:id="146" w:name="_Toc211278934"/>
      <w:r>
        <w:rPr>
          <w:rStyle w:val="Strong"/>
        </w:rPr>
        <w:t>3.9.2 Subjectivity in Interviews</w:t>
      </w:r>
      <w:bookmarkEnd w:id="146"/>
    </w:p>
    <w:p w14:paraId="73CB504F" w14:textId="77777777" w:rsidR="00646B26" w:rsidRDefault="00646B26" w:rsidP="00646B26">
      <w:pPr>
        <w:pStyle w:val="BodyText"/>
        <w:spacing w:line="480" w:lineRule="auto"/>
      </w:pPr>
      <w:r>
        <w:t xml:space="preserve">Subjectivity inherent in the semi-structured interviews constitutes a noteworthy limitation, as the interpretive nature of qualitative data collection and analysis can be swayed by participants' personal viewpoints, experiential filters, memory lapses, or strategic framing, potentially yielding narratives that selectively highlight or omit aspects of CG challenges and thereby introducing variability or partiality into the thematic outcomes. </w:t>
      </w:r>
    </w:p>
    <w:p w14:paraId="59D4C961" w14:textId="77777777" w:rsidR="00646B26" w:rsidRDefault="00646B26" w:rsidP="00646B26">
      <w:pPr>
        <w:pStyle w:val="BodyText"/>
        <w:spacing w:line="480" w:lineRule="auto"/>
      </w:pPr>
      <w:r>
        <w:t xml:space="preserve">In the Nigerian deposit money banking sphere, where interviewees—predominantly senior executives—operate within a web of power dynamics, institutional loyalties, and socio-political sensitivities, this subjectivity might manifest as embellished accounts of reform successes (e.g., portraying CBN Guidelines 2023 as transformative despite enforcement gaps) or minimized acknowledgments of persistent barriers like political interference in board appointments, influenced by desires to project competence or avoid implicating networks (Braun &amp; Clarke, 2006; Silverman, 2021). For instance, a CEO might emphasize “improved disclosure” post-2019 while glossing over audit committee capture due to shareholder ties, skewing themes toward optimism and understating the interplay between regulatory clarity and NPL escalations. </w:t>
      </w:r>
    </w:p>
    <w:p w14:paraId="533E709E" w14:textId="77777777" w:rsidR="00646B26" w:rsidRDefault="00646B26" w:rsidP="00646B26">
      <w:pPr>
        <w:pStyle w:val="BodyText"/>
        <w:spacing w:line="480" w:lineRule="auto"/>
      </w:pPr>
      <w:r>
        <w:t xml:space="preserve">This interpretive layer risks amplifying dominant voices, potentially marginalizing subtle dissent and leading to themes that overrepresent elite consensus rather than diverse realities. Mitigation strategies included neutral probing questions to elicit balanced responses, verbatim transcription for fidelity, member checking with 8 participants to validate interpretations (resulting in minor refinements, e.g., clarifying “cultural influences on qualifications”), and peer debriefing with external scholars to interrogate biases in coding. However, these cannot fully neutralize the reflexive interplay between </w:t>
      </w:r>
      <w:r>
        <w:lastRenderedPageBreak/>
        <w:t>interviewer and interviewee, where rapport-building might inadvertently encourage alignment with perceived expectations. Consequently, this subjectivity tempers the findings' interpretive richness, constraining generalizability by embedding context-specific lenses that may not fully translate to other banking hierarchies or cultural milieus, and underscoring the value of supplementary methods like document analysis for objective corroboration in pragmatic designs.</w:t>
      </w:r>
    </w:p>
    <w:p w14:paraId="1D734A32" w14:textId="77777777" w:rsidR="00646B26" w:rsidRDefault="00646B26" w:rsidP="00646B26">
      <w:pPr>
        <w:pStyle w:val="Heading3"/>
        <w:rPr>
          <w:rStyle w:val="Strong"/>
        </w:rPr>
      </w:pPr>
      <w:r>
        <w:br/>
      </w:r>
      <w:bookmarkStart w:id="147" w:name="_Toc211278935"/>
      <w:r>
        <w:rPr>
          <w:rStyle w:val="Strong"/>
        </w:rPr>
        <w:t>3.9.3 Small Sample Size for Interviews</w:t>
      </w:r>
      <w:bookmarkEnd w:id="147"/>
    </w:p>
    <w:p w14:paraId="6AF2301C" w14:textId="77777777" w:rsidR="00646B26" w:rsidRDefault="00646B26" w:rsidP="00646B26">
      <w:pPr>
        <w:pStyle w:val="BodyText"/>
        <w:spacing w:line="480" w:lineRule="auto"/>
      </w:pPr>
      <w:r>
        <w:t xml:space="preserve">The qualitative component's sample of 10 interviewees (50% response rate from 20 scheduled), while sufficient to reach thematic saturation—where no novel insights emerged after the 8th session, consistent with Guest et al. (2006) who advocate 6-12 for focused exploratory studies in relatively homogeneous expert groups—nevertheless imposes a limitation by curtailing the diversity and volume of perspectives, potentially overlooking fringe or emergent viewpoints on CG intricacies across Nigeria's DMBs (Guest et al., 2006; Central Bank of Nigeria [CBN], 2024). </w:t>
      </w:r>
    </w:p>
    <w:p w14:paraId="682C9B1B" w14:textId="77777777" w:rsidR="00646B26" w:rsidRDefault="00646B26" w:rsidP="00646B26">
      <w:pPr>
        <w:pStyle w:val="BodyText"/>
        <w:spacing w:line="480" w:lineRule="auto"/>
      </w:pPr>
      <w:r>
        <w:t xml:space="preserve">Purposive sampling honed in on high-caliber informants (e.g., CEOs, board chairs, executive managers) for in-depth authority on indices like management qualifications or audit committee independence, yet this elite focus may undervalue contributions from lower-tier staff or regional branches, where practical implementations of practice indices might reveal uncharted barriers, such as localized regulatory misalignments exacerbating NPLs in underserved areas (Kafidipe, 2021; Elias, 2024). Absent a formal power analysis—qualitative paradigms prioritize informational density over quantitative thresholds—the size was guided by saturation criteria, confirmed via iterative NVivo coding where theme redundancy plateaued. Logistical impediments, including coordinating in-person sessions with time-constrained leaders amid Abuja's traffic and security concerns, hindered scaling to 25-35 participants, </w:t>
      </w:r>
      <w:r>
        <w:lastRenderedPageBreak/>
        <w:t>though virtual modalities could facilitate this in extensions. This constraint diminishes representational breadth, limiting generalizability to the full DMB ecosystem by possibly privileging metropolitan, senior narratives over peripheral ones, and accentuating the trade-off between depth (rich, contextual quotes) and breadth in resource-bound mixed-methods inquiries, where hybrid sampling might yield more inclusive insights.</w:t>
      </w:r>
    </w:p>
    <w:p w14:paraId="12473B18" w14:textId="77777777" w:rsidR="00646B26" w:rsidRDefault="00646B26" w:rsidP="00646B26">
      <w:pPr>
        <w:pStyle w:val="Heading3"/>
        <w:rPr>
          <w:rStyle w:val="Strong"/>
        </w:rPr>
      </w:pPr>
      <w:r>
        <w:br/>
      </w:r>
      <w:bookmarkStart w:id="148" w:name="_Toc211278936"/>
      <w:r>
        <w:rPr>
          <w:rStyle w:val="Strong"/>
        </w:rPr>
        <w:t>3.9.4 Cross-Sectional Design</w:t>
      </w:r>
      <w:bookmarkEnd w:id="148"/>
    </w:p>
    <w:p w14:paraId="51B2CADB" w14:textId="77777777" w:rsidR="00646B26" w:rsidRDefault="00646B26" w:rsidP="00646B26">
      <w:pPr>
        <w:pStyle w:val="BodyText"/>
        <w:spacing w:line="480" w:lineRule="auto"/>
      </w:pPr>
      <w:r>
        <w:t>The adoption of a cross-sectional design for RQ2–RQ4, which encapsulates governance perceptions and NPL snapshots from April 2024 data collection, fundamentally restricts the capacity to discern temporal causality or evolutionary trajectories, such as whether incremental enhancements in disclosure causally precede long-term NPL abatements or merely correlate amid concurrent economic recoveries (Natufe &amp; Evbayiro-Osagie, 2023; Baltagi, 2021). Unlike longitudinal paradigms that track variables over years, this synchronic snapshot cannot unpack sequencing—e.g., if regulatory reforms in 2023 truly catalyzed disclosure gains by 2024 or if external factors like GDP rebounds (projected at 3.4% for 2024 per IMF estimates) confounded associations—potentially misattributing static patterns to dynamic mechanisms in Nigeria's cyclical economy, marked by events like the 2016 recession's protracted NPL aftershocks (Olojede et al., 2020; International Monetary Fund [IMF], 2024).</w:t>
      </w:r>
    </w:p>
    <w:p w14:paraId="531D03CE" w14:textId="77777777" w:rsidR="00646B26" w:rsidRDefault="00646B26" w:rsidP="00646B26">
      <w:pPr>
        <w:pStyle w:val="BodyText"/>
        <w:spacing w:line="480" w:lineRule="auto"/>
      </w:pPr>
      <w:r>
        <w:t xml:space="preserve"> Secondary historical data (NPL ratios from 37% in 2009 to 5.62% in April 2024 per CBN Monetary Policy Committee statements) offers retrospective context for RQ1, but the primary cross-sectional core for RQ2–RQ4 precludes direct observation of change. Fixed-effects panel modeling in analysis simulates temporal controls, yet generalizability to prospective scenarios is curtailed, as unforesighted shifts (e.g., </w:t>
      </w:r>
      <w:r>
        <w:lastRenderedPageBreak/>
        <w:t>post-2024 inflation surges to 24.1% reported by CBN) could invalidate static inferences, highlighting the imperative for cohort or time-series designs in volatile emerging markets to bolster causal robustness.</w:t>
      </w:r>
    </w:p>
    <w:p w14:paraId="1B27E448" w14:textId="77777777" w:rsidR="00646B26" w:rsidRDefault="00646B26" w:rsidP="00646B26">
      <w:pPr>
        <w:pStyle w:val="Heading3"/>
        <w:rPr>
          <w:rStyle w:val="Strong"/>
        </w:rPr>
      </w:pPr>
      <w:r>
        <w:br/>
      </w:r>
      <w:bookmarkStart w:id="149" w:name="_Toc211278937"/>
      <w:r>
        <w:rPr>
          <w:rStyle w:val="Strong"/>
        </w:rPr>
        <w:t>3.9.5 Questionnaire Sample Size</w:t>
      </w:r>
      <w:bookmarkEnd w:id="149"/>
    </w:p>
    <w:p w14:paraId="646D6DF4" w14:textId="77777777" w:rsidR="00646B26" w:rsidRDefault="00646B26" w:rsidP="00646B26">
      <w:pPr>
        <w:pStyle w:val="BodyText"/>
        <w:spacing w:line="480" w:lineRule="auto"/>
      </w:pPr>
      <w:r>
        <w:t>The questionnaire sample comprising 230 valid responses (57.5% rate from 400 distributed) delivers ample power for primary hypotheses—validated via G*Power analysis indicating 85% power at α=0.05 for medium effects (f²=0.15) with 6 predictors—yet remains a limitation for probing intricate interactions or subgroup nuances, such as differential CG impacts across bank sizes or roles in a sector of DMBs (Yamane, 1967; Faul et al., 2009; CBN, 2024). A more expansive cohort (e.g., 500-700) could unveil subtle moderations, like how regulatory multiplicity exacerbates practice indices in small banks (&lt;₦500 billion assets), but in-person manual distribution in Abuja's dispersed branches, coupled with respondent fatigue and access denials, capped feasibility. Bootstrapping (1,000 resamples) and stratified sampling (by role and size) amplify precision, but the size still risks Type II errors for low-prevalence phenomena, constraining generalizability by potentially homogenizing diverse experiences and underscoring sampling economies in regulated fields, where online platforms might enable larger, more varied recruitment.</w:t>
      </w:r>
    </w:p>
    <w:p w14:paraId="552014A3" w14:textId="77777777" w:rsidR="00646B26" w:rsidRDefault="00646B26" w:rsidP="00646B26">
      <w:pPr>
        <w:pStyle w:val="Heading3"/>
        <w:rPr>
          <w:rStyle w:val="Strong"/>
        </w:rPr>
      </w:pPr>
      <w:r>
        <w:br/>
      </w:r>
      <w:bookmarkStart w:id="150" w:name="_Toc211278938"/>
      <w:r>
        <w:rPr>
          <w:rStyle w:val="Strong"/>
        </w:rPr>
        <w:t>3.9.6 Data Availability Constraints</w:t>
      </w:r>
      <w:bookmarkEnd w:id="150"/>
    </w:p>
    <w:p w14:paraId="4AC499BD" w14:textId="77777777" w:rsidR="00646B26" w:rsidRDefault="00646B26" w:rsidP="00646B26">
      <w:pPr>
        <w:pStyle w:val="BodyText"/>
        <w:spacing w:line="480" w:lineRule="auto"/>
      </w:pPr>
      <w:r>
        <w:t xml:space="preserve">Constraints on data availability beyond April 2024 delineate a temporal boundary, as NPL metrics rely on the most contemporaneous sources excluding subsequent perturbations like unanticipated policy pivots or global shocks that could elevate ratios (Agusto &amp; Co, 2024; CBN, 2024). This cutoff, dictated by the research schedule, presumes trend continuity, yet may overlook emergent volatilities (e.g., naira </w:t>
      </w:r>
      <w:r>
        <w:lastRenderedPageBreak/>
        <w:t>devaluation impacts post-Q2), diminishing forward applicability. Multi-source synthesis (CBN, NDIC, World Bank) fortifies historical accuracy, but generalizability wanes for evolving contexts, advocating real-time databases in future studies.</w:t>
      </w:r>
    </w:p>
    <w:p w14:paraId="734AD068" w14:textId="77777777" w:rsidR="00646B26" w:rsidRDefault="00646B26" w:rsidP="00646B26">
      <w:pPr>
        <w:pStyle w:val="Heading3"/>
        <w:rPr>
          <w:rStyle w:val="Strong"/>
        </w:rPr>
      </w:pPr>
      <w:r>
        <w:br/>
      </w:r>
      <w:bookmarkStart w:id="151" w:name="_Toc211278939"/>
      <w:r>
        <w:rPr>
          <w:rStyle w:val="Strong"/>
        </w:rPr>
        <w:t>3.9.7 Opaque NPL Reporting</w:t>
      </w:r>
      <w:bookmarkEnd w:id="151"/>
    </w:p>
    <w:p w14:paraId="182A2370" w14:textId="77777777" w:rsidR="00646B26" w:rsidRDefault="00646B26" w:rsidP="00646B26">
      <w:pPr>
        <w:pStyle w:val="BodyText"/>
        <w:spacing w:line="480" w:lineRule="auto"/>
      </w:pPr>
      <w:r>
        <w:t>Opaque NPL reporting, entrenched in Nigeria's deposit money banking through lax audit enforcement and discrepant classifications, engenders unreliability in default metrics, as banks may underclassify loans to mask vulnerabilities, diluting corporate governance indices-NPL linkages (Olojede et al., 2020; Sanusi, 2014). Variances across sources—e.g., CBN's 5.62% in April 2024 versus bank self-reports potentially lower—arise from regulatory silos, introducing errors that attenuate effects like disclosure’s role. Sensitivity analyses and source reconciliation mitigate, but pre-2023 data, tainted by crises, retains artifacts, curtailing generalizability by veiling true systemic risks and necessitating standardized reporting for precise governance evaluations.</w:t>
      </w:r>
    </w:p>
    <w:p w14:paraId="239E4AB1" w14:textId="77777777" w:rsidR="00646B26" w:rsidRDefault="00646B26" w:rsidP="00646B26">
      <w:pPr>
        <w:pStyle w:val="Heading3"/>
        <w:rPr>
          <w:rStyle w:val="Strong"/>
        </w:rPr>
      </w:pPr>
      <w:r>
        <w:br/>
      </w:r>
      <w:bookmarkStart w:id="152" w:name="_Toc211278940"/>
      <w:r>
        <w:rPr>
          <w:rStyle w:val="Strong"/>
        </w:rPr>
        <w:t>3.9.8 Focus on Post-2004 Consolidation DMBs</w:t>
      </w:r>
      <w:bookmarkEnd w:id="152"/>
    </w:p>
    <w:p w14:paraId="0AA43B53" w14:textId="77777777" w:rsidR="00646B26" w:rsidRDefault="00646B26" w:rsidP="00646B26">
      <w:pPr>
        <w:pStyle w:val="BodyText"/>
        <w:spacing w:line="480" w:lineRule="auto"/>
      </w:pPr>
      <w:r>
        <w:t>Focusing on post-2004 consolidation DMBs affords analytical concentration but omits smaller or non-consolidated entities, like microfinance banks with informal CG, potentially missing divergent patterns (e.g., heightened regulatory multiplicity in unregulated segments) (Efron &amp; Tibshirani, 1993; CBN, 2024). This scope assumes mega-bank dominance mirrors the sector, yet diversity challenges this, limiting generalizability to the full financial ecosystem. Stratified sampling aids partial extension, but broader inclusion would enrich applicability.</w:t>
      </w:r>
    </w:p>
    <w:p w14:paraId="59849C84" w14:textId="77777777" w:rsidR="00646B26" w:rsidRPr="007566D0" w:rsidRDefault="00646B26" w:rsidP="00646B26">
      <w:pPr>
        <w:pStyle w:val="Heading3"/>
        <w:rPr>
          <w:rStyle w:val="Emphasis"/>
        </w:rPr>
      </w:pPr>
      <w:r w:rsidRPr="007566D0">
        <w:rPr>
          <w:rStyle w:val="Emphasis"/>
        </w:rPr>
        <w:lastRenderedPageBreak/>
        <w:br/>
      </w:r>
      <w:bookmarkStart w:id="153" w:name="_Toc211278941"/>
      <w:r w:rsidRPr="007566D0">
        <w:rPr>
          <w:rStyle w:val="Emphasis"/>
        </w:rPr>
        <w:t>3.9.9 Logistical Constraints</w:t>
      </w:r>
      <w:bookmarkEnd w:id="153"/>
    </w:p>
    <w:p w14:paraId="4F756B17" w14:textId="77777777" w:rsidR="00646B26" w:rsidRDefault="00646B26" w:rsidP="00646B26">
      <w:pPr>
        <w:pStyle w:val="BodyText"/>
        <w:spacing w:line="480" w:lineRule="auto"/>
        <w:rPr>
          <w:rStyle w:val="Strong"/>
        </w:rPr>
      </w:pPr>
      <w:r>
        <w:t>Logistical impediments, encompassing manual anonymous distribution and in-person interviews in Abuja's challenging terrain, impeded scope, prioritizing depth in accessible sites over nationwide breadth, thus biasing toward urban insights (e.g., overlooking rural branch governance nuances). These barriers—traffic, security, scheduling—favor convenience, constraining generalizability by underrepresenting peripheral DMBs. Digital shifts could alleviate, enhancing inclusivity.</w:t>
      </w:r>
      <w:r>
        <w:br/>
      </w:r>
    </w:p>
    <w:p w14:paraId="669A23D9" w14:textId="77777777" w:rsidR="00646B26" w:rsidRDefault="00646B26" w:rsidP="00646B26">
      <w:pPr>
        <w:pStyle w:val="Heading3"/>
        <w:rPr>
          <w:rStyle w:val="Strong"/>
        </w:rPr>
      </w:pPr>
      <w:bookmarkStart w:id="154" w:name="_Toc211278942"/>
      <w:r>
        <w:rPr>
          <w:rStyle w:val="Strong"/>
        </w:rPr>
        <w:t>3.9.10 Researcher Reflexivity and Positionality</w:t>
      </w:r>
      <w:bookmarkEnd w:id="154"/>
    </w:p>
    <w:p w14:paraId="425E3B83" w14:textId="77777777" w:rsidR="00646B26" w:rsidRDefault="00646B26" w:rsidP="00646B26">
      <w:pPr>
        <w:pStyle w:val="BodyText"/>
        <w:spacing w:line="480" w:lineRule="auto"/>
      </w:pPr>
      <w:r>
        <w:t xml:space="preserve">Researcher positionality as a Nigerian scholar with banking immersion introduces reflexive limitations, where ingrained perspectives might subtly prioritize cultural critiques (e.g., nepotism in qualifications) over global benchmarks, risking confirmation bias in theme selection or model emphasis (Finlay, 2002; Berger, 2015). This insider-outsider duality enriches nuance but could embed ethnocentric lenses, affecting interpretative neutrality. A reflexivity journal documents assumptions (e.g., “Assumed regulatory inefficacy from personal experience”), with peer reviews countering, yet unexamined influences may linger, tempering generalizability by infusing localized views. This calls for co-researcher diversity in future work. </w:t>
      </w:r>
    </w:p>
    <w:p w14:paraId="341DD7D9" w14:textId="77777777" w:rsidR="00646B26" w:rsidRDefault="00646B26" w:rsidP="00646B26">
      <w:pPr>
        <w:pStyle w:val="BodyText"/>
        <w:spacing w:line="480" w:lineRule="auto"/>
        <w:rPr>
          <w:rStyle w:val="Strong"/>
        </w:rPr>
      </w:pPr>
    </w:p>
    <w:p w14:paraId="77EE6FB4" w14:textId="77777777" w:rsidR="00646B26" w:rsidRDefault="00646B26" w:rsidP="00646B26">
      <w:pPr>
        <w:pStyle w:val="Heading2"/>
        <w:rPr>
          <w:rStyle w:val="Strong"/>
        </w:rPr>
      </w:pPr>
      <w:bookmarkStart w:id="155" w:name="_Toc211278943"/>
      <w:r>
        <w:rPr>
          <w:rStyle w:val="Strong"/>
        </w:rPr>
        <w:t>3.10 Conclusion</w:t>
      </w:r>
      <w:bookmarkEnd w:id="155"/>
    </w:p>
    <w:p w14:paraId="11403E5C" w14:textId="77777777" w:rsidR="00646B26" w:rsidRPr="007566D0" w:rsidRDefault="00646B26" w:rsidP="00646B26">
      <w:r w:rsidRPr="007566D0">
        <w:t xml:space="preserve">This methodology establishes a robust framework for investigating corporate governance (CG) deficiencies at the board level in Nigerian Deposit Money Banks (DMBs), with a targeted focus on </w:t>
      </w:r>
      <w:r w:rsidRPr="007566D0">
        <w:lastRenderedPageBreak/>
        <w:t>enhancing disclosure, practice, and compliance to mitigate default risk, as measured by Non-Performing Loan (NPL) ratios. By adopting a mixed-method design, the research integrates quantitative and qualitative approaches to provide a comprehensive analysis of the corporate governance indices—disclosure (CGDI), practice (OPEFF), and compliance (COMID)—as well as audit committee independence, management qualifications, and regulatory clarity within the context of Nigeria’s post-2004 consolidation deposit money banking sector. The quantitative component, involving a structured questionnaire administered by hand to 230 banking professionals ranging from cashiers to regional managers, ensures empirical rigor by quantifying the impact of governance indices on NPL ratios, addressing critical issues such as weak board oversight and inadequate practice indices identified in the literature (Adegboye, 2020; Sanusi, 2009).</w:t>
      </w:r>
    </w:p>
    <w:p w14:paraId="68A50D89" w14:textId="77777777" w:rsidR="00646B26" w:rsidRPr="007566D0" w:rsidRDefault="00646B26" w:rsidP="00646B26">
      <w:r w:rsidRPr="007566D0">
        <w:t xml:space="preserve">The qualitative component, comprising semi-structured interviews conducted in the offices of 10 high-level banking officials, including CEOs, board chairs, and executive managers, enriches the study with contextual insights into practical challenges, such as regulatory multiplicity and fraud concealment, which have driven systemic instability, as evidenced by 425 bank failures since 1988 (Udo, 2020; </w:t>
      </w:r>
      <w:proofErr w:type="spellStart"/>
      <w:r w:rsidRPr="007566D0">
        <w:t>Olojede</w:t>
      </w:r>
      <w:proofErr w:type="spellEnd"/>
      <w:r w:rsidRPr="007566D0">
        <w:t xml:space="preserve"> et al., 2020). The pragmatic research paradigm underpinning this methodology ensures a balanced approach, combining the positivist strength of statistical analysis with the interpretivist depth of stakeholder perspectives, making it uniquely suited to address the multifaceted governance challenges in Nigeria’s deposit money banking sector. This approach fills a critical research gap in post-2009 studies, where recent, Nigeria-specific analyses of post-consolidation governance failures are scarce (Osita et al., 2019). </w:t>
      </w:r>
    </w:p>
    <w:p w14:paraId="1F0530DD" w14:textId="77777777" w:rsidR="00646B26" w:rsidRPr="007566D0" w:rsidRDefault="00646B26" w:rsidP="00646B26">
      <w:r w:rsidRPr="007566D0">
        <w:t xml:space="preserve">By cross-validating questionnaire data with secondary sources like CBN reports, NDIC records, and audited bank financials, and triangulating with interview findings, the methodology mitigates concerns about NPL data reliability due to opaque reporting practices, ensuring robust and credible results </w:t>
      </w:r>
      <w:r w:rsidRPr="007566D0">
        <w:lastRenderedPageBreak/>
        <w:t>(</w:t>
      </w:r>
      <w:proofErr w:type="spellStart"/>
      <w:r w:rsidRPr="007566D0">
        <w:t>Olojede</w:t>
      </w:r>
      <w:proofErr w:type="spellEnd"/>
      <w:r w:rsidRPr="007566D0">
        <w:t xml:space="preserve"> et al., 2020; </w:t>
      </w:r>
      <w:proofErr w:type="spellStart"/>
      <w:r w:rsidRPr="007566D0">
        <w:t>Natufe</w:t>
      </w:r>
      <w:proofErr w:type="spellEnd"/>
      <w:r w:rsidRPr="007566D0">
        <w:t xml:space="preserve"> &amp; </w:t>
      </w:r>
      <w:proofErr w:type="spellStart"/>
      <w:r w:rsidRPr="007566D0">
        <w:t>Evbayiro</w:t>
      </w:r>
      <w:proofErr w:type="spellEnd"/>
      <w:r w:rsidRPr="007566D0">
        <w:t>-Osagie, 2023).The hands-on questionnaire administration and in-person interviews, conducted with patience, courtesy, and respect, facilitate high-quality data collection by fostering trust with respondents, critical in a context where governance issues are sensitive. The methodology is meticulously designed to address the research objectives, which seek to evaluate the effectiveness of corporate governance indices, audit committee independence, management qualifications, and regulatory clarity in reducing NPLs, while proposing actionable reforms to enhance banking resilience.</w:t>
      </w:r>
    </w:p>
    <w:p w14:paraId="25305DF0" w14:textId="77777777" w:rsidR="00646B26" w:rsidRDefault="00646B26" w:rsidP="00646B26">
      <w:pPr>
        <w:pStyle w:val="BodyText"/>
        <w:spacing w:line="480" w:lineRule="auto"/>
      </w:pPr>
      <w:r>
        <w:t xml:space="preserve"> The findings are expected to quantify the extent to which CG deficiencies drive NPLs, providing evidence-based insights into how board inefficiencies, unqualified leadership, and fragmented regulations—such as CAMA 2020, NCCG 2018, and CBN Guidelines 2023—contribute to systemic risks (Abdulmalik &amp; Ahmad, 2020). Qualitative insights will contextualize these findings, offering practical recommendations for harmonizing regulatory frameworks, strengthening board oversight, and implementing robust whistleblowing mechanisms, aligning with global standards like the OECD Principles (2023) and Basel III frameworks (BCBS, 2010). By addressing historical legacies and current governance failures, the research aims to restore stakeholder confidence, reduce default risk, and enhance the stability of Nigeria’s deposit money banking sector, a pivotal driver of economic growth (King &amp; Levine, 1993). This chapter sets a solid foundation for the empirical analysis, paving the way for actionable reforms that contribute to both academic discourse and policy development in Nigeria’s financial sector.</w:t>
      </w:r>
    </w:p>
    <w:p w14:paraId="4B9076E3" w14:textId="77777777" w:rsidR="00646B26" w:rsidRDefault="00646B26" w:rsidP="00646B26"/>
    <w:p w14:paraId="002DACDF" w14:textId="77777777" w:rsidR="00646B26" w:rsidRDefault="00646B26" w:rsidP="00646B26"/>
    <w:p w14:paraId="734DA8A5" w14:textId="77777777" w:rsidR="00646B26" w:rsidRDefault="00646B26" w:rsidP="00646B26"/>
    <w:p w14:paraId="054BC6A5" w14:textId="77777777" w:rsidR="00646B26" w:rsidRDefault="00646B26" w:rsidP="00646B26">
      <w:r>
        <w:br w:type="page"/>
      </w:r>
    </w:p>
    <w:p w14:paraId="47105DAA" w14:textId="77777777" w:rsidR="00646B26" w:rsidRDefault="00646B26" w:rsidP="00646B26"/>
    <w:p w14:paraId="59E625A9" w14:textId="77777777" w:rsidR="00646B26" w:rsidRDefault="00646B26" w:rsidP="00646B26"/>
    <w:p w14:paraId="6D3FBB9A" w14:textId="77777777" w:rsidR="00646B26" w:rsidRDefault="00646B26" w:rsidP="00646B26"/>
    <w:p w14:paraId="410D02C6" w14:textId="77777777" w:rsidR="00646B26" w:rsidRDefault="00646B26" w:rsidP="00646B26"/>
    <w:p w14:paraId="2B303B20" w14:textId="77777777" w:rsidR="00646B26" w:rsidRDefault="00646B26" w:rsidP="00646B26"/>
    <w:p w14:paraId="74590241" w14:textId="77777777" w:rsidR="00646B26" w:rsidRDefault="00646B26" w:rsidP="00646B26"/>
    <w:p w14:paraId="15B86A55" w14:textId="77777777" w:rsidR="00646B26" w:rsidRDefault="00646B26" w:rsidP="00646B26"/>
    <w:p w14:paraId="31A5F60A" w14:textId="322447DE" w:rsidR="00646B26" w:rsidRDefault="00646B26" w:rsidP="00646B26">
      <w:r>
        <w:br w:type="page"/>
      </w:r>
    </w:p>
    <w:p w14:paraId="187A07FD" w14:textId="77777777" w:rsidR="00646B26" w:rsidRDefault="00646B26" w:rsidP="00646B26"/>
    <w:p w14:paraId="1C912671" w14:textId="77777777" w:rsidR="00646B26" w:rsidRDefault="00646B26" w:rsidP="00646B26"/>
    <w:p w14:paraId="1482CD5E" w14:textId="77777777" w:rsidR="00D4201D" w:rsidRDefault="00D4201D"/>
    <w:sectPr w:rsidR="00D4201D" w:rsidSect="00646B26">
      <w:pgSz w:w="12240" w:h="15840"/>
      <w:pgMar w:top="1134" w:right="1134" w:bottom="1134" w:left="1134"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Calibri Light">
    <w:panose1 w:val="020F0302020204030204"/>
    <w:charset w:val="01"/>
    <w:family w:val="swiss"/>
    <w:pitch w:val="variable"/>
    <w:sig w:usb0="E0002AFF" w:usb1="C000247B" w:usb2="00000009" w:usb3="00000000" w:csb0="000001FF" w:csb1="00000000"/>
  </w:font>
  <w:font w:name="Nimbus Mono PS">
    <w:altName w:val="Cambria"/>
    <w:panose1 w:val="020B0604020202020204"/>
    <w:charset w:val="01"/>
    <w:family w:val="roman"/>
    <w:pitch w:val="variable"/>
  </w:font>
  <w:font w:name="OpenSymbol">
    <w:altName w:val="Arial Unicode MS"/>
    <w:panose1 w:val="020B0604020202020204"/>
    <w:charset w:val="01"/>
    <w:family w:val="roman"/>
    <w:pitch w:val="variable"/>
  </w:font>
  <w:font w:name="Nimbus Sans">
    <w:altName w:val="Calibri"/>
    <w:panose1 w:val="020B0604020202020204"/>
    <w:charset w:val="01"/>
    <w:family w:val="swiss"/>
    <w:pitch w:val="variable"/>
  </w:font>
  <w:font w:name="FreeSans">
    <w:altName w:val="Cambria"/>
    <w:panose1 w:val="020B0604020202020204"/>
    <w:charset w:val="00"/>
    <w:family w:val="roman"/>
    <w:pitch w:val="default"/>
  </w:font>
  <w:font w:name="Arial">
    <w:panose1 w:val="020B0604020202020204"/>
    <w:charset w:val="01"/>
    <w:family w:val="swiss"/>
    <w:pitch w:val="variable"/>
    <w:sig w:usb0="E0002AFF" w:usb1="C0007843" w:usb2="00000009" w:usb3="00000000" w:csb0="000001FF" w:csb1="00000000"/>
  </w:font>
  <w:font w:name="DejaVu Sans">
    <w:altName w:val="Verdana"/>
    <w:panose1 w:val="020B0604020202020204"/>
    <w:charset w:val="00"/>
    <w:family w:val="roman"/>
    <w:pitch w:val="default"/>
  </w:font>
  <w:font w:name="FreeSerif">
    <w:altName w:val="Cambria"/>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0715" w14:textId="77777777" w:rsidR="00646B26" w:rsidRDefault="00646B26">
    <w:pPr>
      <w:pStyle w:val="Footer"/>
    </w:pPr>
    <w:r>
      <w:rPr>
        <w:noProof/>
      </w:rPr>
      <mc:AlternateContent>
        <mc:Choice Requires="wps">
          <w:drawing>
            <wp:anchor distT="0" distB="0" distL="635" distR="0" simplePos="0" relativeHeight="251659264" behindDoc="1" locked="0" layoutInCell="0" allowOverlap="1" wp14:anchorId="6FA687DB" wp14:editId="62B6D737">
              <wp:simplePos x="0" y="0"/>
              <wp:positionH relativeFrom="margin">
                <wp:align>right</wp:align>
              </wp:positionH>
              <wp:positionV relativeFrom="paragraph">
                <wp:posOffset>635</wp:posOffset>
              </wp:positionV>
              <wp:extent cx="153035" cy="717550"/>
              <wp:effectExtent l="635" t="0" r="0" b="0"/>
              <wp:wrapNone/>
              <wp:docPr id="1" name="Frame4"/>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3E2810A8"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w:t>
                          </w:r>
                          <w:r>
                            <w:rPr>
                              <w:rStyle w:val="Heading7Char"/>
                              <w:color w:val="000000"/>
                            </w:rPr>
                            <w:fldChar w:fldCharType="end"/>
                          </w:r>
                        </w:p>
                      </w:txbxContent>
                    </wps:txbx>
                    <wps:bodyPr lIns="0" tIns="0" rIns="0" bIns="0" anchor="t">
                      <a:spAutoFit/>
                    </wps:bodyPr>
                  </wps:wsp>
                </a:graphicData>
              </a:graphic>
            </wp:anchor>
          </w:drawing>
        </mc:Choice>
        <mc:Fallback>
          <w:pict>
            <v:rect w14:anchorId="6FA687DB" id="Frame4" o:spid="_x0000_s1028" style="position:absolute;left:0;text-align:left;margin-left:-39.15pt;margin-top:.05pt;width:12.05pt;height:56.5pt;z-index:-251657216;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" o:allowincell="f" filled="f" stroked="f" strokeweight="0">
              <v:textbox style="mso-fit-shape-to-text:t" inset="0,0,0,0">
                <w:txbxContent>
                  <w:p w14:paraId="3E2810A8"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w:t>
                    </w:r>
                    <w:r>
                      <w:rPr>
                        <w:rStyle w:val="Heading7Char"/>
                        <w:color w:val="000000"/>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157E" w14:textId="77777777" w:rsidR="00646B26" w:rsidRDefault="00646B26">
    <w:pPr>
      <w:pStyle w:val="Footer"/>
    </w:pPr>
    <w:r>
      <w:rPr>
        <w:noProof/>
      </w:rPr>
      <mc:AlternateContent>
        <mc:Choice Requires="wps">
          <w:drawing>
            <wp:anchor distT="0" distB="0" distL="635" distR="0" simplePos="0" relativeHeight="251660288" behindDoc="1" locked="0" layoutInCell="0" allowOverlap="1" wp14:anchorId="1B6B5716" wp14:editId="7FF8B55D">
              <wp:simplePos x="0" y="0"/>
              <wp:positionH relativeFrom="margin">
                <wp:align>right</wp:align>
              </wp:positionH>
              <wp:positionV relativeFrom="paragraph">
                <wp:posOffset>635</wp:posOffset>
              </wp:positionV>
              <wp:extent cx="153035" cy="717550"/>
              <wp:effectExtent l="635" t="0" r="0" b="0"/>
              <wp:wrapNone/>
              <wp:docPr id="2" name="Frame4"/>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2213CA49"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w:t>
                          </w:r>
                          <w:r>
                            <w:rPr>
                              <w:rStyle w:val="Heading7Char"/>
                              <w:color w:val="000000"/>
                            </w:rPr>
                            <w:fldChar w:fldCharType="end"/>
                          </w:r>
                        </w:p>
                      </w:txbxContent>
                    </wps:txbx>
                    <wps:bodyPr lIns="0" tIns="0" rIns="0" bIns="0" anchor="t">
                      <a:spAutoFit/>
                    </wps:bodyPr>
                  </wps:wsp>
                </a:graphicData>
              </a:graphic>
            </wp:anchor>
          </w:drawing>
        </mc:Choice>
        <mc:Fallback>
          <w:pict>
            <v:rect w14:anchorId="1B6B5716" id="_x0000_s1029" style="position:absolute;left:0;text-align:left;margin-left:-39.15pt;margin-top:.05pt;width:12.05pt;height:56.5pt;z-index:-251656192;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" o:allowincell="f" filled="f" stroked="f" strokeweight="0">
              <v:textbox style="mso-fit-shape-to-text:t" inset="0,0,0,0">
                <w:txbxContent>
                  <w:p w14:paraId="2213CA49"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w:t>
                    </w:r>
                    <w:r>
                      <w:rPr>
                        <w:rStyle w:val="Heading7Char"/>
                        <w:color w:val="000000"/>
                      </w:rPr>
                      <w:fldChar w:fldCharType="end"/>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91D7" w14:textId="77777777" w:rsidR="00646B26" w:rsidRDefault="00646B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5BE7" w14:textId="77777777" w:rsidR="00646B26" w:rsidRDefault="00646B26">
    <w:pPr>
      <w:pStyle w:val="Footer"/>
    </w:pPr>
    <w:r>
      <w:rPr>
        <w:noProof/>
      </w:rPr>
      <mc:AlternateContent>
        <mc:Choice Requires="wps">
          <w:drawing>
            <wp:anchor distT="0" distB="0" distL="635" distR="0" simplePos="0" relativeHeight="251661312" behindDoc="1" locked="0" layoutInCell="0" allowOverlap="1" wp14:anchorId="0352B0D7" wp14:editId="1656EBEB">
              <wp:simplePos x="0" y="0"/>
              <wp:positionH relativeFrom="margin">
                <wp:align>right</wp:align>
              </wp:positionH>
              <wp:positionV relativeFrom="paragraph">
                <wp:posOffset>635</wp:posOffset>
              </wp:positionV>
              <wp:extent cx="153035" cy="717550"/>
              <wp:effectExtent l="635" t="0" r="0" b="0"/>
              <wp:wrapNone/>
              <wp:docPr id="6" name="Frame 1"/>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6C441068"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w:t>
                          </w:r>
                          <w:r>
                            <w:rPr>
                              <w:rStyle w:val="Heading7Char"/>
                              <w:color w:val="000000"/>
                            </w:rPr>
                            <w:fldChar w:fldCharType="end"/>
                          </w:r>
                        </w:p>
                      </w:txbxContent>
                    </wps:txbx>
                    <wps:bodyPr lIns="0" tIns="0" rIns="0" bIns="0" anchor="t">
                      <a:spAutoFit/>
                    </wps:bodyPr>
                  </wps:wsp>
                </a:graphicData>
              </a:graphic>
            </wp:anchor>
          </w:drawing>
        </mc:Choice>
        <mc:Fallback>
          <w:pict>
            <v:rect w14:anchorId="0352B0D7" id="Frame 1" o:spid="_x0000_s1030" style="position:absolute;left:0;text-align:left;margin-left:-39.15pt;margin-top:.05pt;width:12.05pt;height:56.5pt;z-index:-251655168;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" o:allowincell="f" filled="f" stroked="f" strokeweight="0">
              <v:textbox style="mso-fit-shape-to-text:t" inset="0,0,0,0">
                <w:txbxContent>
                  <w:p w14:paraId="6C441068"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w:t>
                    </w:r>
                    <w:r>
                      <w:rPr>
                        <w:rStyle w:val="Heading7Char"/>
                        <w:color w:val="000000"/>
                      </w:rPr>
                      <w:fldChar w:fldCharType="end"/>
                    </w:r>
                  </w:p>
                </w:txbxContent>
              </v:textbox>
              <w10:wrap anchorx="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C802" w14:textId="77777777" w:rsidR="00646B26" w:rsidRDefault="00646B26">
    <w:pPr>
      <w:pStyle w:val="Footer"/>
    </w:pPr>
    <w:r>
      <w:rPr>
        <w:noProof/>
      </w:rPr>
      <mc:AlternateContent>
        <mc:Choice Requires="wps">
          <w:drawing>
            <wp:anchor distT="0" distB="0" distL="635" distR="0" simplePos="0" relativeHeight="251662336" behindDoc="1" locked="0" layoutInCell="0" allowOverlap="1" wp14:anchorId="1FA5589D" wp14:editId="25453908">
              <wp:simplePos x="0" y="0"/>
              <wp:positionH relativeFrom="margin">
                <wp:align>right</wp:align>
              </wp:positionH>
              <wp:positionV relativeFrom="paragraph">
                <wp:posOffset>635</wp:posOffset>
              </wp:positionV>
              <wp:extent cx="153035" cy="717550"/>
              <wp:effectExtent l="635" t="0" r="0" b="0"/>
              <wp:wrapNone/>
              <wp:docPr id="7" name="Frame 1"/>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0A366756"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w:t>
                          </w:r>
                          <w:r>
                            <w:rPr>
                              <w:rStyle w:val="Heading7Char"/>
                              <w:color w:val="000000"/>
                            </w:rPr>
                            <w:fldChar w:fldCharType="end"/>
                          </w:r>
                        </w:p>
                      </w:txbxContent>
                    </wps:txbx>
                    <wps:bodyPr lIns="0" tIns="0" rIns="0" bIns="0" anchor="t">
                      <a:spAutoFit/>
                    </wps:bodyPr>
                  </wps:wsp>
                </a:graphicData>
              </a:graphic>
            </wp:anchor>
          </w:drawing>
        </mc:Choice>
        <mc:Fallback>
          <w:pict>
            <v:rect w14:anchorId="1FA5589D" id="_x0000_s1031" style="position:absolute;left:0;text-align:left;margin-left:-39.15pt;margin-top:.05pt;width:12.05pt;height:56.5pt;z-index:-251654144;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" o:allowincell="f" filled="f" stroked="f" strokeweight="0">
              <v:textbox style="mso-fit-shape-to-text:t" inset="0,0,0,0">
                <w:txbxContent>
                  <w:p w14:paraId="0A366756"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w:t>
                    </w:r>
                    <w:r>
                      <w:rPr>
                        <w:rStyle w:val="Heading7Char"/>
                        <w:color w:val="000000"/>
                      </w:rPr>
                      <w:fldChar w:fldCharType="end"/>
                    </w:r>
                  </w:p>
                </w:txbxContent>
              </v:textbox>
              <w10:wrap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7B1F" w14:textId="77777777" w:rsidR="00646B26" w:rsidRDefault="00646B2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036A" w14:textId="77777777" w:rsidR="00646B26" w:rsidRDefault="00646B26">
    <w:pPr>
      <w:pStyle w:val="Footer"/>
    </w:pPr>
    <w:r>
      <w:rPr>
        <w:noProof/>
      </w:rPr>
      <mc:AlternateContent>
        <mc:Choice Requires="wps">
          <w:drawing>
            <wp:anchor distT="0" distB="0" distL="635" distR="0" simplePos="0" relativeHeight="251663360" behindDoc="1" locked="0" layoutInCell="0" allowOverlap="1" wp14:anchorId="6BA9B202" wp14:editId="681EE937">
              <wp:simplePos x="0" y="0"/>
              <wp:positionH relativeFrom="margin">
                <wp:align>right</wp:align>
              </wp:positionH>
              <wp:positionV relativeFrom="paragraph">
                <wp:posOffset>635</wp:posOffset>
              </wp:positionV>
              <wp:extent cx="153035" cy="717550"/>
              <wp:effectExtent l="635" t="0" r="0" b="0"/>
              <wp:wrapNone/>
              <wp:docPr id="8" name="Frame 2"/>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642703F7"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23</w:t>
                          </w:r>
                          <w:r>
                            <w:rPr>
                              <w:rStyle w:val="Heading7Char"/>
                              <w:color w:val="000000"/>
                            </w:rPr>
                            <w:fldChar w:fldCharType="end"/>
                          </w:r>
                        </w:p>
                      </w:txbxContent>
                    </wps:txbx>
                    <wps:bodyPr lIns="0" tIns="0" rIns="0" bIns="0" anchor="t">
                      <a:spAutoFit/>
                    </wps:bodyPr>
                  </wps:wsp>
                </a:graphicData>
              </a:graphic>
            </wp:anchor>
          </w:drawing>
        </mc:Choice>
        <mc:Fallback>
          <w:pict>
            <v:rect w14:anchorId="6BA9B202" id="Frame 2" o:spid="_x0000_s1032" style="position:absolute;left:0;text-align:left;margin-left:-39.15pt;margin-top:.05pt;width:12.05pt;height:56.5pt;z-index:-251653120;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" o:allowincell="f" filled="f" stroked="f" strokeweight="0">
              <v:textbox style="mso-fit-shape-to-text:t" inset="0,0,0,0">
                <w:txbxContent>
                  <w:p w14:paraId="642703F7"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23</w:t>
                    </w:r>
                    <w:r>
                      <w:rPr>
                        <w:rStyle w:val="Heading7Char"/>
                        <w:color w:val="000000"/>
                      </w:rPr>
                      <w:fldChar w:fldCharType="end"/>
                    </w:r>
                  </w:p>
                </w:txbxContent>
              </v:textbox>
              <w10:wrap anchorx="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F151" w14:textId="77777777" w:rsidR="00646B26" w:rsidRDefault="00646B26">
    <w:pPr>
      <w:pStyle w:val="Footer"/>
    </w:pPr>
    <w:r>
      <w:rPr>
        <w:noProof/>
      </w:rPr>
      <mc:AlternateContent>
        <mc:Choice Requires="wps">
          <w:drawing>
            <wp:anchor distT="0" distB="0" distL="635" distR="0" simplePos="0" relativeHeight="251664384" behindDoc="1" locked="0" layoutInCell="0" allowOverlap="1" wp14:anchorId="04E5D1CE" wp14:editId="7FAE71BF">
              <wp:simplePos x="0" y="0"/>
              <wp:positionH relativeFrom="margin">
                <wp:align>right</wp:align>
              </wp:positionH>
              <wp:positionV relativeFrom="paragraph">
                <wp:posOffset>635</wp:posOffset>
              </wp:positionV>
              <wp:extent cx="153035" cy="717550"/>
              <wp:effectExtent l="635" t="0" r="0" b="0"/>
              <wp:wrapNone/>
              <wp:docPr id="9" name="Frame 2"/>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47CFFDA3"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23</w:t>
                          </w:r>
                          <w:r>
                            <w:rPr>
                              <w:rStyle w:val="Heading7Char"/>
                              <w:color w:val="000000"/>
                            </w:rPr>
                            <w:fldChar w:fldCharType="end"/>
                          </w:r>
                        </w:p>
                      </w:txbxContent>
                    </wps:txbx>
                    <wps:bodyPr lIns="0" tIns="0" rIns="0" bIns="0" anchor="t">
                      <a:spAutoFit/>
                    </wps:bodyPr>
                  </wps:wsp>
                </a:graphicData>
              </a:graphic>
            </wp:anchor>
          </w:drawing>
        </mc:Choice>
        <mc:Fallback>
          <w:pict>
            <v:rect w14:anchorId="04E5D1CE" id="_x0000_s1033" style="position:absolute;left:0;text-align:left;margin-left:-39.15pt;margin-top:.05pt;width:12.05pt;height:56.5pt;z-index:-251652096;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" o:allowincell="f" filled="f" stroked="f" strokeweight="0">
              <v:textbox style="mso-fit-shape-to-text:t" inset="0,0,0,0">
                <w:txbxContent>
                  <w:p w14:paraId="47CFFDA3"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23</w:t>
                    </w:r>
                    <w:r>
                      <w:rPr>
                        <w:rStyle w:val="Heading7Char"/>
                        <w:color w:val="000000"/>
                      </w:rPr>
                      <w:fldChar w:fldCharType="end"/>
                    </w:r>
                  </w:p>
                </w:txbxContent>
              </v:textbox>
              <w10:wrap anchorx="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550E" w14:textId="77777777" w:rsidR="00646B26" w:rsidRDefault="00646B2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A4C5" w14:textId="77777777" w:rsidR="00646B26" w:rsidRDefault="00646B26">
    <w:pPr>
      <w:pStyle w:val="Footer"/>
    </w:pPr>
    <w:r>
      <w:rPr>
        <w:noProof/>
      </w:rPr>
      <mc:AlternateContent>
        <mc:Choice Requires="wps">
          <w:drawing>
            <wp:anchor distT="0" distB="0" distL="635" distR="0" simplePos="0" relativeHeight="251665408" behindDoc="1" locked="0" layoutInCell="0" allowOverlap="1" wp14:anchorId="624EA924" wp14:editId="7EBBB48C">
              <wp:simplePos x="0" y="0"/>
              <wp:positionH relativeFrom="margin">
                <wp:align>right</wp:align>
              </wp:positionH>
              <wp:positionV relativeFrom="paragraph">
                <wp:posOffset>635</wp:posOffset>
              </wp:positionV>
              <wp:extent cx="153035" cy="717550"/>
              <wp:effectExtent l="635" t="0" r="0" b="0"/>
              <wp:wrapNone/>
              <wp:docPr id="10" name="Frame6"/>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11422711"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25</w:t>
                          </w:r>
                          <w:r>
                            <w:rPr>
                              <w:rStyle w:val="Heading7Char"/>
                              <w:color w:val="000000"/>
                            </w:rPr>
                            <w:fldChar w:fldCharType="end"/>
                          </w:r>
                        </w:p>
                      </w:txbxContent>
                    </wps:txbx>
                    <wps:bodyPr lIns="0" tIns="0" rIns="0" bIns="0" anchor="t">
                      <a:spAutoFit/>
                    </wps:bodyPr>
                  </wps:wsp>
                </a:graphicData>
              </a:graphic>
            </wp:anchor>
          </w:drawing>
        </mc:Choice>
        <mc:Fallback>
          <w:pict>
            <v:rect w14:anchorId="624EA924" id="Frame6" o:spid="_x0000_s1034" style="position:absolute;left:0;text-align:left;margin-left:-39.15pt;margin-top:.05pt;width:12.05pt;height:56.5pt;z-index:-251651072;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" o:allowincell="f" filled="f" stroked="f" strokeweight="0">
              <v:textbox style="mso-fit-shape-to-text:t" inset="0,0,0,0">
                <w:txbxContent>
                  <w:p w14:paraId="11422711"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25</w:t>
                    </w:r>
                    <w:r>
                      <w:rPr>
                        <w:rStyle w:val="Heading7Char"/>
                        <w:color w:val="000000"/>
                      </w:rPr>
                      <w:fldChar w:fldCharType="end"/>
                    </w:r>
                  </w:p>
                </w:txbxContent>
              </v:textbox>
              <w10:wrap anchorx="margin"/>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2F06" w14:textId="77777777" w:rsidR="00646B26" w:rsidRDefault="00646B26">
    <w:pPr>
      <w:pStyle w:val="Footer"/>
    </w:pPr>
    <w:r>
      <w:rPr>
        <w:noProof/>
      </w:rPr>
      <mc:AlternateContent>
        <mc:Choice Requires="wps">
          <w:drawing>
            <wp:anchor distT="0" distB="0" distL="635" distR="0" simplePos="0" relativeHeight="251666432" behindDoc="1" locked="0" layoutInCell="0" allowOverlap="1" wp14:anchorId="020A6356" wp14:editId="6391931C">
              <wp:simplePos x="0" y="0"/>
              <wp:positionH relativeFrom="margin">
                <wp:align>right</wp:align>
              </wp:positionH>
              <wp:positionV relativeFrom="paragraph">
                <wp:posOffset>635</wp:posOffset>
              </wp:positionV>
              <wp:extent cx="153035" cy="717550"/>
              <wp:effectExtent l="635" t="0" r="0" b="0"/>
              <wp:wrapNone/>
              <wp:docPr id="11" name="Frame6"/>
              <wp:cNvGraphicFramePr/>
              <a:graphic xmlns:a="http://schemas.openxmlformats.org/drawingml/2006/main">
                <a:graphicData uri="http://schemas.microsoft.com/office/word/2010/wordprocessingShape">
                  <wps:wsp>
                    <wps:cNvSpPr/>
                    <wps:spPr>
                      <a:xfrm>
                        <a:off x="0" y="0"/>
                        <a:ext cx="153000" cy="717480"/>
                      </a:xfrm>
                      <a:prstGeom prst="rect">
                        <a:avLst/>
                      </a:prstGeom>
                      <a:noFill/>
                      <a:ln w="0">
                        <a:noFill/>
                      </a:ln>
                    </wps:spPr>
                    <wps:style>
                      <a:lnRef idx="0">
                        <a:scrgbClr r="0" g="0" b="0"/>
                      </a:lnRef>
                      <a:fillRef idx="0">
                        <a:scrgbClr r="0" g="0" b="0"/>
                      </a:fillRef>
                      <a:effectRef idx="0">
                        <a:scrgbClr r="0" g="0" b="0"/>
                      </a:effectRef>
                      <a:fontRef idx="minor"/>
                    </wps:style>
                    <wps:txbx>
                      <w:txbxContent>
                        <w:p w14:paraId="31E16A47"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25</w:t>
                          </w:r>
                          <w:r>
                            <w:rPr>
                              <w:rStyle w:val="Heading7Char"/>
                              <w:color w:val="000000"/>
                            </w:rPr>
                            <w:fldChar w:fldCharType="end"/>
                          </w:r>
                        </w:p>
                      </w:txbxContent>
                    </wps:txbx>
                    <wps:bodyPr lIns="0" tIns="0" rIns="0" bIns="0" anchor="t">
                      <a:spAutoFit/>
                    </wps:bodyPr>
                  </wps:wsp>
                </a:graphicData>
              </a:graphic>
            </wp:anchor>
          </w:drawing>
        </mc:Choice>
        <mc:Fallback>
          <w:pict>
            <v:rect w14:anchorId="020A6356" id="_x0000_s1035" style="position:absolute;left:0;text-align:left;margin-left:-39.15pt;margin-top:.05pt;width:12.05pt;height:56.5pt;z-index:-251650048;visibility:visible;mso-wrap-style:square;mso-wrap-distance-left:.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" o:allowincell="f" filled="f" stroked="f" strokeweight="0">
              <v:textbox style="mso-fit-shape-to-text:t" inset="0,0,0,0">
                <w:txbxContent>
                  <w:p w14:paraId="31E16A47"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25</w:t>
                    </w:r>
                    <w:r>
                      <w:rPr>
                        <w:rStyle w:val="Heading7Char"/>
                        <w:color w:val="000000"/>
                      </w:rPr>
                      <w:fldChar w:fldCharType="end"/>
                    </w:r>
                  </w:p>
                </w:txbxContent>
              </v:textbox>
              <w10:wrap anchorx="margin"/>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3DD9" w14:textId="77777777" w:rsidR="00646B26" w:rsidRDefault="00646B2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C885" w14:textId="77777777" w:rsidR="00646B26" w:rsidRDefault="00646B26">
    <w:pPr>
      <w:pStyle w:val="Footer"/>
    </w:pPr>
    <w:r>
      <w:rPr>
        <w:noProof/>
      </w:rPr>
      <mc:AlternateContent>
        <mc:Choice Requires="wps">
          <w:drawing>
            <wp:anchor distT="0" distB="0" distL="635" distR="0" simplePos="0" relativeHeight="251667456" behindDoc="1" locked="0" layoutInCell="0" allowOverlap="1" wp14:anchorId="62C59434" wp14:editId="50D38979">
              <wp:simplePos x="0" y="0"/>
              <wp:positionH relativeFrom="margin">
                <wp:posOffset>6026150</wp:posOffset>
              </wp:positionH>
              <wp:positionV relativeFrom="paragraph">
                <wp:posOffset>-1905</wp:posOffset>
              </wp:positionV>
              <wp:extent cx="302895" cy="181610"/>
              <wp:effectExtent l="635" t="0" r="0" b="0"/>
              <wp:wrapNone/>
              <wp:docPr id="12" name="Frame7"/>
              <wp:cNvGraphicFramePr/>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scrgbClr r="0" g="0" b="0"/>
                      </a:lnRef>
                      <a:fillRef idx="0">
                        <a:scrgbClr r="0" g="0" b="0"/>
                      </a:fillRef>
                      <a:effectRef idx="0">
                        <a:scrgbClr r="0" g="0" b="0"/>
                      </a:effectRef>
                      <a:fontRef idx="minor"/>
                    </wps:style>
                    <wps:txbx>
                      <w:txbxContent>
                        <w:p w14:paraId="2FB6FAFD"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134</w:t>
                          </w:r>
                          <w:r>
                            <w:rPr>
                              <w:rStyle w:val="Heading7Char"/>
                              <w:color w:val="000000"/>
                            </w:rPr>
                            <w:fldChar w:fldCharType="end"/>
                          </w:r>
                        </w:p>
                      </w:txbxContent>
                    </wps:txbx>
                    <wps:bodyPr lIns="0" tIns="0" rIns="0" bIns="0" anchor="t">
                      <a:noAutofit/>
                    </wps:bodyPr>
                  </wps:wsp>
                </a:graphicData>
              </a:graphic>
            </wp:anchor>
          </w:drawing>
        </mc:Choice>
        <mc:Fallback>
          <w:pict>
            <v:rect w14:anchorId="62C59434" id="Frame7" o:spid="_x0000_s1036" style="position:absolute;left:0;text-align:left;margin-left:474.5pt;margin-top:-.15pt;width:23.85pt;height:14.3pt;z-index:-251649024;visibility:visible;mso-wrap-style:square;mso-wrap-distance-left:.05pt;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" o:allowincell="f" filled="f" stroked="f" strokeweight="0">
              <v:textbox inset="0,0,0,0">
                <w:txbxContent>
                  <w:p w14:paraId="2FB6FAFD"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134</w:t>
                    </w:r>
                    <w:r>
                      <w:rPr>
                        <w:rStyle w:val="Heading7Char"/>
                        <w:color w:val="000000"/>
                      </w:rPr>
                      <w:fldChar w:fldCharType="end"/>
                    </w:r>
                  </w:p>
                </w:txbxContent>
              </v:textbox>
              <w10:wrap anchorx="margin"/>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CBBB" w14:textId="77777777" w:rsidR="00646B26" w:rsidRDefault="00646B26">
    <w:pPr>
      <w:pStyle w:val="Footer"/>
    </w:pPr>
    <w:r>
      <w:rPr>
        <w:noProof/>
      </w:rPr>
      <mc:AlternateContent>
        <mc:Choice Requires="wps">
          <w:drawing>
            <wp:anchor distT="0" distB="0" distL="635" distR="0" simplePos="0" relativeHeight="251668480" behindDoc="1" locked="0" layoutInCell="0" allowOverlap="1" wp14:anchorId="5E4DC717" wp14:editId="68DB98EA">
              <wp:simplePos x="0" y="0"/>
              <wp:positionH relativeFrom="margin">
                <wp:posOffset>6026150</wp:posOffset>
              </wp:positionH>
              <wp:positionV relativeFrom="paragraph">
                <wp:posOffset>-1905</wp:posOffset>
              </wp:positionV>
              <wp:extent cx="302895" cy="181610"/>
              <wp:effectExtent l="635" t="0" r="0" b="0"/>
              <wp:wrapNone/>
              <wp:docPr id="13" name="Frame7"/>
              <wp:cNvGraphicFramePr/>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scrgbClr r="0" g="0" b="0"/>
                      </a:lnRef>
                      <a:fillRef idx="0">
                        <a:scrgbClr r="0" g="0" b="0"/>
                      </a:fillRef>
                      <a:effectRef idx="0">
                        <a:scrgbClr r="0" g="0" b="0"/>
                      </a:effectRef>
                      <a:fontRef idx="minor"/>
                    </wps:style>
                    <wps:txbx>
                      <w:txbxContent>
                        <w:p w14:paraId="19C7838B"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134</w:t>
                          </w:r>
                          <w:r>
                            <w:rPr>
                              <w:rStyle w:val="Heading7Char"/>
                              <w:color w:val="000000"/>
                            </w:rPr>
                            <w:fldChar w:fldCharType="end"/>
                          </w:r>
                        </w:p>
                      </w:txbxContent>
                    </wps:txbx>
                    <wps:bodyPr lIns="0" tIns="0" rIns="0" bIns="0" anchor="t">
                      <a:noAutofit/>
                    </wps:bodyPr>
                  </wps:wsp>
                </a:graphicData>
              </a:graphic>
            </wp:anchor>
          </w:drawing>
        </mc:Choice>
        <mc:Fallback>
          <w:pict>
            <v:rect w14:anchorId="5E4DC717" id="_x0000_s1037" style="position:absolute;left:0;text-align:left;margin-left:474.5pt;margin-top:-.15pt;width:23.85pt;height:14.3pt;z-index:-251648000;visibility:visible;mso-wrap-style:square;mso-wrap-distance-left:.05pt;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" o:allowincell="f" filled="f" stroked="f" strokeweight="0">
              <v:textbox inset="0,0,0,0">
                <w:txbxContent>
                  <w:p w14:paraId="19C7838B"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134</w:t>
                    </w:r>
                    <w:r>
                      <w:rPr>
                        <w:rStyle w:val="Heading7Char"/>
                        <w:color w:val="000000"/>
                      </w:rPr>
                      <w:fldChar w:fldCharType="end"/>
                    </w:r>
                  </w:p>
                </w:txbxContent>
              </v:textbox>
              <w10:wrap anchorx="margin"/>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461417"/>
      <w:docPartObj>
        <w:docPartGallery w:val="Page Numbers (Bottom of Page)"/>
        <w:docPartUnique/>
      </w:docPartObj>
    </w:sdtPr>
    <w:sdtContent>
      <w:p w14:paraId="1ECDB5F8" w14:textId="77777777" w:rsidR="00646B26" w:rsidRDefault="00646B26" w:rsidP="00793A29">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CAA7DC" w14:textId="77777777" w:rsidR="00646B26" w:rsidRDefault="00646B26" w:rsidP="004423B7">
    <w:pPr>
      <w:pStyle w:val="Footer"/>
      <w:ind w:right="360"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21F4" w14:textId="77777777" w:rsidR="00646B26" w:rsidRDefault="00646B26" w:rsidP="004423B7">
    <w:pPr>
      <w:pStyle w:val="Footer"/>
      <w:ind w:right="360" w:firstLine="360"/>
    </w:pPr>
    <w:r>
      <w:rPr>
        <w:noProof/>
      </w:rPr>
      <mc:AlternateContent>
        <mc:Choice Requires="wps">
          <w:drawing>
            <wp:anchor distT="0" distB="0" distL="635" distR="0" simplePos="0" relativeHeight="251669504" behindDoc="1" locked="0" layoutInCell="0" allowOverlap="1" wp14:anchorId="4B8647DC" wp14:editId="797FB09D">
              <wp:simplePos x="0" y="0"/>
              <wp:positionH relativeFrom="margin">
                <wp:posOffset>6026150</wp:posOffset>
              </wp:positionH>
              <wp:positionV relativeFrom="paragraph">
                <wp:posOffset>-1905</wp:posOffset>
              </wp:positionV>
              <wp:extent cx="302895" cy="181610"/>
              <wp:effectExtent l="635" t="0" r="0" b="0"/>
              <wp:wrapNone/>
              <wp:docPr id="15" name="Frame 11"/>
              <wp:cNvGraphicFramePr/>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scrgbClr r="0" g="0" b="0"/>
                      </a:lnRef>
                      <a:fillRef idx="0">
                        <a:scrgbClr r="0" g="0" b="0"/>
                      </a:fillRef>
                      <a:effectRef idx="0">
                        <a:scrgbClr r="0" g="0" b="0"/>
                      </a:effectRef>
                      <a:fontRef idx="minor"/>
                    </wps:style>
                    <wps:txbx>
                      <w:txbxContent>
                        <w:p w14:paraId="160E37DA"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212</w:t>
                          </w:r>
                          <w:r>
                            <w:rPr>
                              <w:rStyle w:val="Heading7Char"/>
                              <w:color w:val="000000"/>
                            </w:rPr>
                            <w:fldChar w:fldCharType="end"/>
                          </w:r>
                        </w:p>
                      </w:txbxContent>
                    </wps:txbx>
                    <wps:bodyPr lIns="0" tIns="0" rIns="0" bIns="0" anchor="t">
                      <a:noAutofit/>
                    </wps:bodyPr>
                  </wps:wsp>
                </a:graphicData>
              </a:graphic>
            </wp:anchor>
          </w:drawing>
        </mc:Choice>
        <mc:Fallback>
          <w:pict>
            <v:rect w14:anchorId="4B8647DC" id="Frame 11" o:spid="_x0000_s1038" style="position:absolute;left:0;text-align:left;margin-left:474.5pt;margin-top:-.15pt;width:23.85pt;height:14.3pt;z-index:-251646976;visibility:visible;mso-wrap-style:square;mso-wrap-distance-left:.05pt;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" o:allowincell="f" filled="f" stroked="f" strokeweight="0">
              <v:textbox inset="0,0,0,0">
                <w:txbxContent>
                  <w:p w14:paraId="160E37DA"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212</w:t>
                    </w:r>
                    <w:r>
                      <w:rPr>
                        <w:rStyle w:val="Heading7Char"/>
                        <w:color w:val="000000"/>
                      </w:rPr>
                      <w:fldChar w:fldCharType="end"/>
                    </w:r>
                  </w:p>
                </w:txbxContent>
              </v:textbox>
              <w10:wrap anchorx="margin"/>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B385" w14:textId="77777777" w:rsidR="00646B26" w:rsidRDefault="00646B26">
    <w:pPr>
      <w:pStyle w:val="Footer"/>
    </w:pPr>
    <w:r>
      <w:rPr>
        <w:noProof/>
      </w:rPr>
      <mc:AlternateContent>
        <mc:Choice Requires="wps">
          <w:drawing>
            <wp:anchor distT="0" distB="0" distL="635" distR="0" simplePos="0" relativeHeight="251670528" behindDoc="1" locked="0" layoutInCell="0" allowOverlap="1" wp14:anchorId="32A7743E" wp14:editId="5D233614">
              <wp:simplePos x="0" y="0"/>
              <wp:positionH relativeFrom="margin">
                <wp:posOffset>6026150</wp:posOffset>
              </wp:positionH>
              <wp:positionV relativeFrom="paragraph">
                <wp:posOffset>-1905</wp:posOffset>
              </wp:positionV>
              <wp:extent cx="302895" cy="181610"/>
              <wp:effectExtent l="635" t="0" r="0" b="0"/>
              <wp:wrapNone/>
              <wp:docPr id="16" name="Frame 11"/>
              <wp:cNvGraphicFramePr/>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scrgbClr r="0" g="0" b="0"/>
                      </a:lnRef>
                      <a:fillRef idx="0">
                        <a:scrgbClr r="0" g="0" b="0"/>
                      </a:fillRef>
                      <a:effectRef idx="0">
                        <a:scrgbClr r="0" g="0" b="0"/>
                      </a:effectRef>
                      <a:fontRef idx="minor"/>
                    </wps:style>
                    <wps:txbx>
                      <w:txbxContent>
                        <w:p w14:paraId="3A815D31"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212</w:t>
                          </w:r>
                          <w:r>
                            <w:rPr>
                              <w:rStyle w:val="Heading7Char"/>
                              <w:color w:val="000000"/>
                            </w:rPr>
                            <w:fldChar w:fldCharType="end"/>
                          </w:r>
                        </w:p>
                      </w:txbxContent>
                    </wps:txbx>
                    <wps:bodyPr lIns="0" tIns="0" rIns="0" bIns="0" anchor="t">
                      <a:noAutofit/>
                    </wps:bodyPr>
                  </wps:wsp>
                </a:graphicData>
              </a:graphic>
            </wp:anchor>
          </w:drawing>
        </mc:Choice>
        <mc:Fallback>
          <w:pict>
            <v:rect w14:anchorId="32A7743E" id="_x0000_s1039" style="position:absolute;left:0;text-align:left;margin-left:474.5pt;margin-top:-.15pt;width:23.85pt;height:14.3pt;z-index:-251645952;visibility:visible;mso-wrap-style:square;mso-wrap-distance-left:.05pt;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" o:allowincell="f" filled="f" stroked="f" strokeweight="0">
              <v:textbox inset="0,0,0,0">
                <w:txbxContent>
                  <w:p w14:paraId="3A815D31" w14:textId="77777777" w:rsidR="00646B26" w:rsidRDefault="00646B26">
                    <w:pPr>
                      <w:pStyle w:val="BodyTextChar1"/>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212</w:t>
                    </w:r>
                    <w:r>
                      <w:rPr>
                        <w:rStyle w:val="Heading7Char"/>
                        <w:color w:val="000000"/>
                      </w:rPr>
                      <w:fldChar w:fldCharType="end"/>
                    </w:r>
                  </w:p>
                </w:txbxContent>
              </v:textbox>
              <w10:wrap anchorx="margin"/>
            </v:rect>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905DC"/>
    <w:multiLevelType w:val="hybridMultilevel"/>
    <w:tmpl w:val="6896D536"/>
    <w:lvl w:ilvl="0" w:tplc="95008F5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066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26"/>
    <w:rsid w:val="000924A4"/>
    <w:rsid w:val="003319A6"/>
    <w:rsid w:val="005D3EB3"/>
    <w:rsid w:val="005E7D92"/>
    <w:rsid w:val="00646B26"/>
    <w:rsid w:val="00672F26"/>
    <w:rsid w:val="008D3CB8"/>
    <w:rsid w:val="00A04F2B"/>
    <w:rsid w:val="00D4201D"/>
    <w:rsid w:val="00E158D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4411428"/>
  <w15:chartTrackingRefBased/>
  <w15:docId w15:val="{9FF54C84-3AA5-DB4D-9F6F-AEFED82E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qFormat="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B26"/>
    <w:pPr>
      <w:suppressAutoHyphens/>
      <w:spacing w:after="0" w:line="480" w:lineRule="auto"/>
      <w:jc w:val="both"/>
    </w:pPr>
    <w:rPr>
      <w:rFonts w:ascii="Calibri" w:eastAsia="Times New Roman" w:hAnsi="Calibri" w:cs="Times New Roman"/>
      <w:kern w:val="0"/>
      <w:lang w:val="en-GB" w:eastAsia="en-GB"/>
      <w14:ligatures w14:val="none"/>
    </w:rPr>
  </w:style>
  <w:style w:type="paragraph" w:styleId="Heading1">
    <w:name w:val="heading 1"/>
    <w:basedOn w:val="Normal"/>
    <w:next w:val="Normal"/>
    <w:link w:val="Heading1Char"/>
    <w:uiPriority w:val="9"/>
    <w:qFormat/>
    <w:rsid w:val="00646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6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6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46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B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46B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6B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6B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46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646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sid w:val="00646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qFormat/>
    <w:rsid w:val="00646B26"/>
    <w:rPr>
      <w:rFonts w:eastAsiaTheme="majorEastAsia" w:cstheme="majorBidi"/>
      <w:i/>
      <w:iCs/>
      <w:color w:val="2F5496" w:themeColor="accent1" w:themeShade="BF"/>
    </w:rPr>
  </w:style>
  <w:style w:type="character" w:customStyle="1" w:styleId="Heading5Char">
    <w:name w:val="Heading 5 Char"/>
    <w:basedOn w:val="DefaultParagraphFont"/>
    <w:link w:val="Heading5"/>
    <w:qFormat/>
    <w:rsid w:val="00646B26"/>
    <w:rPr>
      <w:rFonts w:eastAsiaTheme="majorEastAsia" w:cstheme="majorBidi"/>
      <w:color w:val="2F5496" w:themeColor="accent1" w:themeShade="BF"/>
    </w:rPr>
  </w:style>
  <w:style w:type="character" w:customStyle="1" w:styleId="Heading6Char">
    <w:name w:val="Heading 6 Char"/>
    <w:basedOn w:val="DefaultParagraphFont"/>
    <w:link w:val="Heading6"/>
    <w:qFormat/>
    <w:rsid w:val="00646B26"/>
    <w:rPr>
      <w:rFonts w:eastAsiaTheme="majorEastAsia" w:cstheme="majorBidi"/>
      <w:i/>
      <w:iCs/>
      <w:color w:val="595959" w:themeColor="text1" w:themeTint="A6"/>
    </w:rPr>
  </w:style>
  <w:style w:type="character" w:customStyle="1" w:styleId="Heading7Char">
    <w:name w:val="Heading 7 Char"/>
    <w:basedOn w:val="DefaultParagraphFont"/>
    <w:link w:val="Heading7"/>
    <w:qFormat/>
    <w:rsid w:val="00646B26"/>
    <w:rPr>
      <w:rFonts w:eastAsiaTheme="majorEastAsia" w:cstheme="majorBidi"/>
      <w:color w:val="595959" w:themeColor="text1" w:themeTint="A6"/>
    </w:rPr>
  </w:style>
  <w:style w:type="character" w:customStyle="1" w:styleId="Heading8Char">
    <w:name w:val="Heading 8 Char"/>
    <w:basedOn w:val="DefaultParagraphFont"/>
    <w:link w:val="Heading8"/>
    <w:qFormat/>
    <w:rsid w:val="00646B26"/>
    <w:rPr>
      <w:rFonts w:eastAsiaTheme="majorEastAsia" w:cstheme="majorBidi"/>
      <w:i/>
      <w:iCs/>
      <w:color w:val="272727" w:themeColor="text1" w:themeTint="D8"/>
    </w:rPr>
  </w:style>
  <w:style w:type="character" w:customStyle="1" w:styleId="Heading9Char">
    <w:name w:val="Heading 9 Char"/>
    <w:basedOn w:val="DefaultParagraphFont"/>
    <w:link w:val="Heading9"/>
    <w:qFormat/>
    <w:rsid w:val="00646B26"/>
    <w:rPr>
      <w:rFonts w:eastAsiaTheme="majorEastAsia" w:cstheme="majorBidi"/>
      <w:color w:val="272727" w:themeColor="text1" w:themeTint="D8"/>
    </w:rPr>
  </w:style>
  <w:style w:type="paragraph" w:styleId="Title">
    <w:name w:val="Title"/>
    <w:basedOn w:val="Normal"/>
    <w:next w:val="Normal"/>
    <w:link w:val="TitleChar"/>
    <w:uiPriority w:val="10"/>
    <w:qFormat/>
    <w:rsid w:val="0064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646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646B26"/>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646B26"/>
    <w:pPr>
      <w:spacing w:before="160"/>
      <w:jc w:val="center"/>
    </w:pPr>
    <w:rPr>
      <w:i/>
      <w:iCs/>
      <w:color w:val="404040" w:themeColor="text1" w:themeTint="BF"/>
    </w:rPr>
  </w:style>
  <w:style w:type="character" w:customStyle="1" w:styleId="QuoteChar">
    <w:name w:val="Quote Char"/>
    <w:basedOn w:val="DefaultParagraphFont"/>
    <w:link w:val="Quote"/>
    <w:qFormat/>
    <w:rsid w:val="00646B26"/>
    <w:rPr>
      <w:i/>
      <w:iCs/>
      <w:color w:val="404040" w:themeColor="text1" w:themeTint="BF"/>
    </w:rPr>
  </w:style>
  <w:style w:type="paragraph" w:styleId="ListParagraph">
    <w:name w:val="List Paragraph"/>
    <w:basedOn w:val="Normal"/>
    <w:qFormat/>
    <w:rsid w:val="00646B26"/>
    <w:pPr>
      <w:ind w:left="720"/>
      <w:contextualSpacing/>
    </w:pPr>
  </w:style>
  <w:style w:type="character" w:styleId="IntenseEmphasis">
    <w:name w:val="Intense Emphasis"/>
    <w:basedOn w:val="DefaultParagraphFont"/>
    <w:qFormat/>
    <w:rsid w:val="00646B26"/>
    <w:rPr>
      <w:i/>
      <w:iCs/>
      <w:color w:val="2F5496" w:themeColor="accent1" w:themeShade="BF"/>
    </w:rPr>
  </w:style>
  <w:style w:type="paragraph" w:styleId="IntenseQuote">
    <w:name w:val="Intense Quote"/>
    <w:basedOn w:val="Normal"/>
    <w:next w:val="Normal"/>
    <w:link w:val="IntenseQuoteChar"/>
    <w:qFormat/>
    <w:rsid w:val="00646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qFormat/>
    <w:rsid w:val="00646B26"/>
    <w:rPr>
      <w:i/>
      <w:iCs/>
      <w:color w:val="2F5496" w:themeColor="accent1" w:themeShade="BF"/>
    </w:rPr>
  </w:style>
  <w:style w:type="character" w:styleId="IntenseReference">
    <w:name w:val="Intense Reference"/>
    <w:basedOn w:val="DefaultParagraphFont"/>
    <w:qFormat/>
    <w:rsid w:val="00646B26"/>
    <w:rPr>
      <w:b/>
      <w:bCs/>
      <w:smallCaps/>
      <w:color w:val="2F5496" w:themeColor="accent1" w:themeShade="BF"/>
      <w:spacing w:val="5"/>
    </w:rPr>
  </w:style>
  <w:style w:type="character" w:customStyle="1" w:styleId="katex-mathml">
    <w:name w:val="katex-mathml"/>
    <w:basedOn w:val="DefaultParagraphFont"/>
    <w:qFormat/>
    <w:rsid w:val="00646B26"/>
  </w:style>
  <w:style w:type="character" w:customStyle="1" w:styleId="mord">
    <w:name w:val="mord"/>
    <w:basedOn w:val="DefaultParagraphFont"/>
    <w:qFormat/>
    <w:rsid w:val="00646B26"/>
  </w:style>
  <w:style w:type="character" w:customStyle="1" w:styleId="vlist-s">
    <w:name w:val="vlist-s"/>
    <w:basedOn w:val="DefaultParagraphFont"/>
    <w:qFormat/>
    <w:rsid w:val="00646B26"/>
  </w:style>
  <w:style w:type="character" w:customStyle="1" w:styleId="mrel">
    <w:name w:val="mrel"/>
    <w:basedOn w:val="DefaultParagraphFont"/>
    <w:qFormat/>
    <w:rsid w:val="00646B26"/>
  </w:style>
  <w:style w:type="character" w:customStyle="1" w:styleId="mbin">
    <w:name w:val="mbin"/>
    <w:basedOn w:val="DefaultParagraphFont"/>
    <w:qFormat/>
    <w:rsid w:val="00646B26"/>
  </w:style>
  <w:style w:type="character" w:styleId="Strong">
    <w:name w:val="Strong"/>
    <w:basedOn w:val="DefaultParagraphFont"/>
    <w:qFormat/>
    <w:rsid w:val="00646B26"/>
    <w:rPr>
      <w:b/>
      <w:bCs/>
    </w:rPr>
  </w:style>
  <w:style w:type="character" w:customStyle="1" w:styleId="NumberingSymbols">
    <w:name w:val="Numbering Symbols"/>
    <w:qFormat/>
    <w:rsid w:val="00646B26"/>
  </w:style>
  <w:style w:type="character" w:customStyle="1" w:styleId="FooterChar">
    <w:name w:val="Footer Char"/>
    <w:basedOn w:val="DefaultParagraphFont"/>
    <w:link w:val="Footer"/>
    <w:qFormat/>
    <w:rsid w:val="00646B26"/>
    <w:rPr>
      <w:rFonts w:ascii="Calibri" w:eastAsia="Times New Roman" w:hAnsi="Calibri" w:cs="Times New Roman"/>
      <w:kern w:val="0"/>
      <w:lang w:eastAsia="en-GB"/>
    </w:rPr>
  </w:style>
  <w:style w:type="character" w:styleId="PageNumber">
    <w:name w:val="page number"/>
    <w:basedOn w:val="DefaultParagraphFont"/>
    <w:rsid w:val="00646B26"/>
  </w:style>
  <w:style w:type="character" w:customStyle="1" w:styleId="HeaderChar">
    <w:name w:val="Header Char"/>
    <w:basedOn w:val="DefaultParagraphFont"/>
    <w:link w:val="Header"/>
    <w:qFormat/>
    <w:rsid w:val="00646B26"/>
    <w:rPr>
      <w:rFonts w:ascii="Calibri" w:eastAsia="Times New Roman" w:hAnsi="Calibri" w:cs="Times New Roman"/>
      <w:kern w:val="0"/>
      <w:lang w:eastAsia="en-GB"/>
    </w:rPr>
  </w:style>
  <w:style w:type="character" w:customStyle="1" w:styleId="SourceText">
    <w:name w:val="Source Text"/>
    <w:qFormat/>
    <w:rsid w:val="00646B26"/>
    <w:rPr>
      <w:rFonts w:ascii="Nimbus Mono PS" w:eastAsia="Nimbus Mono PS" w:hAnsi="Nimbus Mono PS" w:cs="Nimbus Mono PS"/>
    </w:rPr>
  </w:style>
  <w:style w:type="character" w:styleId="Hyperlink">
    <w:name w:val="Hyperlink"/>
    <w:basedOn w:val="DefaultParagraphFont"/>
    <w:uiPriority w:val="99"/>
    <w:rsid w:val="00646B26"/>
    <w:rPr>
      <w:color w:val="0563C1" w:themeColor="hyperlink"/>
      <w:u w:val="single"/>
    </w:rPr>
  </w:style>
  <w:style w:type="character" w:customStyle="1" w:styleId="IndexLink">
    <w:name w:val="Index Link"/>
    <w:qFormat/>
    <w:rsid w:val="00646B26"/>
  </w:style>
  <w:style w:type="character" w:customStyle="1" w:styleId="Bulletsuser">
    <w:name w:val="Bullets (user)"/>
    <w:qFormat/>
    <w:rsid w:val="00646B26"/>
    <w:rPr>
      <w:rFonts w:ascii="OpenSymbol" w:eastAsia="OpenSymbol" w:hAnsi="OpenSymbol" w:cs="OpenSymbol"/>
    </w:rPr>
  </w:style>
  <w:style w:type="character" w:styleId="Emphasis">
    <w:name w:val="Emphasis"/>
    <w:basedOn w:val="DefaultParagraphFont"/>
    <w:qFormat/>
    <w:rsid w:val="00646B26"/>
    <w:rPr>
      <w:i/>
      <w:iCs/>
    </w:rPr>
  </w:style>
  <w:style w:type="character" w:customStyle="1" w:styleId="BodyTextChar">
    <w:name w:val="Body Text Char"/>
    <w:basedOn w:val="DefaultParagraphFont"/>
    <w:link w:val="BodyText"/>
    <w:qFormat/>
    <w:rsid w:val="00646B26"/>
    <w:rPr>
      <w:rFonts w:ascii="Calibri" w:eastAsia="Times New Roman" w:hAnsi="Calibri" w:cs="Times New Roman"/>
      <w:kern w:val="0"/>
      <w:lang w:eastAsia="en-GB"/>
    </w:rPr>
  </w:style>
  <w:style w:type="character" w:styleId="CommentReference">
    <w:name w:val="annotation reference"/>
    <w:basedOn w:val="DefaultParagraphFont"/>
    <w:qFormat/>
    <w:rsid w:val="00646B26"/>
    <w:rPr>
      <w:sz w:val="16"/>
      <w:szCs w:val="16"/>
    </w:rPr>
  </w:style>
  <w:style w:type="character" w:customStyle="1" w:styleId="CommentTextChar">
    <w:name w:val="Comment Text Char"/>
    <w:basedOn w:val="DefaultParagraphFont"/>
    <w:link w:val="CommentText"/>
    <w:qFormat/>
    <w:rsid w:val="00646B26"/>
    <w:rPr>
      <w:rFonts w:ascii="Calibri" w:eastAsia="Times New Roman" w:hAnsi="Calibri" w:cs="Times New Roman"/>
      <w:kern w:val="0"/>
      <w:sz w:val="20"/>
      <w:szCs w:val="20"/>
      <w:lang w:eastAsia="en-GB"/>
    </w:rPr>
  </w:style>
  <w:style w:type="character" w:customStyle="1" w:styleId="CommentSubjectChar">
    <w:name w:val="Comment Subject Char"/>
    <w:basedOn w:val="CommentTextChar"/>
    <w:link w:val="CommentSubject"/>
    <w:qFormat/>
    <w:rsid w:val="00646B26"/>
    <w:rPr>
      <w:rFonts w:ascii="Calibri" w:eastAsia="Times New Roman" w:hAnsi="Calibri" w:cs="Times New Roman"/>
      <w:b/>
      <w:bCs/>
      <w:kern w:val="0"/>
      <w:sz w:val="20"/>
      <w:szCs w:val="20"/>
      <w:lang w:eastAsia="en-GB"/>
    </w:rPr>
  </w:style>
  <w:style w:type="character" w:customStyle="1" w:styleId="mspace">
    <w:name w:val="mspace"/>
    <w:basedOn w:val="DefaultParagraphFont"/>
    <w:qFormat/>
    <w:rsid w:val="00646B26"/>
  </w:style>
  <w:style w:type="character" w:customStyle="1" w:styleId="mopen">
    <w:name w:val="mopen"/>
    <w:basedOn w:val="DefaultParagraphFont"/>
    <w:qFormat/>
    <w:rsid w:val="00646B26"/>
  </w:style>
  <w:style w:type="character" w:customStyle="1" w:styleId="mclose">
    <w:name w:val="mclose"/>
    <w:basedOn w:val="DefaultParagraphFont"/>
    <w:qFormat/>
    <w:rsid w:val="00646B26"/>
  </w:style>
  <w:style w:type="character" w:customStyle="1" w:styleId="Bullets">
    <w:name w:val="Bullets"/>
    <w:qFormat/>
    <w:rsid w:val="00646B26"/>
    <w:rPr>
      <w:rFonts w:ascii="OpenSymbol" w:eastAsia="OpenSymbol" w:hAnsi="OpenSymbol" w:cs="OpenSymbol"/>
    </w:rPr>
  </w:style>
  <w:style w:type="paragraph" w:customStyle="1" w:styleId="Heading">
    <w:name w:val="Heading"/>
    <w:basedOn w:val="Normal"/>
    <w:next w:val="BodyText"/>
    <w:qFormat/>
    <w:rsid w:val="00646B26"/>
    <w:pPr>
      <w:keepNext/>
      <w:spacing w:before="240" w:after="120"/>
    </w:pPr>
    <w:rPr>
      <w:rFonts w:ascii="Nimbus Sans" w:eastAsia="Nimbus Sans" w:hAnsi="Nimbus Sans" w:cs="FreeSans"/>
      <w:sz w:val="28"/>
      <w:szCs w:val="28"/>
    </w:rPr>
  </w:style>
  <w:style w:type="paragraph" w:styleId="BodyText">
    <w:name w:val="Body Text"/>
    <w:basedOn w:val="Normal"/>
    <w:link w:val="BodyTextChar"/>
    <w:rsid w:val="00646B26"/>
    <w:pPr>
      <w:spacing w:after="140" w:line="276" w:lineRule="auto"/>
    </w:pPr>
    <w:rPr>
      <w:lang w:val="en-NG"/>
      <w14:ligatures w14:val="standardContextual"/>
    </w:rPr>
  </w:style>
  <w:style w:type="character" w:customStyle="1" w:styleId="BodyTextChar1">
    <w:name w:val="Body Text Char1"/>
    <w:basedOn w:val="DefaultParagraphFont"/>
    <w:uiPriority w:val="99"/>
    <w:semiHidden/>
    <w:rsid w:val="00646B26"/>
    <w:rPr>
      <w:rFonts w:ascii="Calibri" w:eastAsia="Times New Roman" w:hAnsi="Calibri" w:cs="Times New Roman"/>
      <w:kern w:val="0"/>
      <w:lang w:val="en-GB" w:eastAsia="en-GB"/>
      <w14:ligatures w14:val="none"/>
    </w:rPr>
  </w:style>
  <w:style w:type="paragraph" w:styleId="List">
    <w:name w:val="List"/>
    <w:basedOn w:val="BodyText"/>
    <w:rsid w:val="00646B26"/>
    <w:rPr>
      <w:rFonts w:cs="FreeSans"/>
    </w:rPr>
  </w:style>
  <w:style w:type="paragraph" w:styleId="Caption">
    <w:name w:val="caption"/>
    <w:basedOn w:val="Normal"/>
    <w:qFormat/>
    <w:rsid w:val="00646B26"/>
    <w:pPr>
      <w:suppressLineNumbers/>
      <w:spacing w:before="120" w:after="120"/>
    </w:pPr>
    <w:rPr>
      <w:rFonts w:cs="FreeSans"/>
      <w:i/>
      <w:iCs/>
    </w:rPr>
  </w:style>
  <w:style w:type="paragraph" w:customStyle="1" w:styleId="Index">
    <w:name w:val="Index"/>
    <w:basedOn w:val="Normal"/>
    <w:qFormat/>
    <w:rsid w:val="00646B26"/>
    <w:pPr>
      <w:suppressLineNumbers/>
    </w:pPr>
    <w:rPr>
      <w:rFonts w:cs="FreeSans"/>
    </w:rPr>
  </w:style>
  <w:style w:type="paragraph" w:styleId="Revision">
    <w:name w:val="Revision"/>
    <w:qFormat/>
    <w:rsid w:val="00646B26"/>
    <w:pPr>
      <w:suppressAutoHyphens/>
      <w:spacing w:after="0" w:line="240" w:lineRule="auto"/>
    </w:pPr>
    <w:rPr>
      <w:rFonts w:ascii="Calibri" w:eastAsia="Times New Roman" w:hAnsi="Calibri" w:cs="Times New Roman"/>
      <w:kern w:val="0"/>
      <w:lang w:val="en-GB" w:eastAsia="en-GB"/>
      <w14:ligatures w14:val="none"/>
    </w:rPr>
  </w:style>
  <w:style w:type="paragraph" w:customStyle="1" w:styleId="break-words">
    <w:name w:val="break-words"/>
    <w:basedOn w:val="Normal"/>
    <w:qFormat/>
    <w:rsid w:val="00646B26"/>
    <w:pPr>
      <w:spacing w:before="280" w:after="280" w:line="240" w:lineRule="auto"/>
      <w:jc w:val="left"/>
    </w:pPr>
    <w:rPr>
      <w:rFonts w:ascii="Times New Roman" w:hAnsi="Times New Roman"/>
    </w:rPr>
  </w:style>
  <w:style w:type="paragraph" w:customStyle="1" w:styleId="msonormal0">
    <w:name w:val="msonormal"/>
    <w:basedOn w:val="Normal"/>
    <w:qFormat/>
    <w:rsid w:val="00646B26"/>
    <w:pPr>
      <w:spacing w:before="280" w:after="280" w:line="240" w:lineRule="auto"/>
      <w:jc w:val="left"/>
    </w:pPr>
    <w:rPr>
      <w:rFonts w:ascii="Times New Roman" w:hAnsi="Times New Roman"/>
    </w:rPr>
  </w:style>
  <w:style w:type="paragraph" w:styleId="NormalWeb">
    <w:name w:val="Normal (Web)"/>
    <w:basedOn w:val="Normal"/>
    <w:qFormat/>
    <w:rsid w:val="00646B26"/>
    <w:pPr>
      <w:spacing w:before="280" w:after="280" w:line="240" w:lineRule="auto"/>
      <w:jc w:val="left"/>
    </w:pPr>
    <w:rPr>
      <w:rFonts w:ascii="Times New Roman" w:hAnsi="Times New Roman"/>
    </w:rPr>
  </w:style>
  <w:style w:type="paragraph" w:customStyle="1" w:styleId="TableContents">
    <w:name w:val="Table Contents"/>
    <w:basedOn w:val="Normal"/>
    <w:qFormat/>
    <w:rsid w:val="00646B26"/>
    <w:pPr>
      <w:widowControl w:val="0"/>
      <w:suppressLineNumbers/>
      <w:spacing w:line="240" w:lineRule="auto"/>
    </w:pPr>
  </w:style>
  <w:style w:type="paragraph" w:customStyle="1" w:styleId="TableHeading">
    <w:name w:val="Table Heading"/>
    <w:basedOn w:val="TableContents"/>
    <w:qFormat/>
    <w:rsid w:val="00646B26"/>
    <w:pPr>
      <w:jc w:val="center"/>
    </w:pPr>
    <w:rPr>
      <w:b/>
      <w:bCs/>
    </w:rPr>
  </w:style>
  <w:style w:type="paragraph" w:customStyle="1" w:styleId="HeaderandFooter">
    <w:name w:val="Header and Footer"/>
    <w:basedOn w:val="Normal"/>
    <w:qFormat/>
    <w:rsid w:val="00646B26"/>
  </w:style>
  <w:style w:type="paragraph" w:styleId="Footer">
    <w:name w:val="footer"/>
    <w:basedOn w:val="Normal"/>
    <w:link w:val="FooterChar"/>
    <w:rsid w:val="00646B26"/>
    <w:pPr>
      <w:tabs>
        <w:tab w:val="center" w:pos="4513"/>
        <w:tab w:val="right" w:pos="9026"/>
      </w:tabs>
      <w:spacing w:line="240" w:lineRule="auto"/>
    </w:pPr>
    <w:rPr>
      <w:lang w:val="en-NG"/>
      <w14:ligatures w14:val="standardContextual"/>
    </w:rPr>
  </w:style>
  <w:style w:type="character" w:customStyle="1" w:styleId="FooterChar1">
    <w:name w:val="Footer Char1"/>
    <w:basedOn w:val="DefaultParagraphFont"/>
    <w:uiPriority w:val="99"/>
    <w:semiHidden/>
    <w:rsid w:val="00646B26"/>
    <w:rPr>
      <w:rFonts w:ascii="Calibri" w:eastAsia="Times New Roman" w:hAnsi="Calibri" w:cs="Times New Roman"/>
      <w:kern w:val="0"/>
      <w:lang w:val="en-GB" w:eastAsia="en-GB"/>
      <w14:ligatures w14:val="none"/>
    </w:rPr>
  </w:style>
  <w:style w:type="paragraph" w:styleId="Header">
    <w:name w:val="header"/>
    <w:basedOn w:val="Normal"/>
    <w:link w:val="HeaderChar"/>
    <w:rsid w:val="00646B26"/>
    <w:pPr>
      <w:tabs>
        <w:tab w:val="center" w:pos="4513"/>
        <w:tab w:val="right" w:pos="9026"/>
      </w:tabs>
      <w:spacing w:line="240" w:lineRule="auto"/>
    </w:pPr>
    <w:rPr>
      <w:lang w:val="en-NG"/>
      <w14:ligatures w14:val="standardContextual"/>
    </w:rPr>
  </w:style>
  <w:style w:type="character" w:customStyle="1" w:styleId="HeaderChar1">
    <w:name w:val="Header Char1"/>
    <w:basedOn w:val="DefaultParagraphFont"/>
    <w:uiPriority w:val="99"/>
    <w:semiHidden/>
    <w:rsid w:val="00646B26"/>
    <w:rPr>
      <w:rFonts w:ascii="Calibri" w:eastAsia="Times New Roman" w:hAnsi="Calibri" w:cs="Times New Roman"/>
      <w:kern w:val="0"/>
      <w:lang w:val="en-GB" w:eastAsia="en-GB"/>
      <w14:ligatures w14:val="none"/>
    </w:rPr>
  </w:style>
  <w:style w:type="paragraph" w:customStyle="1" w:styleId="PreformattedText">
    <w:name w:val="Preformatted Text"/>
    <w:basedOn w:val="Normal"/>
    <w:qFormat/>
    <w:rsid w:val="00646B26"/>
    <w:pPr>
      <w:suppressAutoHyphens w:val="0"/>
    </w:pPr>
    <w:rPr>
      <w:rFonts w:ascii="Nimbus Mono PS" w:eastAsia="Nimbus Mono PS" w:hAnsi="Nimbus Mono PS" w:cs="Nimbus Mono PS"/>
      <w:sz w:val="20"/>
      <w:szCs w:val="20"/>
    </w:rPr>
  </w:style>
  <w:style w:type="paragraph" w:styleId="Index1">
    <w:name w:val="index 1"/>
    <w:basedOn w:val="Normal"/>
    <w:next w:val="Normal"/>
    <w:autoRedefine/>
    <w:rsid w:val="00646B26"/>
    <w:pPr>
      <w:spacing w:line="240" w:lineRule="auto"/>
      <w:ind w:left="240" w:hanging="240"/>
    </w:pPr>
  </w:style>
  <w:style w:type="paragraph" w:styleId="IndexHeading">
    <w:name w:val="index heading"/>
    <w:basedOn w:val="Heading"/>
    <w:rsid w:val="00646B26"/>
    <w:pPr>
      <w:suppressAutoHyphens w:val="0"/>
      <w:jc w:val="center"/>
    </w:pPr>
    <w:rPr>
      <w:rFonts w:ascii="Calibri Light" w:eastAsia="Times New Roman" w:hAnsi="Calibri Light" w:cs="Times New Roman"/>
      <w:b/>
      <w:sz w:val="24"/>
    </w:rPr>
  </w:style>
  <w:style w:type="paragraph" w:styleId="TOCHeading">
    <w:name w:val="TOC Heading"/>
    <w:basedOn w:val="Heading1"/>
    <w:next w:val="Normal"/>
    <w:uiPriority w:val="39"/>
    <w:qFormat/>
    <w:rsid w:val="00646B26"/>
    <w:pPr>
      <w:spacing w:before="480" w:after="0" w:line="276" w:lineRule="auto"/>
      <w:jc w:val="center"/>
      <w:outlineLvl w:val="9"/>
    </w:pPr>
    <w:rPr>
      <w:rFonts w:ascii="Arial" w:eastAsia="DejaVu Sans" w:hAnsi="Arial" w:cs="DejaVu Sans"/>
      <w:bCs/>
      <w:sz w:val="28"/>
      <w:szCs w:val="28"/>
    </w:rPr>
  </w:style>
  <w:style w:type="paragraph" w:styleId="TOC1">
    <w:name w:val="toc 1"/>
    <w:basedOn w:val="Normal"/>
    <w:next w:val="Normal"/>
    <w:autoRedefine/>
    <w:uiPriority w:val="39"/>
    <w:rsid w:val="00646B26"/>
    <w:pPr>
      <w:spacing w:before="120"/>
      <w:jc w:val="left"/>
    </w:pPr>
    <w:rPr>
      <w:rFonts w:asciiTheme="minorHAnsi" w:hAnsiTheme="minorHAnsi" w:cstheme="minorHAnsi"/>
      <w:b/>
      <w:bCs/>
      <w:i/>
      <w:iCs/>
    </w:rPr>
  </w:style>
  <w:style w:type="paragraph" w:styleId="TOC2">
    <w:name w:val="toc 2"/>
    <w:basedOn w:val="Normal"/>
    <w:next w:val="Normal"/>
    <w:autoRedefine/>
    <w:uiPriority w:val="39"/>
    <w:rsid w:val="00646B26"/>
    <w:pPr>
      <w:spacing w:before="120"/>
      <w:ind w:left="240"/>
      <w:jc w:val="left"/>
    </w:pPr>
    <w:rPr>
      <w:rFonts w:asciiTheme="minorHAnsi" w:hAnsiTheme="minorHAnsi" w:cstheme="minorHAnsi"/>
      <w:b/>
      <w:bCs/>
      <w:sz w:val="22"/>
      <w:szCs w:val="22"/>
    </w:rPr>
  </w:style>
  <w:style w:type="paragraph" w:styleId="TOC3">
    <w:name w:val="toc 3"/>
    <w:basedOn w:val="Normal"/>
    <w:next w:val="Normal"/>
    <w:autoRedefine/>
    <w:uiPriority w:val="39"/>
    <w:rsid w:val="00646B26"/>
    <w:pPr>
      <w:ind w:left="480"/>
      <w:jc w:val="left"/>
    </w:pPr>
    <w:rPr>
      <w:rFonts w:asciiTheme="minorHAnsi" w:hAnsiTheme="minorHAnsi" w:cstheme="minorHAnsi"/>
      <w:sz w:val="20"/>
      <w:szCs w:val="20"/>
    </w:rPr>
  </w:style>
  <w:style w:type="paragraph" w:styleId="TOC4">
    <w:name w:val="toc 4"/>
    <w:basedOn w:val="Normal"/>
    <w:next w:val="Normal"/>
    <w:autoRedefine/>
    <w:uiPriority w:val="39"/>
    <w:rsid w:val="00646B26"/>
    <w:pPr>
      <w:ind w:left="720"/>
      <w:jc w:val="left"/>
    </w:pPr>
    <w:rPr>
      <w:rFonts w:asciiTheme="minorHAnsi" w:hAnsiTheme="minorHAnsi" w:cstheme="minorHAnsi"/>
      <w:sz w:val="20"/>
      <w:szCs w:val="20"/>
    </w:rPr>
  </w:style>
  <w:style w:type="paragraph" w:styleId="TOC5">
    <w:name w:val="toc 5"/>
    <w:basedOn w:val="Normal"/>
    <w:next w:val="Normal"/>
    <w:autoRedefine/>
    <w:uiPriority w:val="39"/>
    <w:rsid w:val="00646B26"/>
    <w:pPr>
      <w:ind w:left="960"/>
      <w:jc w:val="left"/>
    </w:pPr>
    <w:rPr>
      <w:rFonts w:asciiTheme="minorHAnsi" w:hAnsiTheme="minorHAnsi" w:cstheme="minorHAnsi"/>
      <w:sz w:val="20"/>
      <w:szCs w:val="20"/>
    </w:rPr>
  </w:style>
  <w:style w:type="paragraph" w:styleId="TOC6">
    <w:name w:val="toc 6"/>
    <w:basedOn w:val="Normal"/>
    <w:next w:val="Normal"/>
    <w:autoRedefine/>
    <w:uiPriority w:val="39"/>
    <w:rsid w:val="00646B26"/>
    <w:pPr>
      <w:ind w:left="1200"/>
      <w:jc w:val="left"/>
    </w:pPr>
    <w:rPr>
      <w:rFonts w:asciiTheme="minorHAnsi" w:hAnsiTheme="minorHAnsi" w:cstheme="minorHAnsi"/>
      <w:sz w:val="20"/>
      <w:szCs w:val="20"/>
    </w:rPr>
  </w:style>
  <w:style w:type="paragraph" w:styleId="TOC7">
    <w:name w:val="toc 7"/>
    <w:basedOn w:val="Normal"/>
    <w:next w:val="Normal"/>
    <w:autoRedefine/>
    <w:uiPriority w:val="39"/>
    <w:rsid w:val="00646B26"/>
    <w:pPr>
      <w:ind w:left="1440"/>
      <w:jc w:val="left"/>
    </w:pPr>
    <w:rPr>
      <w:rFonts w:asciiTheme="minorHAnsi" w:hAnsiTheme="minorHAnsi" w:cstheme="minorHAnsi"/>
      <w:sz w:val="20"/>
      <w:szCs w:val="20"/>
    </w:rPr>
  </w:style>
  <w:style w:type="paragraph" w:styleId="TOC8">
    <w:name w:val="toc 8"/>
    <w:basedOn w:val="Normal"/>
    <w:next w:val="Normal"/>
    <w:autoRedefine/>
    <w:uiPriority w:val="39"/>
    <w:rsid w:val="00646B26"/>
    <w:pPr>
      <w:ind w:left="1680"/>
      <w:jc w:val="left"/>
    </w:pPr>
    <w:rPr>
      <w:rFonts w:asciiTheme="minorHAnsi" w:hAnsiTheme="minorHAnsi" w:cstheme="minorHAnsi"/>
      <w:sz w:val="20"/>
      <w:szCs w:val="20"/>
    </w:rPr>
  </w:style>
  <w:style w:type="paragraph" w:styleId="TOC9">
    <w:name w:val="toc 9"/>
    <w:basedOn w:val="Normal"/>
    <w:next w:val="Normal"/>
    <w:autoRedefine/>
    <w:uiPriority w:val="39"/>
    <w:rsid w:val="00646B26"/>
    <w:pPr>
      <w:ind w:left="1920"/>
      <w:jc w:val="left"/>
    </w:pPr>
    <w:rPr>
      <w:rFonts w:asciiTheme="minorHAnsi" w:hAnsiTheme="minorHAnsi" w:cstheme="minorHAnsi"/>
      <w:sz w:val="20"/>
      <w:szCs w:val="20"/>
    </w:rPr>
  </w:style>
  <w:style w:type="paragraph" w:styleId="TableofFigures">
    <w:name w:val="table of figures"/>
    <w:basedOn w:val="Normal"/>
    <w:next w:val="Normal"/>
    <w:rsid w:val="00646B26"/>
    <w:pPr>
      <w:suppressAutoHyphens w:val="0"/>
      <w:jc w:val="left"/>
    </w:pPr>
    <w:rPr>
      <w:rFonts w:ascii="Arial" w:hAnsi="Arial" w:cs="Arial"/>
      <w:i/>
      <w:iCs/>
      <w:sz w:val="20"/>
      <w:szCs w:val="20"/>
    </w:rPr>
  </w:style>
  <w:style w:type="paragraph" w:customStyle="1" w:styleId="FrameContentsuser">
    <w:name w:val="Frame Contents (user)"/>
    <w:basedOn w:val="Normal"/>
    <w:qFormat/>
    <w:rsid w:val="00646B26"/>
    <w:pPr>
      <w:suppressAutoHyphens w:val="0"/>
    </w:pPr>
  </w:style>
  <w:style w:type="paragraph" w:customStyle="1" w:styleId="HorizontalLine">
    <w:name w:val="Horizontal Line"/>
    <w:basedOn w:val="Normal"/>
    <w:next w:val="BodyText"/>
    <w:qFormat/>
    <w:rsid w:val="00646B26"/>
    <w:pPr>
      <w:suppressLineNumbers/>
      <w:pBdr>
        <w:bottom w:val="double" w:sz="2" w:space="0" w:color="808080"/>
      </w:pBdr>
      <w:suppressAutoHyphens w:val="0"/>
      <w:spacing w:after="283"/>
    </w:pPr>
    <w:rPr>
      <w:sz w:val="12"/>
      <w:szCs w:val="12"/>
    </w:rPr>
  </w:style>
  <w:style w:type="paragraph" w:customStyle="1" w:styleId="FrameContents">
    <w:name w:val="Frame Contents"/>
    <w:basedOn w:val="Normal"/>
    <w:qFormat/>
    <w:rsid w:val="00646B26"/>
    <w:pPr>
      <w:suppressAutoHyphens w:val="0"/>
    </w:pPr>
  </w:style>
  <w:style w:type="paragraph" w:styleId="CommentText">
    <w:name w:val="annotation text"/>
    <w:basedOn w:val="Normal"/>
    <w:link w:val="CommentTextChar"/>
    <w:rsid w:val="00646B26"/>
    <w:pPr>
      <w:spacing w:line="240" w:lineRule="auto"/>
    </w:pPr>
    <w:rPr>
      <w:sz w:val="20"/>
      <w:szCs w:val="20"/>
      <w:lang w:val="en-NG"/>
      <w14:ligatures w14:val="standardContextual"/>
    </w:rPr>
  </w:style>
  <w:style w:type="character" w:customStyle="1" w:styleId="CommentTextChar1">
    <w:name w:val="Comment Text Char1"/>
    <w:basedOn w:val="DefaultParagraphFont"/>
    <w:uiPriority w:val="99"/>
    <w:semiHidden/>
    <w:rsid w:val="00646B26"/>
    <w:rPr>
      <w:rFonts w:ascii="Calibri" w:eastAsia="Times New Roman" w:hAnsi="Calibri" w:cs="Times New Roman"/>
      <w:kern w:val="0"/>
      <w:sz w:val="20"/>
      <w:szCs w:val="20"/>
      <w:lang w:val="en-GB" w:eastAsia="en-GB"/>
      <w14:ligatures w14:val="none"/>
    </w:rPr>
  </w:style>
  <w:style w:type="paragraph" w:styleId="CommentSubject">
    <w:name w:val="annotation subject"/>
    <w:basedOn w:val="CommentText"/>
    <w:next w:val="CommentText"/>
    <w:link w:val="CommentSubjectChar"/>
    <w:qFormat/>
    <w:rsid w:val="00646B26"/>
    <w:rPr>
      <w:b/>
      <w:bCs/>
    </w:rPr>
  </w:style>
  <w:style w:type="character" w:customStyle="1" w:styleId="CommentSubjectChar1">
    <w:name w:val="Comment Subject Char1"/>
    <w:basedOn w:val="CommentTextChar1"/>
    <w:uiPriority w:val="99"/>
    <w:semiHidden/>
    <w:rsid w:val="00646B26"/>
    <w:rPr>
      <w:rFonts w:ascii="Calibri" w:eastAsia="Times New Roman" w:hAnsi="Calibri" w:cs="Times New Roman"/>
      <w:b/>
      <w:bCs/>
      <w:kern w:val="0"/>
      <w:sz w:val="20"/>
      <w:szCs w:val="20"/>
      <w:lang w:val="en-GB" w:eastAsia="en-GB"/>
      <w14:ligatures w14:val="none"/>
    </w:rPr>
  </w:style>
  <w:style w:type="table" w:styleId="GridTable1Light-Accent4">
    <w:name w:val="Grid Table 1 Light Accent 4"/>
    <w:basedOn w:val="TableNormal"/>
    <w:uiPriority w:val="46"/>
    <w:rsid w:val="00646B26"/>
    <w:pPr>
      <w:suppressAutoHyphens/>
      <w:spacing w:after="0" w:line="240" w:lineRule="auto"/>
    </w:pPr>
    <w:rPr>
      <w:rFonts w:ascii="Calibri" w:eastAsia="Calibri" w:hAnsi="Calibri" w:cs="FreeSerif"/>
      <w:lang w:val="en-GB"/>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46B26"/>
    <w:pPr>
      <w:suppressAutoHyphens/>
      <w:spacing w:after="0" w:line="240" w:lineRule="auto"/>
    </w:pPr>
    <w:rPr>
      <w:rFonts w:ascii="Calibri" w:eastAsia="Calibri" w:hAnsi="Calibri" w:cs="FreeSerif"/>
      <w:lang w:val="en-GB"/>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646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4.xml"/><Relationship Id="rId13" Type="http://schemas.openxmlformats.org/officeDocument/2006/relationships/footer" Target="footer8.xml"/><Relationship Id="rId18" Type="http://schemas.openxmlformats.org/officeDocument/2006/relationships/footer" Target="footer13.xml"/><Relationship Id="rId3" Type="http://schemas.openxmlformats.org/officeDocument/2006/relationships/settings" Target="settings.xml"/><Relationship Id="rId21" Type="http://schemas.openxmlformats.org/officeDocument/2006/relationships/footer" Target="footer16.xml"/><Relationship Id="rId7" Type="http://schemas.openxmlformats.org/officeDocument/2006/relationships/footer" Target="footer3.xml"/><Relationship Id="rId12" Type="http://schemas.openxmlformats.org/officeDocument/2006/relationships/footer" Target="footer7.xml"/><Relationship Id="rId17" Type="http://schemas.openxmlformats.org/officeDocument/2006/relationships/footer" Target="footer1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1.xml"/><Relationship Id="rId20"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footer" Target="footer6.xml"/><Relationship Id="rId24" Type="http://schemas.openxmlformats.org/officeDocument/2006/relationships/fontTable" Target="fontTable.xml"/><Relationship Id="rId5" Type="http://schemas.openxmlformats.org/officeDocument/2006/relationships/footer" Target="footer1.xml"/><Relationship Id="rId15" Type="http://schemas.openxmlformats.org/officeDocument/2006/relationships/footer" Target="footer10.xml"/><Relationship Id="rId23"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5.xml"/><Relationship Id="rId14" Type="http://schemas.openxmlformats.org/officeDocument/2006/relationships/footer" Target="footer9.xml"/><Relationship Id="rId22"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206</Pages>
  <Words>52864</Words>
  <Characters>301328</Characters>
  <Application>Microsoft Office Word</Application>
  <DocSecurity>0</DocSecurity>
  <Lines>2511</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isiah jimoh</dc:creator>
  <cp:keywords/>
  <dc:description/>
  <cp:lastModifiedBy>isiah jimoh</cp:lastModifiedBy>
  <cp:revision>2</cp:revision>
  <dcterms:created xsi:type="dcterms:W3CDTF">2025-10-28T13:53:00Z</dcterms:created>
  <dcterms:modified xsi:type="dcterms:W3CDTF">2025-10-28T13:53:00Z</dcterms:modified>
</cp:coreProperties>
</file>