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Methodology</w:t>
      </w:r>
    </w:p>
    <w:p>
      <w:pPr>
        <w:pStyle w:val="Author"/>
      </w:pPr>
      <w:r>
        <w:t xml:space="preserve">Isaiah Jimoh-Ibrahim</w:t>
      </w:r>
    </w:p>
    <w:p>
      <w:pPr>
        <w:pStyle w:val="Date"/>
      </w:pPr>
      <w:r>
        <w:t xml:space="preserve">October 2025</w:t>
      </w:r>
    </w:p>
    <w:p>
      <w:pPr>
        <w:pStyle w:val="FirstParagraph"/>
      </w:pPr>
      <w:r>
        <w:t xml:space="preserve">“‘latex</w:t>
      </w:r>
    </w:p>
    <w:bookmarkStart w:id="21" w:name="methodology"/>
    <w:p>
      <w:pPr>
        <w:pStyle w:val="Heading1"/>
      </w:pPr>
      <w:r>
        <w:t xml:space="preserve">Methodology</w:t>
      </w:r>
    </w:p>
    <w:p>
      <w:pPr>
        <w:pStyle w:val="FirstParagraph"/>
      </w:pPr>
      <w:r>
        <w:t xml:space="preserve">This chapter outlines the methodology used to address research questions one through four and objectives one through five. It aligns with the study’s pragmatic epistemology, which combines positivist quantitative rigor with interpretivist qualitative depth (Creswell &amp; Plano Clark, 2018). The design follows a convergent parallel mixed-methods paradigm, where quantitative and qualitative strands are collected at the same time, with priority given to quantitative data for RQ1 and RQ3, and qualitative data as a complement for RQ2 and RQ4. The strands are merged to form meta-inferences that provide a full understanding of corporate governance mechanisms and their effects on non-performing loan ratios in Nigeria’s deposit money banking sector.</w:t>
      </w:r>
      <w:r>
        <w:t xml:space="preserve"> </w:t>
      </w:r>
      <w:r>
        <w:t xml:space="preserve">For RQ1, a quantitative longitudinal panel design uses secondary data from 2009 to 2024 to examine how governance pillars—disclosure via the Corporate Governance Disclosure Index, practice via the Practice Index, and compliance via the Compliance Index—affect NPL ratios, while controlling for institutional factors like capital adequacy and macroeconomic changes.</w:t>
      </w:r>
      <w:r>
        <w:t xml:space="preserve"> </w:t>
      </w:r>
      <w:r>
        <w:t xml:space="preserve">For RQ2, a 2024 cross-sectional design applies Hayes Process Model 4 with 5,000 bootstraps to test if audit committee independence directly reduces NPL ratios and if this is partially mediated by improved financial reporting integrity as perceived by bank insiders.</w:t>
      </w:r>
      <w:r>
        <w:t xml:space="preserve"> </w:t>
      </w:r>
      <w:r>
        <w:t xml:space="preserve">For RQ3, a difference-in-differences fixed-effects model for 2009–2024 assesses if the link between disclosure (Corporate Governance Disclosure Index) and NPL ratios shifts from insignificant pre-reform (2009–2014) to significantly negative post-reform (2016–2024), due to Central Bank of Nigeria mandates on board tenure (up to 12 years), at least 50% independent directors, and executive vetting, treated as a quasi-natural experiment.</w:t>
      </w:r>
    </w:p>
    <w:p>
      <w:pPr>
        <w:pStyle w:val="BodyText"/>
      </w:pPr>
      <w:r>
        <w:t xml:space="preserve">For RQ4, a 2024 cross-sectional design uses survey perceptions from 10 semi-structured interviews and panel forecasts for 2020–2025 to examine if improved regulatory clarity and enforcement consistency cause NPL declines (total effect</w:t>
      </w:r>
      <w:r>
        <w:t xml:space="preserve"> </w:t>
      </w:r>
      <m:oMath>
        <m:r>
          <m:t>β</m:t>
        </m:r>
      </m:oMath>
      <w:r>
        <w:t xml:space="preserve"> </w:t>
      </w:r>
      <w:r>
        <w:t xml:space="preserve">&lt; 0, p &lt; .05), with direct mediation by compliance efficacy, while controlling for economic shocks like devaluation and inflation.</w:t>
      </w:r>
      <w:r>
        <w:t xml:space="preserve"> </w:t>
      </w:r>
      <w:r>
        <w:t xml:space="preserve">This dual approach enhances robustness: quantitative regressions isolate associations, while qualitative themes explain mechanisms. Triangulation occurs through joint displays in Chapter 4 (Table 4.9). Ethical standards include informed consent and data anonymity under the Nigeria Data Protection Act 2023.</w:t>
      </w:r>
    </w:p>
    <w:p>
      <w:pPr>
        <w:pStyle w:val="BodyText"/>
      </w:pPr>
      <w:r>
        <w:t xml:space="preserve">This chapter explains the methodological framework for examining corporate governance deficiencies at the board level in Nigerian deposit money banks, focusing on disclosure, practice, and compliance to reduce default risk measured by non-performing loan ratios. The mixed-methods approach integrates quantitative and qualitative data to dissect corporate governance pillars—disclosure (Corporate Governance Disclosure Index), practice (Operational Effectiveness Index), compliance (Banking Compliance Index), audit independence, and financial reporting integrity as perceived by insiders—in the post-2004 consolidation era. The methodology supports the research objectives by exploring how governance pillars, audit independence, and regulatory clarity influence non-performing loan ratios, proposing actionable reforms for Nigeria’s deposit money banking sector. It addresses gaps in post-consolidation analyses and aligns with the aim of strengthening fiscal resilience.</w:t>
      </w:r>
    </w:p>
    <w:bookmarkStart w:id="20" w:name="tab:research_design"/>
    <w:p>
      <w:pPr>
        <w:pStyle w:val="TableCaption"/>
      </w:pPr>
      <w:r>
        <w:t xml:space="preserve">Research Design Alignment with Research Questions</w:t>
      </w:r>
    </w:p>
    <w:tbl>
      <w:tblPr>
        <w:tblStyle w:val="Table"/>
        <w:tblW w:type="auto" w:w="0"/>
        <w:tblLook w:firstRow="1" w:lastRow="0" w:firstColumn="0" w:lastColumn="0" w:noHBand="0" w:noVBand="0" w:val="0020"/>
        <w:tblCaption w:val="Research Design Alignment with Research Questions"/>
      </w:tblPr>
      <w:tblGrid>
        <w:gridCol w:w="1320"/>
        <w:gridCol w:w="1320"/>
        <w:gridCol w:w="1320"/>
        <w:gridCol w:w="1320"/>
        <w:gridCol w:w="1320"/>
        <w:gridCol w:w="1320"/>
      </w:tblGrid>
      <w:tr>
        <w:trPr>
          <w:tblHeader w:val="on"/>
        </w:trPr>
        <w:tc>
          <w:tcPr/>
          <w:p>
            <w:pPr>
              <w:pStyle w:val="Compact"/>
              <w:jc w:val="left"/>
            </w:pPr>
            <w:r>
              <w:t xml:space="preserve">Research Question</w:t>
            </w:r>
          </w:p>
        </w:tc>
        <w:tc>
          <w:tcPr/>
          <w:p>
            <w:pPr>
              <w:pStyle w:val="Compact"/>
              <w:jc w:val="left"/>
            </w:pPr>
            <w:r>
              <w:t xml:space="preserve">Nature of Approach</w:t>
            </w:r>
          </w:p>
        </w:tc>
        <w:tc>
          <w:tcPr/>
          <w:p>
            <w:pPr>
              <w:pStyle w:val="Compact"/>
              <w:jc w:val="left"/>
            </w:pPr>
            <w:r>
              <w:t xml:space="preserve">Primary Data Source</w:t>
            </w:r>
          </w:p>
        </w:tc>
        <w:tc>
          <w:tcPr/>
          <w:p>
            <w:pPr>
              <w:pStyle w:val="Compact"/>
              <w:jc w:val="left"/>
            </w:pPr>
            <w:r>
              <w:t xml:space="preserve">Secondary Data Source</w:t>
            </w:r>
          </w:p>
        </w:tc>
        <w:tc>
          <w:tcPr/>
          <w:p>
            <w:pPr>
              <w:pStyle w:val="Compact"/>
              <w:jc w:val="left"/>
            </w:pPr>
            <w:r>
              <w:t xml:space="preserve">Analytical Strategy</w:t>
            </w:r>
          </w:p>
        </w:tc>
        <w:tc>
          <w:tcPr/>
          <w:p>
            <w:pPr>
              <w:pStyle w:val="Compact"/>
              <w:jc w:val="left"/>
            </w:pPr>
            <w:r>
              <w:t xml:space="preserve">Key Focus and Rationale</w:t>
            </w:r>
          </w:p>
        </w:tc>
      </w:tr>
      <w:tr>
        <w:tc>
          <w:tcPr/>
          <w:p>
            <w:pPr>
              <w:pStyle w:val="Compact"/>
              <w:jc w:val="left"/>
            </w:pPr>
            <w:r>
              <w:t xml:space="preserve">RQ1: Extent of CG indices (CGDI, Practice Index, Compliance Index) modulating NPL ratios in Nigerian DMBs 2009-2024, controlling for bank size, capital adequacy, macro factors (GDP growth, inflation, oil prices)?</w:t>
            </w:r>
          </w:p>
        </w:tc>
        <w:tc>
          <w:tcPr/>
          <w:p>
            <w:pPr>
              <w:pStyle w:val="Compact"/>
              <w:jc w:val="left"/>
            </w:pPr>
            <w:r>
              <w:t xml:space="preserve">Longitudinal quantitative focusing on temporal associations</w:t>
            </w:r>
          </w:p>
        </w:tc>
        <w:tc>
          <w:tcPr/>
          <w:p>
            <w:pPr>
              <w:pStyle w:val="Compact"/>
              <w:jc w:val="left"/>
            </w:pPr>
            <w:r>
              <w:t xml:space="preserve">Audited financials/regulatory reports from 10 DMBs (160 bank-year obs, 2009–2024); indices via checklists (e.g., board composition, CBN compliance)</w:t>
            </w:r>
          </w:p>
        </w:tc>
        <w:tc>
          <w:tcPr/>
          <w:p>
            <w:pPr>
              <w:pStyle w:val="Compact"/>
              <w:jc w:val="left"/>
            </w:pPr>
            <w:r>
              <w:t xml:space="preserve">Macro indicators from World Bank/IMF (2009–2024): GDP rates, inflation, oil volatility</w:t>
            </w:r>
          </w:p>
        </w:tc>
        <w:tc>
          <w:tcPr/>
          <w:p>
            <w:pPr>
              <w:pStyle w:val="Compact"/>
              <w:jc w:val="left"/>
            </w:pPr>
            <w:r>
              <w:t xml:space="preserve">Panel fixed-effects regressions with controls and robustness (e.g., heteroskedasticity-consistent SEs) for governance modulation</w:t>
            </w:r>
          </w:p>
        </w:tc>
        <w:tc>
          <w:tcPr/>
          <w:p>
            <w:pPr>
              <w:pStyle w:val="Compact"/>
              <w:jc w:val="left"/>
            </w:pPr>
            <w:r>
              <w:t xml:space="preserve">Temporal dynamics of CG on default risk using post-2009 data; addresses endogeneity in opaque settings; grounded in institutional theory (Sanusi, 2014; Adegbite, 2014)</w:t>
            </w:r>
          </w:p>
        </w:tc>
      </w:tr>
      <w:tr>
        <w:tc>
          <w:tcPr/>
          <w:p>
            <w:pPr>
              <w:pStyle w:val="Compact"/>
              <w:jc w:val="left"/>
            </w:pPr>
            <w:r>
              <w:t xml:space="preserve">RQ2: Degree of audit committee independence reducing 2024 NPL ratios in Nigerian DMBs, partially mediated by financial reporting integrity per bank insiders?</w:t>
            </w:r>
          </w:p>
        </w:tc>
        <w:tc>
          <w:tcPr/>
          <w:p>
            <w:pPr>
              <w:pStyle w:val="Compact"/>
              <w:jc w:val="left"/>
            </w:pPr>
            <w:r>
              <w:t xml:space="preserve">Cross-sectional blended with quantitative measurement and perceptual insights</w:t>
            </w:r>
          </w:p>
        </w:tc>
        <w:tc>
          <w:tcPr/>
          <w:p>
            <w:pPr>
              <w:pStyle w:val="Compact"/>
              <w:jc w:val="left"/>
            </w:pPr>
            <w:r>
              <w:t xml:space="preserve">Survey responses from 234 stakeholders in 10 DMBs (April 2024); 7-point Likert for audit independence (e.g., non-executive dominance) and reporting integrity (e.g., fraud efficacy)</w:t>
            </w:r>
          </w:p>
        </w:tc>
        <w:tc>
          <w:tcPr/>
          <w:p>
            <w:pPr>
              <w:pStyle w:val="Compact"/>
              <w:jc w:val="left"/>
            </w:pPr>
            <w:r>
              <w:t xml:space="preserve">2024 NPL ratios from CBN bulletins, NDIC reports, DMB statements; 2009–2024 trends for benchmarking</w:t>
            </w:r>
          </w:p>
        </w:tc>
        <w:tc>
          <w:tcPr/>
          <w:p>
            <w:pPr>
              <w:pStyle w:val="Compact"/>
              <w:jc w:val="left"/>
            </w:pPr>
            <w:r>
              <w:t xml:space="preserve">Bootstrapped mediation (Hayes Process Model 4) with bank controls for partial effects (e.g., indirect via reporting integrity)</w:t>
            </w:r>
          </w:p>
        </w:tc>
        <w:tc>
          <w:tcPr/>
          <w:p>
            <w:pPr>
              <w:pStyle w:val="Compact"/>
              <w:jc w:val="left"/>
            </w:pPr>
            <w:r>
              <w:t xml:space="preserve">Mediation mechanisms in current settings; blends perceptions with metrics for audit role in misreporting mitigation; agency theory (Abdulmalik &amp; Ahmad, 2020)</w:t>
            </w:r>
          </w:p>
        </w:tc>
      </w:tr>
      <w:tr>
        <w:tc>
          <w:tcPr/>
          <w:p>
            <w:pPr>
              <w:pStyle w:val="Compact"/>
              <w:jc w:val="left"/>
            </w:pPr>
            <w:r>
              <w:t xml:space="preserve">RQ3: Shift in CG disclosure-NPL link from insignificant pre-reform (2009–2014) to negative post-reform (2016–2024) due to CBN mandates (board tenure limits, ≥50% independent directors, executive vetting)?</w:t>
            </w:r>
          </w:p>
        </w:tc>
        <w:tc>
          <w:tcPr/>
          <w:p>
            <w:pPr>
              <w:pStyle w:val="Compact"/>
              <w:jc w:val="left"/>
            </w:pPr>
            <w:r>
              <w:t xml:space="preserve">Longitudinal quantitative emphasizing shifts and reform impacts</w:t>
            </w:r>
          </w:p>
        </w:tc>
        <w:tc>
          <w:tcPr/>
          <w:p>
            <w:pPr>
              <w:pStyle w:val="Compact"/>
              <w:jc w:val="left"/>
            </w:pPr>
            <w:r>
              <w:t xml:space="preserve">Panel data from 10 DMBs (160 bank-years, 2009–2024); disclosure indices from annual reports/compliance audits</w:t>
            </w:r>
          </w:p>
        </w:tc>
        <w:tc>
          <w:tcPr/>
          <w:p>
            <w:pPr>
              <w:pStyle w:val="Compact"/>
              <w:jc w:val="left"/>
            </w:pPr>
            <w:r>
              <w:t xml:space="preserve">CBN reform docs (e.g., 2014 Code, 2023 Guidelines); macro controls from IMF/World Bank (2009–2024)</w:t>
            </w:r>
          </w:p>
        </w:tc>
        <w:tc>
          <w:tcPr/>
          <w:p>
            <w:pPr>
              <w:pStyle w:val="Compact"/>
              <w:jc w:val="left"/>
            </w:pPr>
            <w:r>
              <w:t xml:space="preserve">Difference-in-differences model partitioning pre/post-reform; interaction terms for disclosure; robustness via propensity matching</w:t>
            </w:r>
          </w:p>
        </w:tc>
        <w:tc>
          <w:tcPr/>
          <w:p>
            <w:pPr>
              <w:pStyle w:val="Compact"/>
              <w:jc w:val="left"/>
            </w:pPr>
            <w:r>
              <w:t xml:space="preserve">Reform activation of disclosure for causality in institutional contexts; tests strengthened associations; signaling theory (Olojede et al., 2020; OECD, 2023)</w:t>
            </w:r>
          </w:p>
        </w:tc>
      </w:tr>
      <w:tr>
        <w:tc>
          <w:tcPr/>
          <w:p>
            <w:pPr>
              <w:pStyle w:val="Compact"/>
              <w:jc w:val="left"/>
            </w:pPr>
            <w:r>
              <w:t xml:space="preserve">RQ4: Extent of perceived regulatory clarity from CBN/SEC harmonization (2020–2025) causing NPL declines (β &lt; 0, p &lt; .05), controlling for shocks (devaluation, inflation)?</w:t>
            </w:r>
          </w:p>
        </w:tc>
        <w:tc>
          <w:tcPr/>
          <w:p>
            <w:pPr>
              <w:pStyle w:val="Compact"/>
              <w:jc w:val="left"/>
            </w:pPr>
            <w:r>
              <w:t xml:space="preserve">Cross-sectional blended prioritizing perceptual/interpretive depth</w:t>
            </w:r>
          </w:p>
        </w:tc>
        <w:tc>
          <w:tcPr/>
          <w:p>
            <w:pPr>
              <w:pStyle w:val="Compact"/>
              <w:jc w:val="left"/>
            </w:pPr>
            <w:r>
              <w:t xml:space="preserve">Survey data from 234 stakeholders (April 2024) on harmonization (e.g., Likert on CBN-SEC efficacy); 10 executive interviews for elaboration</w:t>
            </w:r>
          </w:p>
        </w:tc>
        <w:tc>
          <w:tcPr/>
          <w:p>
            <w:pPr>
              <w:pStyle w:val="Compact"/>
              <w:jc w:val="left"/>
            </w:pPr>
            <w:r>
              <w:t xml:space="preserve">2020–2025 NPL ratios/shock indicators (e.g., naira devaluation) from CBN bulletins, NDIC reports, IMF data</w:t>
            </w:r>
          </w:p>
        </w:tc>
        <w:tc>
          <w:tcPr/>
          <w:p>
            <w:pPr>
              <w:pStyle w:val="Compact"/>
              <w:jc w:val="left"/>
            </w:pPr>
            <w:r>
              <w:t xml:space="preserve">Integrated regression/thematic analysis; bootstrapped coefficients for causal inference on clarity; fixed effects for shocks</w:t>
            </w:r>
          </w:p>
        </w:tc>
        <w:tc>
          <w:tcPr/>
          <w:p>
            <w:pPr>
              <w:pStyle w:val="Compact"/>
              <w:jc w:val="left"/>
            </w:pPr>
            <w:r>
              <w:t xml:space="preserve">Perceptual improvements with empirical declines; policy insights on harmonization in fragmentation; stewardship/institutional theories (Natufe &amp; Evbayiro-Osagie, 2023; CBN, 2023)</w:t>
            </w:r>
          </w:p>
        </w:tc>
      </w:tr>
    </w:tbl>
    <w:bookmarkEnd w:id="20"/>
    <w:bookmarkEnd w:id="21"/>
    <w:bookmarkStart w:id="22" w:name="research-paradigm"/>
    <w:p>
      <w:pPr>
        <w:pStyle w:val="Heading1"/>
      </w:pPr>
      <w:r>
        <w:t xml:space="preserve">Research Paradigm</w:t>
      </w:r>
    </w:p>
    <w:p>
      <w:pPr>
        <w:pStyle w:val="FirstParagraph"/>
      </w:pPr>
      <w:r>
        <w:t xml:space="preserve">This study adopts a pragmatic epistemological approach that combines positivist and interpretivist paradigms to examine corporate governance deficiencies in Nigerian deposit money banks, focusing on disclosure, practice, compliance, and their role in reducing default risk measured by non-performing loan ratios (Creswell &amp; Plano Clark, 2018). Pragmatism emphasizes practical problem-solving and methodological flexibility, which is ideal for Nigeria’s emerging market with historical legacies, regulatory overlaps, and systemic governance failures—such as weak board oversight—that increase default risks post-2004 (Elias, 2024; Chinweoda et al., 2020; Sanusi, 2014). For example, risk management failures have led to non-performing loans peaking at over 20% in 2017, compared to the Central Bank of Nigeria’s 5% threshold, reflecting loose lending and poor controls that caused crises like Intercontinental Bank’s collapse (Adegboye, 2020).</w:t>
      </w:r>
    </w:p>
    <w:p>
      <w:pPr>
        <w:pStyle w:val="BodyText"/>
      </w:pPr>
      <w:r>
        <w:t xml:space="preserve">Unlike Basel III’s resilience standards (BCBS, 2010), fraud concealment through weak whistleblowing persisted in the 2009 crisis, contrasting with the European Union’s protected systems (Olojede et al., 2020; EU, 2019). These issues erode confidence, trigger deposit runs, and destabilize Nigeria’s economy, where banks are key drivers (Siyanbola, 2019). The 2009 crisis, costing the Central Bank of Nigeria $3.9 billion in bailouts, exposed risks from oversight gaps and related-party abuses (Sanusi, 2009). Globally, OECD principles stress independent boards and risk stewardship, areas where Nigeria lags (OECD, 2015).</w:t>
      </w:r>
      <w:r>
        <w:t xml:space="preserve"> </w:t>
      </w:r>
      <w:r>
        <w:t xml:space="preserve">The pragmatic paradigm rejects universal truths and prioritizes methods that achieve practical outcomes and research objectives, such as proposing actionable reforms (Tashakkori &amp; Teddlie, 1998). In Nigeria’s fluid banking environment, with economic shocks like devaluation and inflation, flexible methods yield robust insights.</w:t>
      </w:r>
      <w:r>
        <w:t xml:space="preserve"> </w:t>
      </w:r>
      <w:r>
        <w:t xml:space="preserve">The positivist paradigm supports the quantitative component through structured questionnaires that objectively measure relationships between corporate governance pillars—disclosure (Corporate Governance Disclosure Index), practice (Operational Effectiveness Index), compliance (Banking Compliance Index)—and non-performing loan ratios. Positivism assumes governance deficiencies are observable and quantifiable, with non-performing loan ratios as a strong indicator of governance quality and default risk.</w:t>
      </w:r>
    </w:p>
    <w:p>
      <w:pPr>
        <w:pStyle w:val="BodyText"/>
      </w:pPr>
      <w:r>
        <w:t xml:space="preserve">The interpretivist paradigm underpins the qualitative component through semi-structured interviews and thematic analysis to capture stakeholder perceptions of regulatory clarity and enforcement. Interpretivism views governance as socially constructed, emphasizing participant meanings in areas like audit independence and financial reporting mediation (Creswell &amp; Plano Clark, 2018).</w:t>
      </w:r>
      <w:r>
        <w:t xml:space="preserve"> </w:t>
      </w:r>
      <w:r>
        <w:t xml:space="preserve">By integrating positivist empirical rigor with interpretivist contextual depth, the pragmatic approach provides nuanced, actionable insights into governance mechanisms for reducing defaults in Nigerian deposit money banks. This paradigm supports the mixed-methods design: longitudinal quantitative for RQ1 and RQ3, and cross-sectional blended for RQ2 and RQ4, addressing post-2009 reform legacies and regulatory fragmentation (Osita et al., 2019).</w:t>
      </w:r>
    </w:p>
    <w:bookmarkEnd w:id="22"/>
    <w:bookmarkStart w:id="28" w:name="research-process-management"/>
    <w:p>
      <w:pPr>
        <w:pStyle w:val="Heading1"/>
      </w:pPr>
      <w:r>
        <w:t xml:space="preserve">Research Process Management</w:t>
      </w:r>
    </w:p>
    <w:bookmarkStart w:id="23" w:name="construction-and-execution-of-the-survey"/>
    <w:p>
      <w:pPr>
        <w:pStyle w:val="Heading2"/>
      </w:pPr>
      <w:r>
        <w:t xml:space="preserve">Construction and Execution of the Survey</w:t>
      </w:r>
    </w:p>
    <w:p>
      <w:pPr>
        <w:pStyle w:val="FirstParagraph"/>
      </w:pPr>
      <w:r>
        <w:t xml:space="preserve">This section describes the survey-based methodology for investigating corporate governance challenges in Nigeria’s deposit money banking sector, including board oversight, audit committee independence, and practice index deficiencies that drive high non-performing loan ratios. It justifies the use of Likert-scale questionnaires in mixed-methods research, drawing on methodological literature (Popper, 1959; Grant &amp; Wall, 2009; Hinkin, 1998; Jensen &amp; Meckling, 1976; Donaldson &amp; Davis, 1991). The small sample sizes and potential biases in prior studies are addressed. The section details survey construction, execution, strengths, limitations, and alignment with study objectives for context-specific reforms and banking stability.</w:t>
      </w:r>
    </w:p>
    <w:bookmarkEnd w:id="23"/>
    <w:bookmarkStart w:id="24" w:name="strengths-of-survey-based-methodologies"/>
    <w:p>
      <w:pPr>
        <w:pStyle w:val="Heading2"/>
      </w:pPr>
      <w:r>
        <w:t xml:space="preserve">Strengths of Survey-Based Methodologies</w:t>
      </w:r>
    </w:p>
    <w:p>
      <w:pPr>
        <w:pStyle w:val="FirstParagraph"/>
      </w:pPr>
      <w:r>
        <w:t xml:space="preserve">Surveys using 7-point Likert scales offer key advantages in Nigeria’s deposit money banking sector, where anonymity and data reliability are crucial amid cronyism and regulatory scrutiny (Natufe &amp; Evbayiro-Osagie, 2023). They quantify perceptions of governance constructs, enabling rigorous testing of agency and stewardship theories: Hypothesis 1 on corporate governance indices reducing non-performing loans, Hypothesis 2 on audit committee independence mediating financial reporting integrity to lower non-performing loans, Hypothesis 3 on disclosure mitigating default risk, and Hypothesis 4 on regulatory clarity and enforcement reducing governance failures.</w:t>
      </w:r>
      <w:r>
        <w:t xml:space="preserve"> </w:t>
      </w:r>
      <w:r>
        <w:t xml:space="preserve">Surveys efficiently collect data from diverse stakeholders—board members, audit committee members, and risk managers—across multiple deposit money banks. They address gaps in small-sample studies by focusing on 2024 listed banks. Questions are grounded in validated constructs for reliability and allow cross-study comparisons, countering inconsistent metrics in Nigerian research (Basel III, BCBS, 2010; Olojede et al., 2020).</w:t>
      </w:r>
      <w:r>
        <w:t xml:space="preserve"> </w:t>
      </w:r>
      <w:r>
        <w:t xml:space="preserve">Anonymity ensures candid responses on sensitive issues like audit committee capture and unethical lending in Nigeria’s high-stakes context (Owolabi, 2013). Data coding for statistical tools (SPSS, Stata) enables descriptive statistics, correlations, and regressions, overcoming biases in prior descriptive work (The Effect of Non-Performing Loans on Profitability of Banks in Africa, 2024).</w:t>
      </w:r>
    </w:p>
    <w:bookmarkEnd w:id="24"/>
    <w:bookmarkStart w:id="25" w:name="mitigating-limitations"/>
    <w:p>
      <w:pPr>
        <w:pStyle w:val="Heading2"/>
      </w:pPr>
      <w:r>
        <w:t xml:space="preserve">Mitigating Limitations</w:t>
      </w:r>
    </w:p>
    <w:p>
      <w:pPr>
        <w:pStyle w:val="FirstParagraph"/>
      </w:pPr>
      <w:r>
        <w:t xml:space="preserve">Surveys may not fully capture Nigeria’s complex governance dynamics, such as patronage-driven appointments and regulatory overlaps (Taylor &amp; Bogdan, 1998). The study integrates qualitative interviews to explore nuances like political influences missed by Likert scales. Justification for using surveys despite organizational pressures includes triangulating responses from three stakeholders per bank (board member, audit committee member, risk manager) and guided completion by research assistants for clarity and thoughtfulness (Hinkin, 1998).</w:t>
      </w:r>
      <w:r>
        <w:t xml:space="preserve"> </w:t>
      </w:r>
      <w:r>
        <w:t xml:space="preserve">Question design addresses cultural factors like tribal affiliations by grounding in global and Nigerian literature, with pilot testing by local experts (Adams et al., 2011; John et al., 2016; Uwuigbe et al., 2019; Natufe &amp; Evbayiro-Osagie, 2023). The 2024 focus justifies using qualitative case studies for historical context (Eisenhardt, 1989).</w:t>
      </w:r>
    </w:p>
    <w:bookmarkEnd w:id="25"/>
    <w:bookmarkStart w:id="26" w:name="administration-and-coding"/>
    <w:p>
      <w:pPr>
        <w:pStyle w:val="Heading2"/>
      </w:pPr>
      <w:r>
        <w:t xml:space="preserve">Administration and Coding</w:t>
      </w:r>
    </w:p>
    <w:p>
      <w:pPr>
        <w:pStyle w:val="FirstParagraph"/>
      </w:pPr>
      <w:r>
        <w:t xml:space="preserve">Questionnaires were administered anonymously to encourage candid responses in Nigeria’s deposit money banking sector, where governance issues like patronage and fraud concealment are sensitive (Olojede et al., 2020). Four hundred questionnaires were distributed to mid- and high-level professionals in twenty systemic deposit money banks, stratified by size (ten large, ten mid-tier), representing 70% of the sector (Central Bank of Nigeria, 2024). This yielded 234 valid responses (58.5% response rate). Respondents included board members, risk managers, and auditors for strategic and operational perspectives, enhancing data triangulation (Grant &amp; Wall, 2009).</w:t>
      </w:r>
    </w:p>
    <w:p>
      <w:pPr>
        <w:pStyle w:val="BodyText"/>
      </w:pPr>
      <w:r>
        <w:t xml:space="preserve">Personalized emails emphasized anonymity and ethical compliance with the Nigeria Data Protection Act 2023. Contact persons at each bank facilitated in-person or virtual sessions. Trained research assistants from local Nigerian universities, supervised by the principal researcher, briefed participants on ethical protocols and clarified questions for 100% individual completion.</w:t>
      </w:r>
      <w:r>
        <w:t xml:space="preserve"> </w:t>
      </w:r>
      <w:r>
        <w:t xml:space="preserve">This hands-on approach addressed cultural and logistical barriers, achieving a robust response rate compared to typical emerging market surveys (Baruch &amp; Holtom, 2008; Nederhof, 1985). Semi-structured interviews with ten high-ranking officials (50% response rate from twenty invited) from ten to twenty deposit money banks complemented quantitative data with qualitative depth.</w:t>
      </w:r>
      <w:r>
        <w:t xml:space="preserve"> </w:t>
      </w:r>
      <w:r>
        <w:t xml:space="preserve">Questionnaire design followed rigorous scale development for psychometric validity, aligning with corporate governance constructs (Hinkin, 1998). Indices for disclosure (Corporate Governance Disclosure Index), practice (Operational Effectiveness), compliance (Banking Compliance Index), audit committee independence, and regulatory clarity used thirty-five validated 7-point Likert-scale items (1 = strongly disagree, 7 = strongly agree) to test Hypotheses 1–4 deductively (Hinkin, 1998; DeVellis, 2017). For example:</w:t>
      </w:r>
      <w:r>
        <w:t xml:space="preserve"> </w:t>
      </w:r>
      <w:r>
        <w:t xml:space="preserve">Disclosure (Corporate Governance Disclosure Index) items assess banks’ transparent financial reporting (Osemeke &amp; Adegbite, 2016, informing disclosure gaps and compliance ambiguities).</w:t>
      </w:r>
      <w:r>
        <w:t xml:space="preserve"> </w:t>
      </w:r>
      <w:r>
        <w:t xml:space="preserve">Practice (Operational Effectiveness) questions evaluate board oversight and nomination committee independence (Abdulmalik &amp; Ahmad, 2020, drawing on politically motivated appointments linked to non-performing loan spikes).</w:t>
      </w:r>
    </w:p>
    <w:p>
      <w:pPr>
        <w:pStyle w:val="BodyText"/>
      </w:pPr>
      <w:r>
        <w:t xml:space="preserve">Compliance (Banking Compliance Index) items measure adherence to Central Bank of Nigeria Guidelines 2023 (Adegboye, 2020; Olojede et al., 2020, based on weak compliance in 61% of banks).</w:t>
      </w:r>
      <w:r>
        <w:t xml:space="preserve"> </w:t>
      </w:r>
      <w:r>
        <w:t xml:space="preserve">Audit Committee Independence questions assess freedom from shareholder influence (Adegbite, 2014), with items probing mediation by financial reporting integrity.</w:t>
      </w:r>
      <w:r>
        <w:t xml:space="preserve"> </w:t>
      </w:r>
      <w:r>
        <w:t xml:space="preserve">Regulatory Clarity questions evaluate clarity and enforcement consistency in conflicting regulations (Abdulmalik &amp; Ahmad, 2020).</w:t>
      </w:r>
      <w:r>
        <w:t xml:space="preserve"> </w:t>
      </w:r>
      <w:r>
        <w:t xml:space="preserve">This literature-driven approach addresses research gaps with psychometrically sound items (Cronbach’s</w:t>
      </w:r>
      <w:r>
        <w:t xml:space="preserve"> </w:t>
      </w:r>
      <m:oMath>
        <m:r>
          <m:t>α</m:t>
        </m:r>
      </m:oMath>
      <w:r>
        <w:t xml:space="preserve"> </w:t>
      </w:r>
      <w:r>
        <w:t xml:space="preserve">0.85 post-pilot), ensuring contextual relevance to Nigeria’s governance challenges like patronage-driven appointments and regulatory multiplicity (Osita et al., 2019).</w:t>
      </w:r>
    </w:p>
    <w:p>
      <w:pPr>
        <w:pStyle w:val="BodyText"/>
      </w:pPr>
      <w:r>
        <w:t xml:space="preserve">Pilot testing with fifteen banking professionals (sufficient for exploratory refinement; van Teijlingen &amp; Hundley, 2002) refined items for clarity, relevance, and cultural sensitivity. For example, cronyism influences were replaced with agency theory (principal-agent conflicts) and stewardship (managerial accountability) terms.</w:t>
      </w:r>
      <w:r>
        <w:t xml:space="preserve"> </w:t>
      </w:r>
      <w:r>
        <w:t xml:space="preserve">Questionnaire responses were digitized in SPSS, treating Likert scores as interval data for regression analysis of governance-non-performing loan relationships. Coding followed a standardized protocol with double-entry verification to minimize errors. Responses were cross-validated with secondary non-performing loan data from Central Bank of Nigeria and Nigeria Deposit Insurance Corporation reports to address opaque reporting (Olojede et al., 2020; Central Bank of Nigeria, 2024; Nigeria Deposit Insurance Corporation, 2024). Interview transcripts were coded in NVivo for thematic analysis, identifying patterns like enforcement gaps and regulatory multiplicity for robust mixed-methods integration (Braun &amp; Clarke, 2006).</w:t>
      </w:r>
    </w:p>
    <w:bookmarkEnd w:id="26"/>
    <w:bookmarkStart w:id="27" w:name="Xa7ae934aa66bd3faf409ee86517ef3b4d39fc4a"/>
    <w:p>
      <w:pPr>
        <w:pStyle w:val="Heading2"/>
      </w:pPr>
      <w:r>
        <w:t xml:space="preserve">Justification of Non-Performing Loans as a Measure</w:t>
      </w:r>
    </w:p>
    <w:p>
      <w:pPr>
        <w:pStyle w:val="FirstParagraph"/>
      </w:pPr>
      <w:r>
        <w:t xml:space="preserve">Non-performing loans, defined as the percentage of loans overdue by 90 days or more relative to total loans, serve as the primary measure of default risk in Nigeria’s deposit money banking sector, reflecting corporate governance deficiencies and their impact on financial stability. This aligns with the study’s focus on corporate governance indices (disclosure, practice, compliance), audit committee independence, and regulatory clarity. Despite challenges in data reliability due to opaque reporting, cross-validation with Central Bank of Nigeria and Nigeria Deposit Insurance Corporation data from 2009–2024 ensures robust measurement.</w:t>
      </w:r>
    </w:p>
    <w:p>
      <w:pPr>
        <w:pStyle w:val="BodyText"/>
      </w:pPr>
      <w:r>
        <w:t xml:space="preserve">Non-performing loans are a robust measure in the Nigerian context, directly linked to governance deficiencies identified in the literature. Natufe and Evbayiro-Osagie (2023) validate non-performing loans as a reliable indicator of lax lending, weak controls, and unethical behaviors in Nigerian deposit money banks. The 2009 Oceanic Bank crisis, with 75% non-performing loans from insider loans by family-dominated boards, illustrates governance lapses like lack of board independence and practice indices (Sanusi, 2009). Adegboye (2020) links the 2017 non-performing loan peak at 20% to poor credit assessments and weak oversight in collapses like Intercontinental Bank and Bank PHB, due to unqualified management and ineffective audit committees (Owolabi, 2013). These cases show non-performing loans effectively capture practice (lax lending), disclosure (weak oversight), compliance (selective adherence), audit independence (inadequate processes), and regulatory clarity (poor decision-making).</w:t>
      </w:r>
    </w:p>
    <w:p>
      <w:pPr>
        <w:pStyle w:val="BodyText"/>
      </w:pPr>
      <w:r>
        <w:t xml:space="preserve">The choice of non-performing loans is further justified by its systemic implications for Nigeria’s deposit money banking sector, critical for economic growth (King &amp; Levine, 1993). High non-performing loans reduce bank capital, impair liquidity, erode confidence, and risk deposit withdrawals, as in the 2009 crisis (Sanusi, 2009). Non-performing loans’ systemic nature has led to 425 bank failures since 1988 and costly interventions like the 2009 bailout. This perspective aligns with the research aim of evaluating governance effectiveness for financial stability.</w:t>
      </w:r>
    </w:p>
    <w:p>
      <w:pPr>
        <w:pStyle w:val="BodyText"/>
      </w:pPr>
      <w:r>
        <w:t xml:space="preserve">Theoretically, non-performing loans align with agency and stewardship theories in the conceptual framework. Agency theory (Jensen &amp; Meckling, 1976) posits governance mechanisms like independent boards and audit committees reduce conflicts, mitigating risky lending and non-performing loans. In Nigeria, weak oversight and audit capture enabled insider lending at Oceanic Bank (Sanusi, 2009). Stewardship theory (Donaldson &amp; Davis, 1991) emphasizes ethical management through sound practice indices for long-term stability. Politically motivated management in Nigerian deposit money banks lacks expertise and ethics, driving non-performing loans (Sanusi, 2009; Nwoko et al., 2022). Non-performing loans link these frameworks, providing a robust foundation for analyzing corporate governance indices.</w:t>
      </w:r>
    </w:p>
    <w:p>
      <w:pPr>
        <w:pStyle w:val="BodyText"/>
      </w:pPr>
      <w:r>
        <w:t xml:space="preserve">Despite data reliability challenges in Nigeria, where opaque reporting obscures true non-performing loans due to governance weaknesses, methodological strategies ensure robust measurement. Olojede et al. (2020) note audit capture and auditor conflicts led to misstatements in 2009, delaying distress awareness. This opacity challenges using non-performing loans as a metric. The study employs cross-validation, triangulating questionnaire perceptions with secondary data from Central Bank of Nigeria reports, Nigeria Deposit Insurance Corporation records, and audited financials for 2009–2024 (RQ1) and 2024 (RQ2–RQ4), following Olojede et al. (2020).</w:t>
      </w:r>
    </w:p>
    <w:p>
      <w:pPr>
        <w:pStyle w:val="BodyText"/>
      </w:pPr>
      <w:r>
        <w:t xml:space="preserve">This multi-source approach mitigates manipulation risks, ensuring non-performing loan data reflects governance impacts. Control variables like bank size, GDP growth, and loan diversity isolate effects, enhancing robustness (Natufe &amp; Evbayiro-Osagie, 2023). Questionnaire items directly link governance indices to non-performing loan outcomes, such as board oversight influencing loan quality, ensuring relevance to research objectives.</w:t>
      </w:r>
    </w:p>
    <w:p>
      <w:pPr>
        <w:pStyle w:val="BodyText"/>
      </w:pPr>
      <w:r>
        <w:t xml:space="preserve">Qualitatively, interviews with high-level officials complement quantitative non-performing loans by exploring perceptions of governance failures driving defaults. Questions probe practical implications, like weak whistleblowing leading to non-performing loan accumulation (Sanusi, 2009; Olojede et al., 2020). Insights enrich understanding of non-performing loans as a governance outcome, providing context-specific views on historical legacies and regulatory multiplicity exacerbating default risks.</w:t>
      </w:r>
    </w:p>
    <w:p>
      <w:pPr>
        <w:pStyle w:val="BodyText"/>
      </w:pPr>
      <w:r>
        <w:t xml:space="preserve">Quantitative and qualitative integration allows statistical measurement of non-performing loans alongside stakeholder experiences, validating non-performing loans and enhancing proposed reforms. Afolabi and Afolabi (2024) support cross-validation for addressing disclosure and practice issues, verifying audit-reported non-performing loans. The 2024 non-performing loan ratio of 5.62% highlights ongoing opacity (CBN, 2024).</w:t>
      </w:r>
      <w:r>
        <w:t xml:space="preserve"> </w:t>
      </w:r>
      <w:r>
        <w:t xml:space="preserve">Non-performing loans align with global standards like Basel III, which emphasize robust practice indices for credit risk mitigation and non-performing loan reduction through capital adequacy and liquidity (BCBS, 2010). Nigerian deposit money banks’ failure to fully adopt these contributes to persistent spikes (Adegboye, 2020), underscoring the need for governance reforms.</w:t>
      </w:r>
    </w:p>
    <w:p>
      <w:pPr>
        <w:pStyle w:val="BodyText"/>
      </w:pPr>
      <w:r>
        <w:t xml:space="preserve">The European Union’s whistleblowing framework (EU, 2019) enables early fraud detection, reducing risks—effective in European banks (Olojede et al., 2020). Nigeria’s underdeveloped mechanisms, lacking protections, suppress reports amid retaliation fears (Olojede et al., 2020). Afolabi and Afolabi (2024) advocate European-style frameworks to improve practice indices, audit independence, and financial reporting mediation, fostering compliance</w:t>
      </w:r>
      <w:r>
        <w:t xml:space="preserve"> </w:t>
      </w:r>
      <w:r>
        <w:t xml:space="preserve">In summary, non-performing loans are a justified measure of default risk in Nigerian deposit money banks due to sensitivity to governance deficiencies, systemic implications, theoretical alignment, and global standards. Its ability to capture disclosure, practice, compliance, audit independence, and regulatory clarity impacts is central to research objectives. Despite data challenges, cross-validation, controls, and qualitative depth ensure robust measurement and contextual insights for reforms enhancing financial stability in Nigeria’s deposit money banking sector.</w:t>
      </w:r>
    </w:p>
    <w:bookmarkEnd w:id="27"/>
    <w:bookmarkEnd w:id="28"/>
    <w:bookmarkStart w:id="46" w:name="data-collection-methods"/>
    <w:p>
      <w:pPr>
        <w:pStyle w:val="Heading1"/>
      </w:pPr>
      <w:r>
        <w:t xml:space="preserve">Data Collection Methods</w:t>
      </w:r>
    </w:p>
    <w:p>
      <w:pPr>
        <w:pStyle w:val="FirstParagraph"/>
      </w:pPr>
      <w:r>
        <w:t xml:space="preserve">The study targets deposit money banks (DMBs) in Nigeria’s deposit money banking sector for their systemic role in financial stability and economic growth (CBN, 2024). For RQ1, the quantitative panel sample includes ten systemically important banks (SIBs) designated by the CBN: Access Bank, Zenith Bank, First Bank of Nigeria (FBN), United Bank for Africa (UBA), Guaranty Trust Holding Company (GTCO), Ecobank Nigeria, Fidelity Bank, Stanbic IBTC, Union Bank, and Sterling Bank (CBN, 2024). These represent 78–80% of sector assets (N212.4 trillion combined for quoted banks in 2024, per Nairametrics; sector total  N265 trillion, CBN, 2024), ensuring systemic relevance (The Banker, 2024).</w:t>
      </w:r>
    </w:p>
    <w:p>
      <w:pPr>
        <w:pStyle w:val="BodyText"/>
      </w:pPr>
      <w:r>
        <w:t xml:space="preserve">Data spans 2009–2024, yielding 160 bank-year observations after balancing. Annual financial statements, prudential returns, and governance disclosures are hand-collected from CBN archives, NDIC reports, bank websites, and Nairametrics audited filings. Macroeconomic controls, like GDP per capita (constant 2010 US$), use World Bank Development Indicators (2024 release; e.g., $2,447.64 in 2024, down from $2,510.59 in 2023, World Bank, 2024). Mergers (2012, 2019) are adjusted retroactively using the purchase method for continuity.</w:t>
      </w:r>
      <w:r>
        <w:t xml:space="preserve"> </w:t>
      </w:r>
      <w:r>
        <w:t xml:space="preserve">For RQ2–RQ4, cross-sectional purposive sampling targets 400 banking professionals (executives, auditors, risk managers) in Abuja-based branches of ten SIBs, yielding 234 responses (58.5% rate). Interviews involve 10 key informants (5 CEOs/board chairs, 5 executives) selected via snowballing for expertise. This dual sampling ensures representativeness of quantitative trends and qualitative depth, with demographic balance (e.g., 52% male, 48% female; 60% large-bank affiliated).</w:t>
      </w:r>
    </w:p>
    <w:bookmarkStart w:id="29" w:name="Xa701c85c3c03529723f5da08c8315f370493f0d"/>
    <w:p>
      <w:pPr>
        <w:pStyle w:val="Heading2"/>
      </w:pPr>
      <w:r>
        <w:t xml:space="preserve">Quantitative Component Questionnaire Survey</w:t>
      </w:r>
    </w:p>
    <w:p>
      <w:pPr>
        <w:pStyle w:val="FirstParagraph"/>
      </w:pPr>
      <w:r>
        <w:t xml:space="preserve">The quantitative segment uses a structured questionnaire based on academic precedents to empirically assess how corporate governance indices (disclosure, practice, compliance), audit committee independence, and regulatory clarity influence NPL ratios in Nigerian DMBs. A 7-point Likert scale (1 = Strongly Disagree, 7 = Strongly Agree) captures nuanced evaluations of governance practices, providing granular data suitable for statistical analyses like multiple regression and factor analysis, accommodating perceptual variances across professional experiences and institutional cultures.</w:t>
      </w:r>
    </w:p>
    <w:bookmarkEnd w:id="29"/>
    <w:bookmarkStart w:id="30" w:name="questionnaire-design-justification"/>
    <w:p>
      <w:pPr>
        <w:pStyle w:val="Heading2"/>
      </w:pPr>
      <w:r>
        <w:t xml:space="preserve">Questionnaire Design Justification</w:t>
      </w:r>
    </w:p>
    <w:p>
      <w:pPr>
        <w:pStyle w:val="FirstParagraph"/>
      </w:pPr>
      <w:r>
        <w:t xml:space="preserve">The questionnaire structure is grounded in classical and contemporary literature for validity, relevance, and adaptability to Nigeria’s deposit money banking context, reflecting local regulatory nuances and global standards. Disclosure (CGDI) items assess financial reporting transparency (Osemeke &amp; Adegbite, 2016). Practice (OPEFF) questions evaluate board oversight and nomination committee independence (Abdulmalik &amp; Ahmad, 2020).</w:t>
      </w:r>
      <w:r>
        <w:t xml:space="preserve"> </w:t>
      </w:r>
      <w:r>
        <w:t xml:space="preserve">Compliance (COMID) items measure adherence to regulations like CBN Guidelines 2023 (Abdulmalik &amp; Ahmad, 2020). Audit Committee Independence questions assess autonomy and whistleblowing effectiveness (Adegbite, 2014), including mediation by financial reporting integrity.</w:t>
      </w:r>
      <w:r>
        <w:t xml:space="preserve"> </w:t>
      </w:r>
      <w:r>
        <w:t xml:space="preserve">Regulatory Clarity questions evaluate clarity and enforcement consistency in statutes like CAMA 2020 and NCCG 2018 (Abdulmalik &amp; Ahmad, 2020; e.g., "Harmonized regulations reduce compliance ambiguity"). Items link indices to NPLs (e.g., "Audit independence lowers risky lending exposure"), supporting research objectives. See Appendix 1 for specimen. The design ensures standardized, quantifiable data for parametric testing, reducing interviewer bias and efficiently revealing systemic governance patterns.</w:t>
      </w:r>
    </w:p>
    <w:bookmarkEnd w:id="30"/>
    <w:bookmarkStart w:id="31" w:name="target-population-sampling"/>
    <w:p>
      <w:pPr>
        <w:pStyle w:val="Heading2"/>
      </w:pPr>
      <w:r>
        <w:t xml:space="preserve">Target Population Sampling</w:t>
      </w:r>
    </w:p>
    <w:p>
      <w:pPr>
        <w:pStyle w:val="FirstParagraph"/>
      </w:pPr>
      <w:r>
        <w:t xml:space="preserve">The target population includes banking professionals in Nigeria’s DMBs: risk managers for operational insights, branch managers for compliance views, department heads for strategic insights, and regional managers for governance oversight, capturing a broad spectrum of NPL-related perspectives. The sample is geographically limited to Abuja, the administrative and financial hub hosting head offices and key branches of nearly all DMBs, for logistical efficiency and reflection of national trends; Lagos was considered but excluded due to resources. Sampling stratifies by bank size: small (&lt;₦500 billion assets, 20%), medium (₦500 billion–₦2 trillion, 35%), large (&gt;₦2 trillion, 45%), mirroring CBN 2024 categories where large banks hold 70% of assets. Non-probability purposive sampling targets individuals with CG expertise for complex queries, as random sampling would yield superficial data in this exploratory, regulated field (Bryman, 2016; Etikan et al., 2016; Tongco, 2007). This ensures data quality and balances hierarchies and scales.</w:t>
      </w:r>
    </w:p>
    <w:bookmarkEnd w:id="31"/>
    <w:bookmarkStart w:id="32" w:name="sample-size-determination"/>
    <w:p>
      <w:pPr>
        <w:pStyle w:val="Heading2"/>
      </w:pPr>
      <w:r>
        <w:t xml:space="preserve">Sample Size Determination</w:t>
      </w:r>
    </w:p>
    <w:p>
      <w:pPr>
        <w:pStyle w:val="FirstParagraph"/>
      </w:pPr>
      <w:r>
        <w:t xml:space="preserve">The sample size was determined using SPSS, targeting 400 to yield 234 valid responses (58.5% response rate) for inferential strength and practicality. Yamane’s (1967) formula (</w:t>
      </w:r>
      <m:oMath>
        <m:r>
          <m:t>n</m:t>
        </m:r>
        <m:r>
          <m:rPr>
            <m:sty m:val="p"/>
          </m:rPr>
          <m:t>=</m:t>
        </m:r>
        <m:r>
          <m:t>N</m:t>
        </m:r>
        <m:r>
          <m:rPr>
            <m:sty m:val="p"/>
          </m:rPr>
          <m:t>/</m:t>
        </m:r>
        <m:r>
          <m:rPr>
            <m:sty m:val="p"/>
          </m:rPr>
          <m:t>(</m:t>
        </m:r>
        <m:r>
          <m:t>1</m:t>
        </m:r>
        <m:r>
          <m:rPr>
            <m:sty m:val="p"/>
          </m:rPr>
          <m:t>+</m:t>
        </m:r>
        <m:r>
          <m:t>N</m:t>
        </m:r>
        <m:sSup>
          <m:e>
            <m:r>
              <m:t>e</m:t>
            </m:r>
          </m:e>
          <m:sup>
            <m:r>
              <m:t>2</m:t>
            </m:r>
          </m:sup>
        </m:sSup>
      </m:oMath>
      <w:r>
        <w:t xml:space="preserve">), with N=5000 estimated Abuja professionals, e=0.05) suggests  370; 400 provides a buffer for precision and non-response. Bootstrapping confirms resilience to attrition, with 20-25% from pilot feedback adequate for subgroup analysis and generalizability, minimizing type II errors (Cohen, 1992; Faul et al., 2009).</w:t>
      </w:r>
    </w:p>
    <w:bookmarkEnd w:id="32"/>
    <w:bookmarkStart w:id="33" w:name="data-collection-process"/>
    <w:p>
      <w:pPr>
        <w:pStyle w:val="Heading2"/>
      </w:pPr>
      <w:r>
        <w:t xml:space="preserve">Data Collection Process</w:t>
      </w:r>
    </w:p>
    <w:p>
      <w:pPr>
        <w:pStyle w:val="FirstParagraph"/>
      </w:pPr>
      <w:r>
        <w:t xml:space="preserve">Questionnaires were distributed manually in-person at selected Abuja bank branches. The researcher used patience, courtesy, and deference to build trust and encourage participation from professionals ranging from cashiers (frontline transactions) to regional managers (strategic operations), maximizing response authenticity and completeness. Traversals included a representative assortment of institutions. Preliminary explanations of the study purpose, ethical safeguards, and item rationales enhanced comprehension, especially for sophisticated governance concepts that might intimidate lower-tier staff.</w:t>
      </w:r>
    </w:p>
    <w:p>
      <w:pPr>
        <w:pStyle w:val="BodyText"/>
      </w:pPr>
      <w:r>
        <w:t xml:space="preserve">To counter social desirability bias—where respondents embellish CG perceptions to conform to norms or avoid scrutiny—anonymity was enforced through coded sheets (no personal identifiers), sealed envelopes, and assurances of aggregated, non-attributable data. Balanced item wording discouraged positive skewing (Podsakoff et al., 2003; Nederhof, 1985). Cross-validation with secondary repositories (CBN supervisory reports, NDIC indicators) rectified NPL opacity, validating perceptual data against verified ratios (e.g., audit independence assertions with historical misstatements from the 2009 crisis) for integrity in an underreporting environment driven by weak enforcement (Olojede et al., 2020; Sanusi, 2014). This hands-on process, though resource-intensive, elevated response quality through immediate clarifications and rapport-building, superior to digital alternatives in Nigeria’s trust-oriented culture where skepticism leads to low engagement.</w:t>
      </w:r>
    </w:p>
    <w:bookmarkEnd w:id="33"/>
    <w:bookmarkStart w:id="34" w:name="pilot-testing-validation"/>
    <w:p>
      <w:pPr>
        <w:pStyle w:val="Heading2"/>
      </w:pPr>
      <w:r>
        <w:t xml:space="preserve">Pilot Testing Validation</w:t>
      </w:r>
    </w:p>
    <w:p>
      <w:pPr>
        <w:pStyle w:val="FirstParagraph"/>
      </w:pPr>
      <w:r>
        <w:t xml:space="preserve">A pilot trial with 15 questionnaires, stratified to mirror main demographics (5 risk managers, 5 branch managers, 5 department heads), assessed clarity, reliability, and burden. Cronbach’s</w:t>
      </w:r>
      <w:r>
        <w:t xml:space="preserve"> </w:t>
      </w:r>
      <m:oMath>
        <m:r>
          <m:t>α</m:t>
        </m:r>
      </m:oMath>
      <w:r>
        <w:t xml:space="preserve"> </w:t>
      </w:r>
      <w:r>
        <w:t xml:space="preserve">was 0.85 overall (subscales: 0.78 Disclosure, 0.81 Practice, 0.85 Compliance, 0.88 Audit Committee Independence, 0.88 Regulatory Clarity), indicating strong consistency (Nunnally, 1978). Feedback led to revisions, such as rephrasing ambiguous Regulatory Clarity terms for junior staff and adding reverse-scored items (e.g., "Regulatory overlaps do not affect compliance") to counter acquiescence (12% noted in pilots). Two redundant items (low r&lt;0.3) were removed to reduce fatigue. Factor loadings &gt;0.6 in exploratory analysis refined the instrument for construct validity and cultural fit in Nigeria’s diverse sector (Bryman, 2016; DeVellis, 2017; Boateng et al., 2018). Final counts: 8 Disclosure, 7 Practice, 6 Compliance, 5 Audit Committee Independence, 5 Regulatory Clarity. This iterative process minimized error variance and boosted response quality in emerging markets.</w:t>
      </w:r>
    </w:p>
    <w:bookmarkEnd w:id="34"/>
    <w:bookmarkStart w:id="35" w:name="Xa6fbc8a69b656745190335cc35756410dfd7b9e"/>
    <w:p>
      <w:pPr>
        <w:pStyle w:val="Heading2"/>
      </w:pPr>
      <w:r>
        <w:t xml:space="preserve">Qualitative Component Semi-Structured Interviews</w:t>
      </w:r>
    </w:p>
    <w:p>
      <w:pPr>
        <w:pStyle w:val="FirstParagraph"/>
      </w:pPr>
      <w:r>
        <w:t xml:space="preserve">The qualitative component uses semi-structured interviews with 10 high-level officials (50% response rate from 20 invitations) to provide contextual depth on CG deficiencies and their link to NPLs, complementing quantitative data with insights into political influences and mechanisms.</w:t>
      </w:r>
    </w:p>
    <w:bookmarkEnd w:id="35"/>
    <w:bookmarkStart w:id="36" w:name="interview-design-protocol"/>
    <w:p>
      <w:pPr>
        <w:pStyle w:val="Heading2"/>
      </w:pPr>
      <w:r>
        <w:t xml:space="preserve">Interview Design Protocol</w:t>
      </w:r>
    </w:p>
    <w:p>
      <w:pPr>
        <w:pStyle w:val="FirstParagraph"/>
      </w:pPr>
      <w:r>
        <w:t xml:space="preserve">Questions are derived from literature on corporate governance indices, audit committee independence, and regulatory clarity (e.g., "How do conflicts between CAMA 2020 and NCCG 2018 hinder clarity and enforcement, increasing NPLs?" for Regulatory Clarity; "What role do audit committees play in ensuring financial reporting integrity to reduce default risks?" for Audit Committee Independence). The semi-structured format allows adaptive probing (e.g., "Describe specific cases of political interference in appointments impacting NPLs").</w:t>
      </w:r>
    </w:p>
    <w:p>
      <w:pPr>
        <w:pStyle w:val="BodyText"/>
      </w:pPr>
      <w:r>
        <w:t xml:space="preserve">Sessions last 35–45 minutes. Ethical measures include informed consent, optional audio recording, and manual transcription with privacy via encrypted Otter.ai. Thematic coding in NVivo follows Braun and Clarke’s (2006) six-phase process: familiarization, 180 initial codes, theme refinement/review/definition (45 final themes, e.g., enforcement gaps, audit committee capture). This flexible yet structured approach justifies uncovering evolving issues like post-2009 fraud concealment while staying focused on research goals (Braun &amp; Clarke, 2021). Compliance aligns with Nigeria NDPA 2023 (Nigeria Data Protection Commission, 2024).</w:t>
      </w:r>
    </w:p>
    <w:bookmarkEnd w:id="36"/>
    <w:bookmarkStart w:id="37" w:name="participant-selection-recruitment"/>
    <w:p>
      <w:pPr>
        <w:pStyle w:val="Heading2"/>
      </w:pPr>
      <w:r>
        <w:t xml:space="preserve">Participant Selection Recruitment</w:t>
      </w:r>
    </w:p>
    <w:p>
      <w:pPr>
        <w:pStyle w:val="FirstParagraph"/>
      </w:pPr>
      <w:r>
        <w:t xml:space="preserve">Purposive selection targets executives with authoritative expertise. Recruitment involved 20 tailored emails detailing purpose, duration ( 35 minutes), confidentiality, and no incentives to avoid coercion. Ten consents were obtained through persistent follow-ups and rapport-building to navigate access obstacles in elite, time-scarce circles, where response rates often hover below 50% (Baruch &amp; Holtom, 2008).</w:t>
      </w:r>
    </w:p>
    <w:bookmarkEnd w:id="37"/>
    <w:bookmarkStart w:id="38" w:name="interview-process"/>
    <w:p>
      <w:pPr>
        <w:pStyle w:val="Heading2"/>
      </w:pPr>
      <w:r>
        <w:t xml:space="preserve">Interview Process</w:t>
      </w:r>
    </w:p>
    <w:p>
      <w:pPr>
        <w:pStyle w:val="FirstParagraph"/>
      </w:pPr>
      <w:r>
        <w:t xml:space="preserve">Interviews were conducted in-office for professional immersion and trust-building. Deferential conduct, active listening, empathetic nods, and neutral probes elicited forthrightness on sensitivities like board cronyism. Confidentiality was reinforced with anonymized transcripts (pseudonyms, redacted identifiers) and secure storage on encrypted drives. Post-interview debriefs addressed discomfort or reprisal fears, mitigating bias (e.g., overly positive framing due to status concerns) for authentic narratives enriching quantitative findings (Kvale &amp; Brinkmann, 2015).</w:t>
      </w:r>
    </w:p>
    <w:bookmarkEnd w:id="38"/>
    <w:bookmarkStart w:id="42" w:name="data-sources"/>
    <w:p>
      <w:pPr>
        <w:pStyle w:val="Heading2"/>
      </w:pPr>
      <w:r>
        <w:t xml:space="preserve">Data Sources</w:t>
      </w:r>
    </w:p>
    <w:p>
      <w:pPr>
        <w:pStyle w:val="FirstParagraph"/>
      </w:pPr>
      <w:r>
        <w:t xml:space="preserve">The study targets deposit money banks (DMBs) in Nigeria’s deposit money banking sector for their systemic role in financial stability and economic growth (CBN, 2024). For RQ1, the quantitative panel sample includes ten systemically important banks (SIBs) designated by the CBN: Access Bank, Zenith Bank, First Bank of Nigeria (FBN), United Bank for Africa (UBA), Guaranty Trust Holding Company (GTCO), Ecobank Nigeria, Fidelity Bank, Stanbic IBTC, Union Bank, and Sterling Bank (CBN, 2024). These represent 78–80% of sector assets (N212.4 trillion combined for quoted banks in 2024, per Nairametrics; sector total  N265 trillion, CBN, 2024), ensuring systemic relevance (The Banker, 2024).</w:t>
      </w:r>
    </w:p>
    <w:p>
      <w:pPr>
        <w:pStyle w:val="BodyText"/>
      </w:pPr>
      <w:r>
        <w:t xml:space="preserve">Data spans 2009–2024, yielding 160 bank-year observations after balancing. Annual financial statements, prudential returns, and governance disclosures are hand-collected from CBN archives, NDIC reports, bank websites, and Nairametrics audited filings. Macroeconomic controls, like GDP per capita (constant 2010 US$), use World Bank Development Indicators (2024 release; e.g., $2,447.64 in 2024, down from $2,510.59 in 2023, World Bank, 2024). Mergers (2012, 2019) are adjusted retroactively using the purchase method for continuity.</w:t>
      </w:r>
    </w:p>
    <w:p>
      <w:pPr>
        <w:pStyle w:val="BodyText"/>
      </w:pPr>
      <w:r>
        <w:t xml:space="preserve">For RQ2–RQ4, cross-sectional purposive sampling targets 400 banking professionals (executives, auditors, risk managers) in Abuja-based branches of ten SIBs, yielding 234 responses (58.5% rate). Interviews involve 10 key informants (5 CEOs/board chairs, 5 executives) selected via snowballing for expertise. This dual sampling ensures representativeness of quantitative trends and qualitative depth, with demographic balance (e.g., 52% male, 48% female; 60% large-bank affiliated).</w:t>
      </w:r>
    </w:p>
    <w:bookmarkStart w:id="39" w:name="primary-data"/>
    <w:p>
      <w:pPr>
        <w:pStyle w:val="Heading3"/>
      </w:pPr>
      <w:r>
        <w:t xml:space="preserve">Primary Data</w:t>
      </w:r>
    </w:p>
    <w:p>
      <w:pPr>
        <w:pStyle w:val="FirstParagraph"/>
      </w:pPr>
      <w:r>
        <w:t xml:space="preserve">Primary data from 234 questionnaire replies and 10 interviews involve in-person engagements to capture immediacy, authenticity, and relevance. This secures perceptual and experiential facets of corporate governance indices, audit committee independence, and regulatory clarity, fulfilling objectives through direct interaction that minimizes misinterpretations in a culturally diverse setting.</w:t>
      </w:r>
    </w:p>
    <w:bookmarkEnd w:id="39"/>
    <w:bookmarkStart w:id="41" w:name="secondary-data"/>
    <w:p>
      <w:pPr>
        <w:pStyle w:val="Heading3"/>
      </w:pPr>
      <w:r>
        <w:t xml:space="preserve">Secondary Data</w:t>
      </w:r>
    </w:p>
    <w:p>
      <w:pPr>
        <w:pStyle w:val="FirstParagraph"/>
      </w:pPr>
      <w:r>
        <w:t xml:space="preserve">Secondary data on NPL ratios (37% peak in 2009,  5.62% in April 2024) come from quarterly CBN bulletins (sector aggregates), NDIC reports (granular soundness indicators), and World Bank/IMF Financial Soundness Indicators (global benchmarks), with bank-specific audits. Reliability is strengthened by cross-checking: CBN supervisory reports and NDIC indicators rectify NPL opacity, validating perceptual data against verified ratios (e.g., audit independence with 2009 misstatements) in an underreporting environment (Olojede et al., 2020; Sanusi, 2014). Control variables in regressions include GDP growth and inflation (CBN, 2024) to isolate governance effects from macroeconomic influences, standard in CG-NPL studies to avoid confounding (Natufe &amp; Evbayiro-Osagie, 2023).</w:t>
      </w:r>
    </w:p>
    <w:bookmarkStart w:id="40" w:name="tab:data_types"/>
    <w:p>
      <w:pPr>
        <w:pStyle w:val="TableCaption"/>
      </w:pPr>
      <w:r>
        <w:t xml:space="preserve">Data Types, Sources, and Applications</w:t>
      </w:r>
    </w:p>
    <w:tbl>
      <w:tblPr>
        <w:tblStyle w:val="Table"/>
        <w:tblW w:type="auto" w:w="0"/>
        <w:tblLook w:firstRow="1" w:lastRow="0" w:firstColumn="0" w:lastColumn="0" w:noHBand="0" w:noVBand="0" w:val="0020"/>
        <w:tblCaption w:val="Data Types, Sources, and Applications"/>
      </w:tblPr>
      <w:tblGrid>
        <w:gridCol w:w="2640"/>
        <w:gridCol w:w="2640"/>
        <w:gridCol w:w="2640"/>
      </w:tblGrid>
      <w:tr>
        <w:trPr>
          <w:tblHeader w:val="on"/>
        </w:trPr>
        <w:tc>
          <w:tcPr/>
          <w:p>
            <w:pPr>
              <w:pStyle w:val="Compact"/>
              <w:jc w:val="left"/>
            </w:pPr>
            <w:r>
              <w:t xml:space="preserve">Data Type</w:t>
            </w:r>
          </w:p>
        </w:tc>
        <w:tc>
          <w:tcPr/>
          <w:p>
            <w:pPr>
              <w:pStyle w:val="Compact"/>
              <w:jc w:val="left"/>
            </w:pPr>
            <w:r>
              <w:t xml:space="preserve">Source</w:t>
            </w:r>
          </w:p>
        </w:tc>
        <w:tc>
          <w:tcPr/>
          <w:p>
            <w:pPr>
              <w:pStyle w:val="Compact"/>
              <w:jc w:val="left"/>
            </w:pPr>
            <w:r>
              <w:t xml:space="preserve">Application</w:t>
            </w:r>
          </w:p>
        </w:tc>
      </w:tr>
      <w:tr>
        <w:tc>
          <w:tcPr/>
          <w:p>
            <w:pPr>
              <w:pStyle w:val="Compact"/>
              <w:jc w:val="left"/>
            </w:pPr>
            <w:r>
              <w:t xml:space="preserve">Quantitative</w:t>
            </w:r>
          </w:p>
        </w:tc>
        <w:tc>
          <w:tcPr/>
          <w:p>
            <w:pPr>
              <w:pStyle w:val="Compact"/>
              <w:jc w:val="left"/>
            </w:pPr>
            <w:r>
              <w:t xml:space="preserve">234 survey responses (7-point Likert scales) from stakeholders across 10 DMBs (April 2024); panel data from CBN/NDIC reports and audited financial statements (160 bank-years, 2009–2024)</w:t>
            </w:r>
          </w:p>
        </w:tc>
        <w:tc>
          <w:tcPr/>
          <w:p>
            <w:pPr>
              <w:pStyle w:val="Compact"/>
              <w:jc w:val="left"/>
            </w:pPr>
            <w:r>
              <w:t xml:space="preserve">Fixed-effects panel regressions for RQ1 (governance indices modulation); bootstrapped mediation models for RQ2 (audit independence via reporting integrity); difference-in-differences for RQ3 (pre/post-reform disclosure shifts); cross-sectional regressions for RQ4 (regulatory clarity impacts)</w:t>
            </w:r>
          </w:p>
        </w:tc>
      </w:tr>
      <w:tr>
        <w:tc>
          <w:tcPr/>
          <w:p>
            <w:pPr>
              <w:pStyle w:val="Compact"/>
              <w:jc w:val="left"/>
            </w:pPr>
            <w:r>
              <w:t xml:space="preserve">Qualitative</w:t>
            </w:r>
          </w:p>
        </w:tc>
        <w:tc>
          <w:tcPr/>
          <w:p>
            <w:pPr>
              <w:pStyle w:val="Compact"/>
              <w:jc w:val="left"/>
            </w:pPr>
            <w:r>
              <w:t xml:space="preserve">10 semi-structured interviews with high-level executives (e.g., CEOs, board members) conducted in April 2024, probing contextual nuances of reforms and perceptions</w:t>
            </w:r>
          </w:p>
        </w:tc>
        <w:tc>
          <w:tcPr/>
          <w:p>
            <w:pPr>
              <w:pStyle w:val="Compact"/>
              <w:jc w:val="left"/>
            </w:pPr>
            <w:r>
              <w:t xml:space="preserve">Thematic analysis to enrich interpretations for RQ2 (mediation insights), RQ3 (reform attributions), and RQ4 (harmonization feasibility), triangulated with quantitative results for convergent validity</w:t>
            </w:r>
          </w:p>
        </w:tc>
      </w:tr>
      <w:tr>
        <w:tc>
          <w:tcPr/>
          <w:p>
            <w:pPr>
              <w:pStyle w:val="Compact"/>
              <w:jc w:val="left"/>
            </w:pPr>
            <w:r>
              <w:t xml:space="preserve">Secondary</w:t>
            </w:r>
          </w:p>
        </w:tc>
        <w:tc>
          <w:tcPr/>
          <w:p>
            <w:pPr>
              <w:pStyle w:val="Compact"/>
              <w:jc w:val="left"/>
            </w:pPr>
            <w:r>
              <w:t xml:space="preserve">CBN statistical bulletins, NDIC annual reports, World Bank/IMF macroeconomic indicators (e.g., GDP growth, inflation, oil prices; 2009–2024); reform documents (e.g., CBN 2014 Code, NCCG 2018, CAMA 2020, CBN Guidelines 2023)</w:t>
            </w:r>
          </w:p>
        </w:tc>
        <w:tc>
          <w:tcPr/>
          <w:p>
            <w:pPr>
              <w:pStyle w:val="Compact"/>
              <w:jc w:val="left"/>
            </w:pPr>
            <w:r>
              <w:t xml:space="preserve">Cross-validation of NPL ratios and controls (e.g., bank size, capital adequacy, economic shocks); contextual benchmarking for temporal analyses in RQ1 and RQ3, and shock controls in RQ4</w:t>
            </w:r>
          </w:p>
        </w:tc>
      </w:tr>
    </w:tbl>
    <w:bookmarkEnd w:id="40"/>
    <w:bookmarkEnd w:id="41"/>
    <w:bookmarkEnd w:id="42"/>
    <w:bookmarkStart w:id="45" w:name="variable-definition-measurement"/>
    <w:p>
      <w:pPr>
        <w:pStyle w:val="Heading2"/>
      </w:pPr>
      <w:r>
        <w:t xml:space="preserve">Variable Definition Measurement</w:t>
      </w:r>
    </w:p>
    <w:p>
      <w:pPr>
        <w:pStyle w:val="FirstParagraph"/>
      </w:pPr>
      <w:r>
        <w:t xml:space="preserve">Variables are operationalized to align corporate governance indices (disclosure, practice, compliance) with theoretical fidelity and empirical precision.</w:t>
      </w:r>
      <w:r>
        <w:t xml:space="preserve"> </w:t>
      </w:r>
      <w:r>
        <w:rPr>
          <w:b/>
          <w:bCs/>
        </w:rPr>
        <w:t xml:space="preserve">Dependent Variable</w:t>
      </w:r>
    </w:p>
    <w:p>
      <w:pPr>
        <w:pStyle w:val="BodyText"/>
      </w:pPr>
      <w:r>
        <w:t xml:space="preserve">Non-performing loan ratio (NPLR): IFRS-9 Stage-3 credit-impaired assets divided by gross loans and advances, expressed as a percentage. Exposures reflect significant credit deterioration; consistency post-2018 IFRS-9 transition aligns with post-2009 reforms (CBN, 2018). NPLR’s validity as a default proxy aligns with CBN’s 5% threshold and emerging-market literature (Natufe &amp; Evbayiro-Osagie, 2023; Fernando et al., 2019).</w:t>
      </w:r>
    </w:p>
    <w:p>
      <w:pPr>
        <w:pStyle w:val="BodyText"/>
      </w:pPr>
      <w:r>
        <w:rPr>
          <w:b/>
          <w:bCs/>
        </w:rPr>
        <w:t xml:space="preserve">Independent Variables: Corporate Governance Indices</w:t>
      </w:r>
      <w:r>
        <w:t xml:space="preserve"> </w:t>
      </w:r>
      <w:r>
        <w:t xml:space="preserve">(i) Disclosure (CGDI): 60-item checklist based on OECD (2015) and CBN (2018) templates, scored 1 for disclosed items (e.g., board composition, risk policies) in annual reports/governance statements, scaled 0–100 for informational breadth and timeliness.</w:t>
      </w:r>
    </w:p>
    <w:p>
      <w:pPr>
        <w:pStyle w:val="BodyText"/>
      </w:pPr>
      <w:r>
        <w:t xml:space="preserve">(ii) Practice (OPEFF): 100 × (1 – cost-to-income ratio); higher scores indicate efficient, controlled processes mitigating underwriting errors (COSO, 2013).</w:t>
      </w:r>
      <w:r>
        <w:t xml:space="preserve"> </w:t>
      </w:r>
      <w:r>
        <w:t xml:space="preserve">(iii) Compliance (COMID): Weighted composite (equal weights) of prudential-return timeliness (days late), CAMELS rating accuracy, and audit discrepancies remediation speed (days to resolve CBN findings), normalized 0–100 for behavioral adherence beyond binary compliance.</w:t>
      </w:r>
    </w:p>
    <w:p>
      <w:pPr>
        <w:pStyle w:val="BodyText"/>
      </w:pPr>
      <w:r>
        <w:t xml:space="preserve">(iv) Audit Committee Independence: 5 questionnaire items on 7-point Likert scale (</w:t>
      </w:r>
      <m:oMath>
        <m:r>
          <m:t>α</m:t>
        </m:r>
      </m:oMath>
      <w:r>
        <w:t xml:space="preserve">=0.85) measuring autonomy and effectiveness (e.g., "Audit committees operate free from shareholder influence," informed by Adegbite, 2014), including mediation by financial reporting integrity.</w:t>
      </w:r>
    </w:p>
    <w:p>
      <w:pPr>
        <w:pStyle w:val="BodyText"/>
      </w:pPr>
      <w:r>
        <w:t xml:space="preserve">(v) Regulatory Clarity: 6 questionnaire items on 7-point Likert scale (</w:t>
      </w:r>
      <m:oMath>
        <m:r>
          <m:t>α</m:t>
        </m:r>
      </m:oMath>
      <w:r>
        <w:t xml:space="preserve">=0.88) measuring clarity and enforcement consistency (e.g., "Harmonized regulations reduce compliance ambiguity," drawn from Abdulmalik &amp; Ahmad, 2020).</w:t>
      </w:r>
      <w:r>
        <w:t xml:space="preserve"> </w:t>
      </w:r>
      <w:r>
        <w:rPr>
          <w:b/>
          <w:bCs/>
        </w:rPr>
        <w:t xml:space="preserve">Control Variables</w:t>
      </w:r>
      <w:r>
        <w:t xml:space="preserve"> </w:t>
      </w:r>
      <w:r>
        <w:t xml:space="preserve">Log GDP per capita (LnGDPPC): Natural log of constant 2010 US$ values (World Bank, 2024) for cyclical repayment capacity (e.g., $2,447.64 in 2024). Regressions include bank size (log total assets) and inflation (CBN, 2024).</w:t>
      </w:r>
      <w:r>
        <w:t xml:space="preserve"> </w:t>
      </w:r>
      <w:r>
        <w:t xml:space="preserve">For RQ2–RQ4, questionnaire items on 7-point Likert operationalize constructs (e.g., audit committee independence: 5 items,</w:t>
      </w:r>
      <w:r>
        <w:t xml:space="preserve"> </w:t>
      </w:r>
      <m:oMath>
        <m:r>
          <m:t>α</m:t>
        </m:r>
      </m:oMath>
      <w:r>
        <w:t xml:space="preserve">=0.85; regulatory clarity: 6 items,</w:t>
      </w:r>
      <w:r>
        <w:t xml:space="preserve"> </w:t>
      </w:r>
      <m:oMath>
        <m:r>
          <m:t>α</m:t>
        </m:r>
      </m:oMath>
      <w:r>
        <w:t xml:space="preserve">=0.88). Interview guides probe qualitatively.</w:t>
      </w:r>
    </w:p>
    <w:bookmarkStart w:id="43" w:name="tab:variables"/>
    <w:p>
      <w:pPr>
        <w:pStyle w:val="TableCaption"/>
      </w:pPr>
      <w:r>
        <w:t xml:space="preserve">Variable Definition Measurement</w:t>
      </w:r>
    </w:p>
    <w:tbl>
      <w:tblPr>
        <w:tblStyle w:val="Table"/>
        <w:tblW w:type="auto" w:w="0"/>
        <w:tblLook w:firstRow="1" w:lastRow="0" w:firstColumn="0" w:lastColumn="0" w:noHBand="0" w:noVBand="0" w:val="0020"/>
        <w:tblCaption w:val="Variable Definition Measurement"/>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t xml:space="preserve">NPLR</w:t>
            </w:r>
          </w:p>
        </w:tc>
        <w:tc>
          <w:tcPr/>
          <w:p>
            <w:pPr>
              <w:pStyle w:val="Compact"/>
              <w:jc w:val="left"/>
            </w:pPr>
            <w:r>
              <w:t xml:space="preserve">Non-performing loan ratio (IFRS-9 Stage-3 assets / gross loans (%))</w:t>
            </w:r>
          </w:p>
        </w:tc>
        <w:tc>
          <w:tcPr/>
          <w:p>
            <w:pPr>
              <w:pStyle w:val="Compact"/>
              <w:jc w:val="left"/>
            </w:pPr>
            <w:r>
              <w:t xml:space="preserve">Annual reports, CBN</w:t>
            </w:r>
          </w:p>
        </w:tc>
      </w:tr>
      <w:tr>
        <w:tc>
          <w:tcPr/>
          <w:p>
            <w:pPr>
              <w:pStyle w:val="Compact"/>
              <w:jc w:val="left"/>
            </w:pPr>
            <w:r>
              <w:t xml:space="preserve">CGDI</w:t>
            </w:r>
          </w:p>
        </w:tc>
        <w:tc>
          <w:tcPr/>
          <w:p>
            <w:pPr>
              <w:pStyle w:val="Compact"/>
              <w:jc w:val="left"/>
            </w:pPr>
            <w:r>
              <w:t xml:space="preserve">Disclosure index (60-item checklist / 60 × 100)</w:t>
            </w:r>
          </w:p>
        </w:tc>
        <w:tc>
          <w:tcPr/>
          <w:p>
            <w:pPr>
              <w:pStyle w:val="Compact"/>
              <w:jc w:val="left"/>
            </w:pPr>
            <w:r>
              <w:t xml:space="preserve">Annual reports, OECD/CBN templates</w:t>
            </w:r>
          </w:p>
        </w:tc>
      </w:tr>
      <w:tr>
        <w:tc>
          <w:tcPr/>
          <w:p>
            <w:pPr>
              <w:pStyle w:val="Compact"/>
              <w:jc w:val="left"/>
            </w:pPr>
            <w:r>
              <w:t xml:space="preserve">OPEFF</w:t>
            </w:r>
          </w:p>
        </w:tc>
        <w:tc>
          <w:tcPr/>
          <w:p>
            <w:pPr>
              <w:pStyle w:val="Compact"/>
              <w:jc w:val="left"/>
            </w:pPr>
            <w:r>
              <w:t xml:space="preserve">Practice index (100 × (1 – cost-to-income ratio))</w:t>
            </w:r>
          </w:p>
        </w:tc>
        <w:tc>
          <w:tcPr/>
          <w:p>
            <w:pPr>
              <w:pStyle w:val="Compact"/>
              <w:jc w:val="left"/>
            </w:pPr>
            <w:r>
              <w:t xml:space="preserve">Bank income statements</w:t>
            </w:r>
          </w:p>
        </w:tc>
      </w:tr>
      <w:tr>
        <w:tc>
          <w:tcPr/>
          <w:p>
            <w:pPr>
              <w:pStyle w:val="Compact"/>
              <w:jc w:val="left"/>
            </w:pPr>
            <w:r>
              <w:t xml:space="preserve">COMID</w:t>
            </w:r>
          </w:p>
        </w:tc>
        <w:tc>
          <w:tcPr/>
          <w:p>
            <w:pPr>
              <w:pStyle w:val="Compact"/>
              <w:jc w:val="left"/>
            </w:pPr>
            <w:r>
              <w:t xml:space="preserve">Compliance index (Weighted composite of return accuracy, CAMELS, remediation speed (0–100))</w:t>
            </w:r>
          </w:p>
        </w:tc>
        <w:tc>
          <w:tcPr/>
          <w:p>
            <w:pPr>
              <w:pStyle w:val="Compact"/>
              <w:jc w:val="left"/>
            </w:pPr>
            <w:r>
              <w:t xml:space="preserve">CBN supervision archives</w:t>
            </w:r>
          </w:p>
        </w:tc>
      </w:tr>
      <w:tr>
        <w:tc>
          <w:tcPr/>
          <w:p>
            <w:pPr>
              <w:pStyle w:val="Compact"/>
              <w:jc w:val="left"/>
            </w:pPr>
            <w:r>
              <w:t xml:space="preserve">Audit Committee Independence</w:t>
            </w:r>
          </w:p>
        </w:tc>
        <w:tc>
          <w:tcPr/>
          <w:p>
            <w:pPr>
              <w:pStyle w:val="Compact"/>
              <w:jc w:val="left"/>
            </w:pPr>
            <w:r>
              <w:t xml:space="preserve">Autonomy and effectiveness (5-item Likert scale (</w:t>
            </w:r>
            <m:oMath>
              <m:r>
                <m:t>α</m:t>
              </m:r>
            </m:oMath>
            <w:r>
              <w:t xml:space="preserve">=0.85))</w:t>
            </w:r>
          </w:p>
        </w:tc>
        <w:tc>
          <w:tcPr/>
          <w:p>
            <w:pPr>
              <w:pStyle w:val="Compact"/>
              <w:jc w:val="left"/>
            </w:pPr>
            <w:r>
              <w:t xml:space="preserve">Questionnaire responses</w:t>
            </w:r>
          </w:p>
        </w:tc>
      </w:tr>
      <w:tr>
        <w:tc>
          <w:tcPr/>
          <w:p>
            <w:pPr>
              <w:pStyle w:val="Compact"/>
              <w:jc w:val="left"/>
            </w:pPr>
            <w:r>
              <w:t xml:space="preserve">Regulatory Clarity</w:t>
            </w:r>
          </w:p>
        </w:tc>
        <w:tc>
          <w:tcPr/>
          <w:p>
            <w:pPr>
              <w:pStyle w:val="Compact"/>
              <w:jc w:val="left"/>
            </w:pPr>
            <w:r>
              <w:t xml:space="preserve">Regulatory consistency (6-item Likert scale (</w:t>
            </w:r>
            <m:oMath>
              <m:r>
                <m:t>α</m:t>
              </m:r>
            </m:oMath>
            <w:r>
              <w:t xml:space="preserve">=0.88))</w:t>
            </w:r>
          </w:p>
        </w:tc>
        <w:tc>
          <w:tcPr/>
          <w:p>
            <w:pPr>
              <w:pStyle w:val="Compact"/>
              <w:jc w:val="left"/>
            </w:pPr>
            <w:r>
              <w:t xml:space="preserve">Questionnaire responses</w:t>
            </w:r>
          </w:p>
        </w:tc>
      </w:tr>
      <w:tr>
        <w:tc>
          <w:tcPr/>
          <w:p>
            <w:pPr>
              <w:pStyle w:val="Compact"/>
              <w:jc w:val="left"/>
            </w:pPr>
            <w:r>
              <w:t xml:space="preserve">LnGDPPC</w:t>
            </w:r>
          </w:p>
        </w:tc>
        <w:tc>
          <w:tcPr/>
          <w:p>
            <w:pPr>
              <w:pStyle w:val="Compact"/>
              <w:jc w:val="left"/>
            </w:pPr>
            <w:r>
              <w:t xml:space="preserve">Macro control (ln(GDP per capita, 2010 US$))</w:t>
            </w:r>
          </w:p>
        </w:tc>
        <w:tc>
          <w:tcPr/>
          <w:p>
            <w:pPr>
              <w:pStyle w:val="Compact"/>
              <w:jc w:val="left"/>
            </w:pPr>
            <w:r>
              <w:t xml:space="preserve">World Bank Development Indicators</w:t>
            </w:r>
          </w:p>
        </w:tc>
      </w:tr>
      <w:tr>
        <w:tc>
          <w:tcPr/>
          <w:p>
            <w:pPr>
              <w:pStyle w:val="Compact"/>
              <w:jc w:val="left"/>
            </w:pPr>
            <w:r>
              <w:t xml:space="preserve">Bank Size</w:t>
            </w:r>
          </w:p>
        </w:tc>
        <w:tc>
          <w:tcPr/>
          <w:p>
            <w:pPr>
              <w:pStyle w:val="Compact"/>
              <w:jc w:val="left"/>
            </w:pPr>
            <w:r>
              <w:t xml:space="preserve">Total assets (ln(total assets))</w:t>
            </w:r>
          </w:p>
        </w:tc>
        <w:tc>
          <w:tcPr/>
          <w:p>
            <w:pPr>
              <w:pStyle w:val="Compact"/>
              <w:jc w:val="left"/>
            </w:pPr>
            <w:r>
              <w:t xml:space="preserve">Bank financial statements</w:t>
            </w:r>
          </w:p>
        </w:tc>
      </w:tr>
      <w:tr>
        <w:tc>
          <w:tcPr/>
          <w:p>
            <w:pPr>
              <w:pStyle w:val="Compact"/>
              <w:jc w:val="left"/>
            </w:pPr>
            <w:r>
              <w:t xml:space="preserve">Inflation</w:t>
            </w:r>
          </w:p>
        </w:tc>
        <w:tc>
          <w:tcPr/>
          <w:p>
            <w:pPr>
              <w:pStyle w:val="Compact"/>
              <w:jc w:val="left"/>
            </w:pPr>
            <w:r>
              <w:t xml:space="preserve">Macro control (Annual inflation rate (%))</w:t>
            </w:r>
          </w:p>
        </w:tc>
        <w:tc>
          <w:tcPr/>
          <w:p>
            <w:pPr>
              <w:pStyle w:val="Compact"/>
              <w:jc w:val="left"/>
            </w:pPr>
            <w:r>
              <w:t xml:space="preserve">CBN</w:t>
            </w:r>
          </w:p>
        </w:tc>
      </w:tr>
    </w:tbl>
    <w:bookmarkEnd w:id="43"/>
    <w:p>
      <w:pPr>
        <w:pStyle w:val="BodyText"/>
      </w:pPr>
      <w:bookmarkStart w:id="44" w:name="tab:variables"/>
      <w:bookmarkEnd w:id="44"/>
    </w:p>
    <w:bookmarkEnd w:id="45"/>
    <w:bookmarkEnd w:id="46"/>
    <w:bookmarkStart w:id="64" w:name="data-analysis-procedures"/>
    <w:p>
      <w:pPr>
        <w:pStyle w:val="Heading1"/>
      </w:pPr>
      <w:r>
        <w:t xml:space="preserve">Data Analysis Procedures</w:t>
      </w:r>
    </w:p>
    <w:bookmarkStart w:id="47" w:name="econometric-specification"/>
    <w:p>
      <w:pPr>
        <w:pStyle w:val="Heading2"/>
      </w:pPr>
      <w:r>
        <w:t xml:space="preserve">Econometric Specification</w:t>
      </w:r>
    </w:p>
    <w:p>
      <w:pPr>
        <w:pStyle w:val="FirstParagraph"/>
      </w:pPr>
      <w:r>
        <w:t xml:space="preserve">For RQ1, the baseline two-way fixed-effects model is:</w:t>
      </w:r>
    </w:p>
    <w:p>
      <w:pPr>
        <w:pStyle w:val="BodyText"/>
      </w:pPr>
      <m:oMathPara>
        <m:oMathParaPr>
          <m:jc m:val="center"/>
        </m:oMathParaPr>
        <m:oMath>
          <m:sSub>
            <m:e>
              <m:r>
                <m:rPr>
                  <m:nor/>
                  <m:sty m:val="p"/>
                </m:rPr>
                <m:t>NPLR</m:t>
              </m:r>
            </m:e>
            <m:sub>
              <m:r>
                <m:t>i</m:t>
              </m:r>
              <m:r>
                <m:rPr>
                  <m:sty m:val="p"/>
                </m:rPr>
                <m:t>,</m:t>
              </m:r>
              <m:r>
                <m:t>t</m:t>
              </m:r>
            </m:sub>
          </m:sSub>
          <m:r>
            <m:rPr>
              <m:sty m:val="p"/>
            </m:rPr>
            <m:t>=</m:t>
          </m:r>
          <m:r>
            <m:t>α</m:t>
          </m:r>
          <m:r>
            <m:rPr>
              <m:sty m:val="p"/>
            </m:rPr>
            <m:t>+</m:t>
          </m:r>
          <m:sSub>
            <m:e>
              <m:r>
                <m:t>β</m:t>
              </m:r>
            </m:e>
            <m:sub>
              <m:r>
                <m:t>1</m:t>
              </m:r>
            </m:sub>
          </m:sSub>
          <m:sSub>
            <m:e>
              <m:r>
                <m:rPr>
                  <m:nor/>
                  <m:sty m:val="p"/>
                </m:rPr>
                <m:t>CGDI</m:t>
              </m:r>
            </m:e>
            <m:sub>
              <m:r>
                <m:t>i</m:t>
              </m:r>
              <m:r>
                <m:rPr>
                  <m:sty m:val="p"/>
                </m:rPr>
                <m:t>,</m:t>
              </m:r>
              <m:r>
                <m:t>t</m:t>
              </m:r>
            </m:sub>
          </m:sSub>
          <m:r>
            <m:rPr>
              <m:sty m:val="p"/>
            </m:rPr>
            <m:t>+</m:t>
          </m:r>
          <m:sSub>
            <m:e>
              <m:r>
                <m:t>β</m:t>
              </m:r>
            </m:e>
            <m:sub>
              <m:r>
                <m:t>2</m:t>
              </m:r>
            </m:sub>
          </m:sSub>
          <m:sSub>
            <m:e>
              <m:r>
                <m:rPr>
                  <m:nor/>
                  <m:sty m:val="p"/>
                </m:rPr>
                <m:t>OPEFF</m:t>
              </m:r>
            </m:e>
            <m:sub>
              <m:r>
                <m:t>i</m:t>
              </m:r>
              <m:r>
                <m:rPr>
                  <m:sty m:val="p"/>
                </m:rPr>
                <m:t>,</m:t>
              </m:r>
              <m:r>
                <m:t>t</m:t>
              </m:r>
            </m:sub>
          </m:sSub>
          <m:r>
            <m:rPr>
              <m:sty m:val="p"/>
            </m:rPr>
            <m:t>+</m:t>
          </m:r>
          <m:sSub>
            <m:e>
              <m:r>
                <m:t>β</m:t>
              </m:r>
            </m:e>
            <m:sub>
              <m:r>
                <m:t>3</m:t>
              </m:r>
            </m:sub>
          </m:sSub>
          <m:sSub>
            <m:e>
              <m:r>
                <m:rPr>
                  <m:nor/>
                  <m:sty m:val="p"/>
                </m:rPr>
                <m:t>COMID</m:t>
              </m:r>
            </m:e>
            <m:sub>
              <m:r>
                <m:t>i</m:t>
              </m:r>
              <m:r>
                <m:rPr>
                  <m:sty m:val="p"/>
                </m:rPr>
                <m:t>,</m:t>
              </m:r>
              <m:r>
                <m:t>t</m:t>
              </m:r>
            </m:sub>
          </m:sSub>
          <m:r>
            <m:rPr>
              <m:sty m:val="p"/>
            </m:rPr>
            <m:t>+</m:t>
          </m:r>
          <m:sSub>
            <m:e>
              <m:r>
                <m:t>β</m:t>
              </m:r>
            </m:e>
            <m:sub>
              <m:r>
                <m:t>4</m:t>
              </m:r>
            </m:sub>
          </m:sSub>
          <m:sSub>
            <m:e>
              <m:r>
                <m:rPr>
                  <m:nor/>
                  <m:sty m:val="p"/>
                </m:rPr>
                <m:t>TCAR</m:t>
              </m:r>
            </m:e>
            <m:sub>
              <m:r>
                <m:t>i</m:t>
              </m:r>
              <m:r>
                <m:rPr>
                  <m:sty m:val="p"/>
                </m:rPr>
                <m:t>,</m:t>
              </m:r>
              <m:r>
                <m:t>t</m:t>
              </m:r>
              <m:r>
                <m:rPr>
                  <m:sty m:val="p"/>
                </m:rPr>
                <m:t>−</m:t>
              </m:r>
              <m:r>
                <m:t>1</m:t>
              </m:r>
            </m:sub>
          </m:sSub>
          <m:r>
            <m:rPr>
              <m:sty m:val="p"/>
            </m:rPr>
            <m:t>+</m:t>
          </m:r>
          <m:sSub>
            <m:e>
              <m:r>
                <m:t>β</m:t>
              </m:r>
            </m:e>
            <m:sub>
              <m:r>
                <m:t>5</m:t>
              </m:r>
            </m:sub>
          </m:sSub>
          <m:sSub>
            <m:e>
              <m:r>
                <m:rPr>
                  <m:nor/>
                  <m:sty m:val="p"/>
                </m:rPr>
                <m:t>LnGDPPC</m:t>
              </m:r>
            </m:e>
            <m:sub>
              <m:r>
                <m:t>t</m:t>
              </m:r>
            </m:sub>
          </m:sSub>
          <m:r>
            <m:rPr>
              <m:sty m:val="p"/>
            </m:rPr>
            <m:t>+</m:t>
          </m:r>
          <m:sSub>
            <m:e>
              <m:r>
                <m:t>β</m:t>
              </m:r>
            </m:e>
            <m:sub>
              <m:r>
                <m:t>6</m:t>
              </m:r>
            </m:sub>
          </m:sSub>
          <m:sSub>
            <m:e>
              <m:r>
                <m:rPr>
                  <m:nor/>
                  <m:sty m:val="p"/>
                </m:rPr>
                <m:t>LnAssets</m:t>
              </m:r>
            </m:e>
            <m:sub>
              <m:r>
                <m:t>i</m:t>
              </m:r>
              <m:r>
                <m:rPr>
                  <m:sty m:val="p"/>
                </m:rPr>
                <m:t>,</m:t>
              </m:r>
              <m:r>
                <m:t>t</m:t>
              </m:r>
            </m:sub>
          </m:sSub>
          <m:r>
            <m:rPr>
              <m:sty m:val="p"/>
            </m:rPr>
            <m:t>+</m:t>
          </m:r>
          <m:sSub>
            <m:e>
              <m:r>
                <m:t>μ</m:t>
              </m:r>
            </m:e>
            <m:sub>
              <m:r>
                <m:t>i</m:t>
              </m:r>
            </m:sub>
          </m:sSub>
          <m:r>
            <m:rPr>
              <m:sty m:val="p"/>
            </m:rPr>
            <m:t>+</m:t>
          </m:r>
          <m:sSub>
            <m:e>
              <m:r>
                <m:t>λ</m:t>
              </m:r>
            </m:e>
            <m:sub>
              <m:r>
                <m:t>t</m:t>
              </m:r>
            </m:sub>
          </m:sSub>
          <m:r>
            <m:rPr>
              <m:sty m:val="p"/>
            </m:rPr>
            <m:t>+</m:t>
          </m:r>
          <m:sSub>
            <m:e>
              <m:r>
                <m:t>ε</m:t>
              </m:r>
            </m:e>
            <m:sub>
              <m:r>
                <m:t>i</m:t>
              </m:r>
              <m:r>
                <m:rPr>
                  <m:sty m:val="p"/>
                </m:rPr>
                <m:t>,</m:t>
              </m:r>
              <m:r>
                <m:t>t</m:t>
              </m:r>
            </m:sub>
          </m:sSub>
        </m:oMath>
      </m:oMathPara>
    </w:p>
    <w:p>
      <w:pPr>
        <w:pStyle w:val="FirstParagraph"/>
      </w:pPr>
      <w:r>
        <w:t xml:space="preserve">where i=1,...,10 banks, t=2009,...,2024;</w:t>
      </w:r>
      <w:r>
        <w:t xml:space="preserve"> </w:t>
      </w:r>
      <m:oMath>
        <m:sSub>
          <m:e>
            <m:r>
              <m:t>μ</m:t>
            </m:r>
          </m:e>
          <m:sub>
            <m:r>
              <m:t>i</m:t>
            </m:r>
          </m:sub>
        </m:sSub>
      </m:oMath>
      <w:r>
        <w:t xml:space="preserve"> </w:t>
      </w:r>
      <w:r>
        <w:t xml:space="preserve">are bank fixed effects,</w:t>
      </w:r>
      <w:r>
        <w:t xml:space="preserve"> </w:t>
      </w:r>
      <m:oMath>
        <m:sSub>
          <m:e>
            <m:r>
              <m:t>λ</m:t>
            </m:r>
          </m:e>
          <m:sub>
            <m:r>
              <m:t>t</m:t>
            </m:r>
          </m:sub>
        </m:sSub>
      </m:oMath>
      <w:r>
        <w:t xml:space="preserve"> </w:t>
      </w:r>
      <w:r>
        <w:t xml:space="preserve">year dummies,</w:t>
      </w:r>
      <w:r>
        <w:t xml:space="preserve"> </w:t>
      </w:r>
      <m:oMath>
        <m:sSub>
          <m:e>
            <m:r>
              <m:t>ε</m:t>
            </m:r>
          </m:e>
          <m:sub>
            <m:r>
              <m:t>i</m:t>
            </m:r>
            <m:r>
              <m:rPr>
                <m:sty m:val="p"/>
              </m:rPr>
              <m:t>,</m:t>
            </m:r>
            <m:r>
              <m:t>t</m:t>
            </m:r>
          </m:sub>
        </m:sSub>
      </m:oMath>
      <w:r>
        <w:t xml:space="preserve"> </w:t>
      </w:r>
      <w:r>
        <w:t xml:space="preserve">idiosyncratic error. Standard errors are clustered at bank level for heteroskedasticity and autocorrelation (Arellano, 1987). For RQ2–RQ4, cross-sectional OLS regressions examine NPL associations with survey-derived constructs, modeling audit committee independence mediation via financial reporting integrity and regulatory clarity with enforcement consistency, controlling for demographics.</w:t>
      </w:r>
    </w:p>
    <w:bookmarkEnd w:id="47"/>
    <w:bookmarkStart w:id="48" w:name="X13a894e2cea6ee6883d3d3df1992503205aa470"/>
    <w:p>
      <w:pPr>
        <w:pStyle w:val="Heading2"/>
      </w:pPr>
      <w:r>
        <w:t xml:space="preserve">Estimator Selection Endogeneity Mitigation</w:t>
      </w:r>
    </w:p>
    <w:p>
      <w:pPr>
        <w:pStyle w:val="FirstParagraph"/>
      </w:pPr>
      <w:r>
        <w:t xml:space="preserve">Hausman (1978) tests favor fixed-effects over random-effects (e.g.,</w:t>
      </w:r>
      <w:r>
        <w:t xml:space="preserve"> </w:t>
      </w:r>
      <m:oMath>
        <m:sSup>
          <m:e>
            <m:r>
              <m:t>χ</m:t>
            </m:r>
          </m:e>
          <m:sup>
            <m:r>
              <m:t>2</m:t>
            </m:r>
          </m:sup>
        </m:sSup>
        <m:r>
          <m:rPr>
            <m:sty m:val="p"/>
          </m:rPr>
          <m:t>=</m:t>
        </m:r>
        <m:r>
          <m:t>15.23</m:t>
        </m:r>
      </m:oMath>
      <w:r>
        <w:t xml:space="preserve">, p&lt;0.01). Lagged TCAR mitigates reverse causality; variance inflation factors (VIF&lt;4) address multicollinearity. Qualitative data explores residual endogeneity, such as unobservables like cultural barriers, for OB1–OB4.</w:t>
      </w:r>
    </w:p>
    <w:bookmarkEnd w:id="48"/>
    <w:bookmarkStart w:id="49" w:name="dynamic-specification-instrumentation"/>
    <w:p>
      <w:pPr>
        <w:pStyle w:val="Heading2"/>
      </w:pPr>
      <w:r>
        <w:t xml:space="preserve">Dynamic Specification Instrumentation</w:t>
      </w:r>
    </w:p>
    <w:p>
      <w:pPr>
        <w:pStyle w:val="FirstParagraph"/>
      </w:pPr>
      <w:r>
        <w:t xml:space="preserve">To capture NPL persistence:</w:t>
      </w:r>
    </w:p>
    <w:p>
      <w:pPr>
        <w:pStyle w:val="BodyText"/>
      </w:pPr>
      <m:oMathPara>
        <m:oMathParaPr>
          <m:jc m:val="center"/>
        </m:oMathParaPr>
        <m:oMath>
          <m:sSub>
            <m:e>
              <m:r>
                <m:rPr>
                  <m:nor/>
                  <m:sty m:val="p"/>
                </m:rPr>
                <m:t>NPLR</m:t>
              </m:r>
            </m:e>
            <m:sub>
              <m:r>
                <m:t>i</m:t>
              </m:r>
              <m:r>
                <m:rPr>
                  <m:sty m:val="p"/>
                </m:rPr>
                <m:t>,</m:t>
              </m:r>
              <m:r>
                <m:t>t</m:t>
              </m:r>
            </m:sub>
          </m:sSub>
          <m:r>
            <m:rPr>
              <m:sty m:val="p"/>
            </m:rPr>
            <m:t>=</m:t>
          </m:r>
          <m:r>
            <m:t>α</m:t>
          </m:r>
          <m:r>
            <m:rPr>
              <m:sty m:val="p"/>
            </m:rPr>
            <m:t>+</m:t>
          </m:r>
          <m:r>
            <m:t>ρ</m:t>
          </m:r>
          <m:sSub>
            <m:e>
              <m:r>
                <m:rPr>
                  <m:nor/>
                  <m:sty m:val="p"/>
                </m:rPr>
                <m:t>NPLR</m:t>
              </m:r>
            </m:e>
            <m:sub>
              <m:r>
                <m:t>i</m:t>
              </m:r>
              <m:r>
                <m:rPr>
                  <m:sty m:val="p"/>
                </m:rPr>
                <m:t>,</m:t>
              </m:r>
              <m:r>
                <m:t>t</m:t>
              </m:r>
              <m:r>
                <m:rPr>
                  <m:sty m:val="p"/>
                </m:rPr>
                <m:t>−</m:t>
              </m:r>
              <m:r>
                <m:t>1</m:t>
              </m:r>
            </m:sub>
          </m:sSub>
          <m:r>
            <m:rPr>
              <m:sty m:val="p"/>
            </m:rPr>
            <m:t>+</m:t>
          </m:r>
          <m:r>
            <m:t>β</m:t>
          </m:r>
          <m:r>
            <m:rPr>
              <m:sty m:val="p"/>
            </m:rPr>
            <m:t>′</m:t>
          </m:r>
          <m:sSub>
            <m:e>
              <m:r>
                <m:t>X</m:t>
              </m:r>
            </m:e>
            <m:sub>
              <m:r>
                <m:t>i</m:t>
              </m:r>
              <m:r>
                <m:rPr>
                  <m:sty m:val="p"/>
                </m:rPr>
                <m:t>,</m:t>
              </m:r>
              <m:r>
                <m:t>t</m:t>
              </m:r>
              <m:r>
                <m:rPr>
                  <m:sty m:val="p"/>
                </m:rPr>
                <m:t>−</m:t>
              </m:r>
              <m:r>
                <m:t>1</m:t>
              </m:r>
            </m:sub>
          </m:sSub>
          <m:r>
            <m:rPr>
              <m:sty m:val="p"/>
            </m:rPr>
            <m:t>+</m:t>
          </m:r>
          <m:sSub>
            <m:e>
              <m:r>
                <m:t>μ</m:t>
              </m:r>
            </m:e>
            <m:sub>
              <m:r>
                <m:t>i</m:t>
              </m:r>
            </m:sub>
          </m:sSub>
          <m:r>
            <m:rPr>
              <m:sty m:val="p"/>
            </m:rPr>
            <m:t>+</m:t>
          </m:r>
          <m:sSub>
            <m:e>
              <m:r>
                <m:t>λ</m:t>
              </m:r>
            </m:e>
            <m:sub>
              <m:r>
                <m:t>t</m:t>
              </m:r>
            </m:sub>
          </m:sSub>
          <m:r>
            <m:rPr>
              <m:sty m:val="p"/>
            </m:rPr>
            <m:t>+</m:t>
          </m:r>
          <m:sSub>
            <m:e>
              <m:r>
                <m:t>ε</m:t>
              </m:r>
            </m:e>
            <m:sub>
              <m:r>
                <m:t>i</m:t>
              </m:r>
              <m:r>
                <m:rPr>
                  <m:sty m:val="p"/>
                </m:rPr>
                <m:t>,</m:t>
              </m:r>
              <m:r>
                <m:t>t</m:t>
              </m:r>
            </m:sub>
          </m:sSub>
        </m:oMath>
      </m:oMathPara>
    </w:p>
    <w:p>
      <w:pPr>
        <w:pStyle w:val="FirstParagraph"/>
      </w:pPr>
      <w:r>
        <w:t xml:space="preserve">Arellano-Bond GMM uses lagged levels as instruments; Hansen over-identification (p&gt;0.10) and AR(2) tests (p&gt;0.05) validate. Qualitative thematic analysis in NVivo supports RQ2–RQ4 inductively.</w:t>
      </w:r>
    </w:p>
    <w:bookmarkEnd w:id="49"/>
    <w:bookmarkStart w:id="50" w:name="regime-shift-analysis"/>
    <w:p>
      <w:pPr>
        <w:pStyle w:val="Heading2"/>
      </w:pPr>
      <w:r>
        <w:t xml:space="preserve">Regime-Shift Analysis</w:t>
      </w:r>
    </w:p>
    <w:p>
      <w:pPr>
        <w:pStyle w:val="FirstParagraph"/>
      </w:pPr>
      <w:r>
        <w:t xml:space="preserve">The panel is split into voluntary (2009–2014) and mandatory (2015–2024) eras post-2014 code; Chow test (F=3.45, p&lt;0.05) confirms breaks. This assesses reform intensification on corporate governance index elasticities.</w:t>
      </w:r>
    </w:p>
    <w:bookmarkEnd w:id="50"/>
    <w:bookmarkStart w:id="51" w:name="Xc15f75bd8e5defc8650b24f669423982397671e"/>
    <w:p>
      <w:pPr>
        <w:pStyle w:val="Heading2"/>
      </w:pPr>
      <w:r>
        <w:t xml:space="preserve">Parallel Trends Assumption Testing for Difference-in-Differences Design</w:t>
      </w:r>
    </w:p>
    <w:p>
      <w:pPr>
        <w:pStyle w:val="FirstParagraph"/>
      </w:pPr>
      <w:r>
        <w:t xml:space="preserve">To validate the difference-in-differences (DiD) estimator for RQ3, the parallel trends assumption—that pre-reform NPL trends for treatment and control banks would evolve identically without CBN 2014–2016 mandates—is tested. Visual inspections of pre-reform (2009–2014) NPL plots for treatment banks (larger SIBs impacted by mandates like board tenure limits to 12 years,</w:t>
      </w:r>
      <w:r>
        <w:t xml:space="preserve"> </w:t>
      </w:r>
      <m:oMath>
        <m:r>
          <m:rPr>
            <m:sty m:val="p"/>
          </m:rPr>
          <m:t>≥</m:t>
        </m:r>
      </m:oMath>
      <w:r>
        <w:t xml:space="preserve">50% independent directors, executive vetting) and control banks (mid-tier DMBs with minimal adjustments, per CBN reports) are used.</w:t>
      </w:r>
    </w:p>
    <w:p>
      <w:pPr>
        <w:pStyle w:val="BodyText"/>
      </w:pPr>
      <w:r>
        <w:t xml:space="preserve">Pre-trend regressions interact time dummies with treatment indicators in a pre-reform model; non-significant coefficients (p &gt; 0.10) confirm no differential trends. The post-reform period (2016–2024) allows a one-year lag for mandates, capturing effects amid 2016 recession recovery. Theoretically, DiD disentangles signalling theory (pre-reform voluntary disclosure lacking credibility) from institutional theory (post-reform enforced disclosure activating practice), providing causal evidence on mandates shifting disclosure to negative NPL associations by enhancing board credibility and reducing asymmetry.</w:t>
      </w:r>
    </w:p>
    <w:bookmarkEnd w:id="51"/>
    <w:bookmarkStart w:id="52" w:name="robustness-diagnostics"/>
    <w:p>
      <w:pPr>
        <w:pStyle w:val="Heading2"/>
      </w:pPr>
      <w:r>
        <w:t xml:space="preserve">Robustness Diagnostics</w:t>
      </w:r>
    </w:p>
    <w:p>
      <w:pPr>
        <w:pStyle w:val="FirstParagraph"/>
      </w:pPr>
      <w:r>
        <w:t xml:space="preserve">(i) Alternate NPL definitions (90-day past-due vs. IFRS-9) yield consistent rankings. (ii) Winsorization at 1%/99% guards outliers. (iii) Placebo permutations of indices produce null coefficients, affirming causality. Mixed-methods include inter-coder reliability (Kappa=0.82) and member-checking for validity.</w:t>
      </w:r>
    </w:p>
    <w:bookmarkEnd w:id="52"/>
    <w:bookmarkStart w:id="53" w:name="quantitative-data-analysis"/>
    <w:p>
      <w:pPr>
        <w:pStyle w:val="Heading2"/>
      </w:pPr>
      <w:r>
        <w:t xml:space="preserve">Quantitative Data Analysis</w:t>
      </w:r>
    </w:p>
    <w:p>
      <w:pPr>
        <w:pStyle w:val="FirstParagraph"/>
      </w:pPr>
      <w:r>
        <w:t xml:space="preserve">Quantitative analysis in SPSS v28 explores relationships between corporate governance indices, audit committee independence, regulatory clarity, and NPL ratios. Data preparation involves cleaning for integrity and statistical techniques. Missing values (&lt;5%) are addressed with mean imputation; outliers are winsorized at 1st/99th percentiles or capped at z-scores &gt;±3.29. SPSS handles Likert-scale diagnostics for multivariate suitability (Field, 2018; Olojede et al., 2020).</w:t>
      </w:r>
    </w:p>
    <w:p>
      <w:pPr>
        <w:pStyle w:val="BodyText"/>
      </w:pPr>
      <w:r>
        <w:t xml:space="preserve">For the cross-sectional survey in RQ2, social desirability bias—respondents inflating reporting quality—is mitigated by anonymity in consent forms, cross-checks with secondary NPL data (CBN/NDIC) to validate scores, and confirmatory factor analysis (CFA) in SPSS AMOS confirming index integrity. The Financial Reporting Soundness Index (7-point Likert items, e.g., "Financial statements accurately reflect asset quality") shows factor loadings 0.68–0.87 (&gt;0.60), AVE &gt;0.50 (0.62),</w:t>
      </w:r>
      <w:r>
        <w:t xml:space="preserve"> </w:t>
      </w:r>
      <m:oMath>
        <m:r>
          <m:t>α</m:t>
        </m:r>
      </m:oMath>
      <w:r>
        <w:t xml:space="preserve">=0.89, and discriminant validity (AVE square roots &gt; inter-correlations, Fornell-Larcker). This affirms convergent/discriminant properties, reducing measurement error in Hayes Process Model 4 mediation.</w:t>
      </w:r>
    </w:p>
    <w:bookmarkEnd w:id="53"/>
    <w:bookmarkStart w:id="54" w:name="descriptive-statistics"/>
    <w:p>
      <w:pPr>
        <w:pStyle w:val="Heading2"/>
      </w:pPr>
      <w:r>
        <w:t xml:space="preserve">Descriptive Statistics</w:t>
      </w:r>
    </w:p>
    <w:p>
      <w:pPr>
        <w:pStyle w:val="FirstParagraph"/>
      </w:pPr>
      <w:r>
        <w:t xml:space="preserve">Descriptive statistics establish variable profiles using SPSS descriptives and frequencies. Metrics include means, standard deviations, and distributions for CG perceptions (7-point Likert) and demographics. Normality tests (Kolmogorov-Smirnov, histograms) inform transformations (e.g., log for skewed variables) as an inference foundation, with visuals like bar charts (Adegboye, 2020).</w:t>
      </w:r>
    </w:p>
    <w:bookmarkEnd w:id="54"/>
    <w:bookmarkStart w:id="57" w:name="correlation-analysis"/>
    <w:p>
      <w:pPr>
        <w:pStyle w:val="Heading2"/>
      </w:pPr>
      <w:r>
        <w:t xml:space="preserve">Correlation Analysis</w:t>
      </w:r>
    </w:p>
    <w:p>
      <w:pPr>
        <w:pStyle w:val="FirstParagraph"/>
      </w:pPr>
      <w:r>
        <w:t xml:space="preserve">Bivariate correlation analysis in SPSS examines associations between corporate governance indices, audit committee independence, regulatory clarity, and NPL ratios. Pearson’s coefficients control for bank size and GDP growth to assess linear relationships. This method treats transformed interval data efficiently; no causality is assumed, informing regression models for OB1–OB4 (Cohen et al., 2013).</w:t>
      </w:r>
    </w:p>
    <w:bookmarkStart w:id="55" w:name="tab:npl"/>
    <w:p>
      <w:pPr>
        <w:pStyle w:val="TableCaption"/>
      </w:pPr>
      <w:r>
        <w:t xml:space="preserve">Sector-Average NPL Ratios in Nigerian DMBs, 2009–Q1 2025</w:t>
      </w:r>
    </w:p>
    <w:tbl>
      <w:tblPr>
        <w:tblStyle w:val="Table"/>
        <w:tblW w:type="auto" w:w="0"/>
        <w:tblLook w:firstRow="1" w:lastRow="0" w:firstColumn="0" w:lastColumn="0" w:noHBand="0" w:noVBand="0" w:val="0020"/>
        <w:tblCaption w:val="Sector-Average NPL Ratios in Nigerian DMBs, 2009–Q1 2025"/>
      </w:tblPr>
      <w:tblGrid>
        <w:gridCol w:w="2640"/>
        <w:gridCol w:w="2640"/>
        <w:gridCol w:w="2640"/>
      </w:tblGrid>
      <w:tr>
        <w:trPr>
          <w:tblHeader w:val="on"/>
        </w:trPr>
        <w:tc>
          <w:tcPr/>
          <w:p>
            <w:pPr>
              <w:pStyle w:val="Compact"/>
              <w:jc w:val="left"/>
            </w:pPr>
            <w:r>
              <w:t xml:space="preserve">Year</w:t>
            </w:r>
          </w:p>
        </w:tc>
        <w:tc>
          <w:tcPr/>
          <w:p>
            <w:pPr>
              <w:pStyle w:val="Compact"/>
              <w:jc w:val="left"/>
            </w:pPr>
            <w:r>
              <w:t xml:space="preserve">Non-Performing Loan Ratio (%)</w:t>
            </w:r>
          </w:p>
        </w:tc>
        <w:tc>
          <w:tcPr/>
          <w:p>
            <w:pPr>
              <w:pStyle w:val="Compact"/>
              <w:jc w:val="left"/>
            </w:pPr>
            <w:r>
              <w:t xml:space="preserve">Key Event / Governance Driver / Source</w:t>
            </w:r>
          </w:p>
        </w:tc>
      </w:tr>
      <w:tr>
        <w:tc>
          <w:tcPr/>
          <w:p>
            <w:pPr>
              <w:pStyle w:val="Compact"/>
              <w:jc w:val="left"/>
            </w:pPr>
            <w:r>
              <w:t xml:space="preserve">1988-2008</w:t>
            </w:r>
          </w:p>
        </w:tc>
        <w:tc>
          <w:tcPr/>
          <w:p>
            <w:pPr>
              <w:pStyle w:val="Compact"/>
              <w:jc w:val="left"/>
            </w:pPr>
            <w:r>
              <w:t xml:space="preserve">Cumulative 425 bank failures</w:t>
            </w:r>
          </w:p>
        </w:tc>
        <w:tc>
          <w:tcPr/>
          <w:p>
            <w:pPr>
              <w:pStyle w:val="Compact"/>
              <w:jc w:val="left"/>
            </w:pPr>
            <w:r>
              <w:t xml:space="preserve">Pre-consolidation distress; Weak oversight, cronyism; Udo (2020)</w:t>
            </w:r>
          </w:p>
        </w:tc>
      </w:tr>
      <w:tr>
        <w:tc>
          <w:tcPr/>
          <w:p>
            <w:pPr>
              <w:pStyle w:val="Compact"/>
              <w:jc w:val="left"/>
            </w:pPr>
            <w:r>
              <w:t xml:space="preserve">2009</w:t>
            </w:r>
          </w:p>
        </w:tc>
        <w:tc>
          <w:tcPr/>
          <w:p>
            <w:pPr>
              <w:pStyle w:val="Compact"/>
              <w:jc w:val="left"/>
            </w:pPr>
            <w:r>
              <w:t xml:space="preserve">37% peak</w:t>
            </w:r>
          </w:p>
        </w:tc>
        <w:tc>
          <w:tcPr/>
          <w:p>
            <w:pPr>
              <w:pStyle w:val="Compact"/>
              <w:jc w:val="left"/>
            </w:pPr>
            <w:r>
              <w:t xml:space="preserve">Banking crisis, $3.9 billion bailout; Insider lending, audit failures; Sanusi (2009), Nwosu (2020)</w:t>
            </w:r>
          </w:p>
        </w:tc>
      </w:tr>
      <w:tr>
        <w:tc>
          <w:tcPr/>
          <w:p>
            <w:pPr>
              <w:pStyle w:val="Compact"/>
              <w:jc w:val="left"/>
            </w:pPr>
            <w:r>
              <w:t xml:space="preserve">2017</w:t>
            </w:r>
          </w:p>
        </w:tc>
        <w:tc>
          <w:tcPr/>
          <w:p>
            <w:pPr>
              <w:pStyle w:val="Compact"/>
              <w:jc w:val="left"/>
            </w:pPr>
            <w:r>
              <w:t xml:space="preserve">20%</w:t>
            </w:r>
          </w:p>
        </w:tc>
        <w:tc>
          <w:tcPr/>
          <w:p>
            <w:pPr>
              <w:pStyle w:val="Compact"/>
              <w:jc w:val="left"/>
            </w:pPr>
            <w:r>
              <w:t xml:space="preserve">Post-recession spike; Lax lending, unqualified management; Adegboye (2020)</w:t>
            </w:r>
          </w:p>
        </w:tc>
      </w:tr>
      <w:tr>
        <w:tc>
          <w:tcPr/>
          <w:p>
            <w:pPr>
              <w:pStyle w:val="Compact"/>
              <w:jc w:val="left"/>
            </w:pPr>
            <w:r>
              <w:t xml:space="preserve">April 2024</w:t>
            </w:r>
          </w:p>
        </w:tc>
        <w:tc>
          <w:tcPr/>
          <w:p>
            <w:pPr>
              <w:pStyle w:val="Compact"/>
              <w:jc w:val="left"/>
            </w:pPr>
            <w:r>
              <w:t xml:space="preserve">5.62%</w:t>
            </w:r>
          </w:p>
        </w:tc>
        <w:tc>
          <w:tcPr/>
          <w:p>
            <w:pPr>
              <w:pStyle w:val="Compact"/>
              <w:jc w:val="left"/>
            </w:pPr>
            <w:r>
              <w:t xml:space="preserve">Exceeds 5% threshold; Asset reclassification, inflation; CBN (2024)</w:t>
            </w:r>
          </w:p>
        </w:tc>
      </w:tr>
    </w:tbl>
    <w:bookmarkEnd w:id="55"/>
    <w:p>
      <w:pPr>
        <w:pStyle w:val="BodyText"/>
      </w:pPr>
      <w:bookmarkStart w:id="56" w:name="tab:npl"/>
      <w:bookmarkEnd w:id="56"/>
    </w:p>
    <w:p>
      <w:pPr>
        <w:pStyle w:val="BodyText"/>
      </w:pPr>
      <w:r>
        <w:t xml:space="preserve">Note: Adapted from Sanusi (2009), Adegboye (2020), and 2024 reports. Ties to disclosure, practice, compliance, and audit independence. See Figure 3.1 (line plot in Appendix C) for NPL trends illustrating governance’s stabilizing role post-2009.</w:t>
      </w:r>
    </w:p>
    <w:bookmarkEnd w:id="57"/>
    <w:bookmarkStart w:id="58" w:name="qualitative-data-analysis"/>
    <w:p>
      <w:pPr>
        <w:pStyle w:val="Heading2"/>
      </w:pPr>
      <w:r>
        <w:t xml:space="preserve">Qualitative Data Analysis</w:t>
      </w:r>
    </w:p>
    <w:p>
      <w:pPr>
        <w:pStyle w:val="FirstParagraph"/>
      </w:pPr>
      <w:r>
        <w:t xml:space="preserve">Qualitative analysis in NVivo v14 uncovers contextual factors behind quantitative findings on corporate governance indices, disclosure, practice, compliance, audit committee independence, and regulatory clarity’s relationships with NPLs, providing narrative depth.</w:t>
      </w:r>
    </w:p>
    <w:bookmarkEnd w:id="58"/>
    <w:bookmarkStart w:id="59" w:name="thematic-analysis-process"/>
    <w:p>
      <w:pPr>
        <w:pStyle w:val="Heading2"/>
      </w:pPr>
      <w:r>
        <w:t xml:space="preserve">Thematic Analysis Process</w:t>
      </w:r>
    </w:p>
    <w:p>
      <w:pPr>
        <w:pStyle w:val="FirstParagraph"/>
      </w:pPr>
      <w:r>
        <w:t xml:space="preserve">Braun and Clarke’s (2006) six-phase framework: transcript review for familiarization (noting patterns like regulatory conflict), 180 initial codes (e.g., shareholder pressure), clustering into themes (e.g., Barriers to Audit Committee Independence), refining for coherence, defining themes (e.g., Regulatory Clarity Impact: CAMA 2020 vs. NCCG 2018 conflicts), and reporting with quotes (e.g., "Codes create compliance loopholes" – CEO). Flexibility balances structure to explain statistical anomalies (e.g., weak regulatory clarity effects) (Braun &amp; Clarke, 2021).</w:t>
      </w:r>
    </w:p>
    <w:bookmarkEnd w:id="59"/>
    <w:bookmarkStart w:id="60" w:name="ensuring-rigor"/>
    <w:p>
      <w:pPr>
        <w:pStyle w:val="Heading2"/>
      </w:pPr>
      <w:r>
        <w:t xml:space="preserve">Ensuring Rigor</w:t>
      </w:r>
    </w:p>
    <w:p>
      <w:pPr>
        <w:pStyle w:val="FirstParagraph"/>
      </w:pPr>
      <w:r>
        <w:t xml:space="preserve">Inter-coder reliability (Cohen’s Kappa=0.85 on 5 transcripts) and member checking (8 interviewees) with NVivo audit trail ensure trustworthiness (Lincoln &amp; Guba, 1985).</w:t>
      </w:r>
    </w:p>
    <w:bookmarkEnd w:id="60"/>
    <w:bookmarkStart w:id="62" w:name="integration-findings"/>
    <w:p>
      <w:pPr>
        <w:pStyle w:val="Heading2"/>
      </w:pPr>
      <w:r>
        <w:t xml:space="preserve">Integration Findings</w:t>
      </w:r>
    </w:p>
    <w:p>
      <w:pPr>
        <w:pStyle w:val="FirstParagraph"/>
      </w:pPr>
      <w:r>
        <w:t xml:space="preserve">Joint display (Table 3.4) merges quantitative (e.g.,</w:t>
      </w:r>
      <w:r>
        <w:t xml:space="preserve"> </w:t>
      </w:r>
      <m:oMath>
        <m:r>
          <m:t>β</m:t>
        </m:r>
      </m:oMath>
      <w:r>
        <w:t xml:space="preserve">=-0.28 for audit committee independence) and qualitative results (e.g., Committee Capture theme) to resolve divergences (e.g., non-significant regulatory clarity explained by hidden enforcement gaps). Synthesis supports OB4 reform proposals, surpassing single-method limitations (Creswell &amp; Plano Clark, 2018). For RQ2, qualitative interviews in Chapter 4 cross-validate the Financial Reporting Soundness Index, contextualizing mediation by exploring insiders’ narratives on reporting amid opacity, confirming indirect effects.</w:t>
      </w:r>
    </w:p>
    <w:bookmarkStart w:id="61" w:name="tab:joint_findings"/>
    <w:p>
      <w:pPr>
        <w:pStyle w:val="TableCaption"/>
      </w:pPr>
      <w:r>
        <w:t xml:space="preserve">Joint Display of Quantitative and Qualitative Findings</w:t>
      </w:r>
    </w:p>
    <w:tbl>
      <w:tblPr>
        <w:tblStyle w:val="Table"/>
        <w:tblW w:type="auto" w:w="0"/>
        <w:tblLook w:firstRow="1" w:lastRow="0" w:firstColumn="0" w:lastColumn="0" w:noHBand="0" w:noVBand="0" w:val="0020"/>
        <w:tblCaption w:val="Joint Display of Quantitative and Qualitative Findings"/>
      </w:tblPr>
      <w:tblGrid>
        <w:gridCol w:w="1980"/>
        <w:gridCol w:w="1980"/>
        <w:gridCol w:w="1980"/>
        <w:gridCol w:w="1980"/>
      </w:tblGrid>
      <w:tr>
        <w:trPr>
          <w:tblHeader w:val="on"/>
        </w:trPr>
        <w:tc>
          <w:tcPr/>
          <w:p>
            <w:pPr>
              <w:pStyle w:val="Compact"/>
              <w:jc w:val="left"/>
            </w:pPr>
            <w:r>
              <w:t xml:space="preserve">Research Question</w:t>
            </w:r>
          </w:p>
        </w:tc>
        <w:tc>
          <w:tcPr/>
          <w:p>
            <w:pPr>
              <w:pStyle w:val="Compact"/>
              <w:jc w:val="left"/>
            </w:pPr>
            <w:r>
              <w:t xml:space="preserve">Quantitative Result</w:t>
            </w:r>
          </w:p>
        </w:tc>
        <w:tc>
          <w:tcPr/>
          <w:p>
            <w:pPr>
              <w:pStyle w:val="Compact"/>
              <w:jc w:val="left"/>
            </w:pPr>
            <w:r>
              <w:t xml:space="preserve">Qualitative Theme</w:t>
            </w:r>
          </w:p>
        </w:tc>
        <w:tc>
          <w:tcPr/>
          <w:p>
            <w:pPr>
              <w:pStyle w:val="Compact"/>
              <w:jc w:val="left"/>
            </w:pPr>
            <w:r>
              <w:t xml:space="preserve">Meta-Inference</w:t>
            </w:r>
          </w:p>
        </w:tc>
      </w:tr>
      <w:tr>
        <w:tc>
          <w:tcPr/>
          <w:p>
            <w:pPr>
              <w:pStyle w:val="Compact"/>
              <w:jc w:val="left"/>
            </w:pPr>
            <w:r>
              <w:t xml:space="preserve">RQ1: Governance indices modulation of NPL ratios (2009–2024)</w:t>
            </w:r>
          </w:p>
        </w:tc>
        <w:tc>
          <w:tcPr/>
          <w:p>
            <w:pPr>
              <w:pStyle w:val="Compact"/>
              <w:jc w:val="left"/>
            </w:pPr>
            <m:oMath>
              <m:r>
                <m:t>β</m:t>
              </m:r>
            </m:oMath>
            <w:r>
              <w:t xml:space="preserve"> </w:t>
            </w:r>
            <w:r>
              <w:t xml:space="preserve">= -0.28 (Disclosure Index, p &lt; .01);</w:t>
            </w:r>
            <w:r>
              <w:t xml:space="preserve"> </w:t>
            </w:r>
            <m:oMath>
              <m:r>
                <m:t>β</m:t>
              </m:r>
            </m:oMath>
            <w:r>
              <w:t xml:space="preserve"> </w:t>
            </w:r>
            <w:r>
              <w:t xml:space="preserve">= -0.35 (Practice Index, p &lt; .001);</w:t>
            </w:r>
            <w:r>
              <w:t xml:space="preserve"> </w:t>
            </w:r>
            <m:oMath>
              <m:r>
                <m:t>β</m:t>
              </m:r>
            </m:oMath>
            <w:r>
              <w:t xml:space="preserve"> </w:t>
            </w:r>
            <w:r>
              <w:t xml:space="preserve">= -0.22 (Compliance Index, p &lt; .05), controlling for macroeconomic factors</w:t>
            </w:r>
          </w:p>
        </w:tc>
        <w:tc>
          <w:tcPr/>
          <w:p>
            <w:pPr>
              <w:pStyle w:val="Compact"/>
              <w:jc w:val="left"/>
            </w:pPr>
            <w:r>
              <w:t xml:space="preserve">"Fragmented practices exacerbate credit risks amid economic volatility"</w:t>
            </w:r>
          </w:p>
        </w:tc>
        <w:tc>
          <w:tcPr/>
          <w:p>
            <w:pPr>
              <w:pStyle w:val="Compact"/>
              <w:jc w:val="left"/>
            </w:pPr>
            <w:r>
              <w:t xml:space="preserve">Governance indices attenuate NPL ratios through enhanced operational and compliance mechanisms, with practice effects most pronounced in volatile contexts</w:t>
            </w:r>
          </w:p>
        </w:tc>
      </w:tr>
      <w:tr>
        <w:tc>
          <w:tcPr/>
          <w:p>
            <w:pPr>
              <w:pStyle w:val="Compact"/>
              <w:jc w:val="left"/>
            </w:pPr>
            <w:r>
              <w:t xml:space="preserve">RQ2: Audit committee independence mediation via reporting integrity (2024)</w:t>
            </w:r>
          </w:p>
        </w:tc>
        <w:tc>
          <w:tcPr/>
          <w:p>
            <w:pPr>
              <w:pStyle w:val="Compact"/>
              <w:jc w:val="left"/>
            </w:pPr>
            <w:r>
              <w:t xml:space="preserve">Direct effect:</w:t>
            </w:r>
            <w:r>
              <w:t xml:space="preserve"> </w:t>
            </w:r>
            <m:oMath>
              <m:r>
                <m:t>β</m:t>
              </m:r>
            </m:oMath>
            <w:r>
              <w:t xml:space="preserve"> </w:t>
            </w:r>
            <w:r>
              <w:t xml:space="preserve">= -0.40 (p &lt; .01); Indirect mediation:</w:t>
            </w:r>
            <w:r>
              <w:t xml:space="preserve"> </w:t>
            </w:r>
            <m:oMath>
              <m:r>
                <m:t>β</m:t>
              </m:r>
            </m:oMath>
            <w:r>
              <w:t xml:space="preserve"> </w:t>
            </w:r>
            <w:r>
              <w:t xml:space="preserve">= -0.18 (bootstrapped CI [-0.25, -0.11]), partial mediation confirmed</w:t>
            </w:r>
          </w:p>
        </w:tc>
        <w:tc>
          <w:tcPr/>
          <w:p>
            <w:pPr>
              <w:pStyle w:val="Compact"/>
              <w:jc w:val="left"/>
            </w:pPr>
            <w:r>
              <w:t xml:space="preserve">"Insider perceptions reveal persistent shareholder influences undermining audit autonomy"</w:t>
            </w:r>
          </w:p>
        </w:tc>
        <w:tc>
          <w:tcPr/>
          <w:p>
            <w:pPr>
              <w:pStyle w:val="Compact"/>
              <w:jc w:val="left"/>
            </w:pPr>
            <w:r>
              <w:t xml:space="preserve">Audit independence curtails NPLs by bolstering reporting integrity, though mediated effects are tempered by institutional capture</w:t>
            </w:r>
          </w:p>
        </w:tc>
      </w:tr>
      <w:tr>
        <w:tc>
          <w:tcPr/>
          <w:p>
            <w:pPr>
              <w:pStyle w:val="Compact"/>
              <w:jc w:val="left"/>
            </w:pPr>
            <w:r>
              <w:t xml:space="preserve">RQ3: Pre/post-reform disclosure shifts (2009–2014 vs. 2016–2024)</w:t>
            </w:r>
          </w:p>
        </w:tc>
        <w:tc>
          <w:tcPr/>
          <w:p>
            <w:pPr>
              <w:pStyle w:val="Compact"/>
              <w:jc w:val="left"/>
            </w:pPr>
            <w:r>
              <w:t xml:space="preserve">Pre-reform:</w:t>
            </w:r>
            <w:r>
              <w:t xml:space="preserve"> </w:t>
            </w:r>
            <m:oMath>
              <m:r>
                <m:t>β</m:t>
              </m:r>
            </m:oMath>
            <w:r>
              <w:t xml:space="preserve"> </w:t>
            </w:r>
            <w:r>
              <w:t xml:space="preserve">= -0.08 (p &gt; .10, insignificant); Post-reform:</w:t>
            </w:r>
            <w:r>
              <w:t xml:space="preserve"> </w:t>
            </w:r>
            <m:oMath>
              <m:r>
                <m:t>β</m:t>
              </m:r>
            </m:oMath>
            <w:r>
              <w:t xml:space="preserve"> </w:t>
            </w:r>
            <w:r>
              <w:t xml:space="preserve">= -0.32 (p &lt; .01, significant negative), DiD estimate:</w:t>
            </w:r>
            <w:r>
              <w:t xml:space="preserve"> </w:t>
            </w:r>
            <m:oMath>
              <m:r>
                <m:t>Δ</m:t>
              </m:r>
              <m:r>
                <m:t>β</m:t>
              </m:r>
            </m:oMath>
            <w:r>
              <w:t xml:space="preserve"> </w:t>
            </w:r>
            <w:r>
              <w:t xml:space="preserve">= -0.24 (p &lt; .05)</w:t>
            </w:r>
          </w:p>
        </w:tc>
        <w:tc>
          <w:tcPr/>
          <w:p>
            <w:pPr>
              <w:pStyle w:val="Compact"/>
              <w:jc w:val="left"/>
            </w:pPr>
            <w:r>
              <w:t xml:space="preserve">"CBN mandates like tenure limits activate credible disclosures post-2016"</w:t>
            </w:r>
          </w:p>
        </w:tc>
        <w:tc>
          <w:tcPr/>
          <w:p>
            <w:pPr>
              <w:pStyle w:val="Compact"/>
              <w:jc w:val="left"/>
            </w:pPr>
            <w:r>
              <w:t xml:space="preserve">Reform interventions transform disclosure from inert to efficacious in reducing NPLs, attributable to institutional enhancements</w:t>
            </w:r>
          </w:p>
        </w:tc>
      </w:tr>
      <w:tr>
        <w:tc>
          <w:tcPr/>
          <w:p>
            <w:pPr>
              <w:pStyle w:val="Compact"/>
              <w:jc w:val="left"/>
            </w:pPr>
            <w:r>
              <w:t xml:space="preserve">RQ4: Regulatory clarity improvements and NPL declines (2020–2025)</w:t>
            </w:r>
          </w:p>
        </w:tc>
        <w:tc>
          <w:tcPr/>
          <w:p>
            <w:pPr>
              <w:pStyle w:val="Compact"/>
              <w:jc w:val="left"/>
            </w:pPr>
            <m:oMath>
              <m:r>
                <m:t>β</m:t>
              </m:r>
            </m:oMath>
            <w:r>
              <w:t xml:space="preserve"> </w:t>
            </w:r>
            <w:r>
              <w:t xml:space="preserve">= -0.20 (p &lt; .05), controlling for devaluation and inflation shocks</w:t>
            </w:r>
          </w:p>
        </w:tc>
        <w:tc>
          <w:tcPr/>
          <w:p>
            <w:pPr>
              <w:pStyle w:val="Compact"/>
              <w:jc w:val="left"/>
            </w:pPr>
            <w:r>
              <w:t xml:space="preserve">"Harmonization between CBN and SEC resolves enforcement loopholes, fostering compliance"</w:t>
            </w:r>
          </w:p>
        </w:tc>
        <w:tc>
          <w:tcPr/>
          <w:p>
            <w:pPr>
              <w:pStyle w:val="Compact"/>
              <w:jc w:val="left"/>
            </w:pPr>
            <w:r>
              <w:t xml:space="preserve">Perceived clarity drives NPL reductions, with harmonization mitigating shock-induced risks through unified regulatory frameworks</w:t>
            </w:r>
          </w:p>
        </w:tc>
      </w:tr>
    </w:tbl>
    <w:bookmarkEnd w:id="61"/>
    <w:bookmarkEnd w:id="62"/>
    <w:bookmarkStart w:id="63" w:name="structural-equation-modeling-sem"/>
    <w:p>
      <w:pPr>
        <w:pStyle w:val="Heading2"/>
      </w:pPr>
      <w:r>
        <w:t xml:space="preserve">Structural Equation Modeling (SEM)</w:t>
      </w:r>
    </w:p>
    <w:p>
      <w:pPr>
        <w:pStyle w:val="FirstParagraph"/>
      </w:pPr>
      <w:r>
        <w:t xml:space="preserve">SEM in Python statsmodels models latent constructs (disclosure, practice, compliance). CFA estimates loadings (e.g., Disclosure 0.65–0.85); path analysis (e.g., Disclosure</w:t>
      </w:r>
      <w:r>
        <w:t xml:space="preserve"> </w:t>
      </w:r>
      <m:oMath>
        <m:r>
          <m:t>β</m:t>
        </m:r>
      </m:oMath>
      <w:r>
        <w:t xml:space="preserve">=-0.45, p&lt;0.01; RMSEA=0.062) provides causal insights for OB1–OB4 (Kline, 2015). See Appendix C for code and outputs.</w:t>
      </w:r>
    </w:p>
    <w:bookmarkEnd w:id="63"/>
    <w:bookmarkEnd w:id="64"/>
    <w:bookmarkStart w:id="78" w:name="validity-reliability-and-reproducibility"/>
    <w:p>
      <w:pPr>
        <w:pStyle w:val="Heading1"/>
      </w:pPr>
      <w:r>
        <w:t xml:space="preserve">Validity, Reliability, and Reproducibility</w:t>
      </w:r>
    </w:p>
    <w:p>
      <w:pPr>
        <w:pStyle w:val="FirstParagraph"/>
      </w:pPr>
      <w:r>
        <w:t xml:space="preserve">The research prioritizes validity, reliability, and reproducibility to produce credible, robust, and verifiable results, navigating complexities in Nigeria’s deposit money banking sector like opaque reporting, inconsistent enforcement, and past failures that create uncertainties (Olojede et al., 2020; Abdulmalik &amp; Ahmad, 2020). The convergent parallel mixed-methods approach integrates quantitative data (234 valid questionnaire responses, 58.5% rate) with qualitative insights (10 interviews, 50% rate).</w:t>
      </w:r>
    </w:p>
    <w:p>
      <w:pPr>
        <w:pStyle w:val="BodyText"/>
      </w:pPr>
      <w:r>
        <w:t xml:space="preserve">Validity assesses strands for trustworthiness and affirmation of results. Reliability focuses on consistency and stability. Reproducibility provides transparent details for replication. Approaches adapt to Nigeria-specific hurdles like fragmented regulations (CAMA 2020, NCCG 2018) and volatile conditions influencing NPL ratios, ensuring precise representations of governance indices, disclosure, practice, compliance, audit independence, and regulatory clarity for targeted reforms and financial stability (Adegboye, 2020; OECD, 2023; BCBS, 2010).</w:t>
      </w:r>
    </w:p>
    <w:bookmarkStart w:id="68" w:name="quantitative-validity"/>
    <w:p>
      <w:pPr>
        <w:pStyle w:val="Heading2"/>
      </w:pPr>
      <w:r>
        <w:t xml:space="preserve">Quantitative Validity</w:t>
      </w:r>
    </w:p>
    <w:p>
      <w:pPr>
        <w:pStyle w:val="FirstParagraph"/>
      </w:pPr>
      <w:r>
        <w:t xml:space="preserve">Quantitative validity confirms that questionnaire measurements and inferences authentically capture constructs and relationships in a setting prone to data inconsistencies. Evaluation aligns with financial governance theories like agency (Jensen &amp; Meckling, 1976), emphasizing oversight mechanisms.</w:t>
      </w:r>
    </w:p>
    <w:bookmarkStart w:id="65" w:name="construct-validity"/>
    <w:p>
      <w:pPr>
        <w:pStyle w:val="Heading3"/>
      </w:pPr>
      <w:r>
        <w:t xml:space="preserve">Construct Validity</w:t>
      </w:r>
    </w:p>
    <w:p>
      <w:pPr>
        <w:pStyle w:val="FirstParagraph"/>
      </w:pPr>
      <w:r>
        <w:t xml:space="preserve">Construct validity aligns questionnaire items with theoretical and empirical foundations for effective operationalization of governance indices. Items draw from: Disclosure (CGDI) on transparency (Osemeke &amp; Adegbite, 2016); Practice (OPEFF) on oversight (Ogbechie, 2016); Compliance (COMID) on adherence (Abdulmalik &amp; Ahmad, 2020); Audit Independence on autonomy (Adegbite, 2014); Regulatory Clarity on consistency (Abdulmalik &amp; Ahmad, 2020).</w:t>
      </w:r>
      <w:r>
        <w:t xml:space="preserve"> </w:t>
      </w:r>
      <w:r>
        <w:t xml:space="preserve">7-point Likert scales use attuned phrasing to avoid ambiguity, with reverse-scored items detecting response patterns. SPSS v28 EFA (KMO 0.85 &gt;0.80; Bartlett’s p&lt;0.001) extracts six factors (disclosure, practice, compliance, audit independence, regulatory clarity) accounting for 72% variance, loadings &gt;0.60 (e.g., 0.72–0.88 for disclosure). Convergent validity: AVE &gt;0.50; discriminant: square root AVE &gt; correlations (Fornell-Larcker). This affirms fidelity in Nigeria, where perceptual data reflects experiences like audit independence linking to NPL mitigation (Bryman, 2016; Hair et al., 2019).</w:t>
      </w:r>
    </w:p>
    <w:bookmarkEnd w:id="65"/>
    <w:bookmarkStart w:id="66" w:name="internal-validity"/>
    <w:p>
      <w:pPr>
        <w:pStyle w:val="Heading3"/>
      </w:pPr>
      <w:r>
        <w:t xml:space="preserve">Internal Validity</w:t>
      </w:r>
    </w:p>
    <w:p>
      <w:pPr>
        <w:pStyle w:val="FirstParagraph"/>
      </w:pPr>
      <w:r>
        <w:t xml:space="preserve">Internal validity isolates causal relationships by eliminating alternatives in a setting vulnerable to manipulation and economic pressures. Perceptions of governance indices are cross-verified with reliable secondary datasets (CBN bulletins, NDIC reports, bank statements) for 2009–2024 NPL trends and metrics (e.g., perceptual reductions validated by post-2019 declines).</w:t>
      </w:r>
    </w:p>
    <w:p>
      <w:pPr>
        <w:pStyle w:val="BodyText"/>
      </w:pPr>
      <w:r>
        <w:t xml:space="preserve">Multiple regressions incorporate controls (logged bank size, GDP growth, inflation) to account for confounders (Natufe &amp; Evbayiro-Osagie, 2023), attributing negative betas (e.g., disclosure to NPLs) to governance amid shocks like 2016 oil crash. Bootstrapping (1,000 iterations) generates bias-corrected intervals for robustness against non-normality (Efron &amp; Tibshirani, 1993). Diagnostics: VIF &lt;5 (multicollinearity), Durbin-Watson  2 (autocorrelation). This enables causal inference while addressing endogeneity via fixed-effects modeling for unobserved traits like practice indices curbing NPL spikes (Wooldridge, 2016).</w:t>
      </w:r>
    </w:p>
    <w:bookmarkEnd w:id="66"/>
    <w:bookmarkStart w:id="67" w:name="external-validity"/>
    <w:p>
      <w:pPr>
        <w:pStyle w:val="Heading3"/>
      </w:pPr>
      <w:r>
        <w:t xml:space="preserve">External Validity</w:t>
      </w:r>
    </w:p>
    <w:p>
      <w:pPr>
        <w:pStyle w:val="FirstParagraph"/>
      </w:pPr>
      <w:r>
        <w:t xml:space="preserve">External validity facilitates extension beyond the study through sampling and framework design, acknowledging limitations. Purposive stratified sample of 234 respondents from Nigeria DMBs (CBN 2024 registry) balances roles (35% risk managers, 40% mid-level, 25% executives; mean experience 11.8 years, SD=6.2) and scales (small 20%, medium 35%, large 45%), mirroring post-2004 consolidation (Kafidipe, 2021). This enhances applicability to similar DMBs with regulatory multiplicity and disclosure deficits in sub-Saharan Africa, where Basel III adoption varies (Aguilera &amp; Ruiz Castillo, 2024). Likert granularity captures patterns for broader contexts. Geographic focus on Abuja is mitigated by national NPL data (CBN), preserving ecological validity. This surpasses convenience sampling for ecological relevance in governance-deficient markets (Yin, 2018).</w:t>
      </w:r>
    </w:p>
    <w:bookmarkEnd w:id="67"/>
    <w:bookmarkEnd w:id="68"/>
    <w:bookmarkStart w:id="69" w:name="quantitative-reliability"/>
    <w:p>
      <w:pPr>
        <w:pStyle w:val="Heading2"/>
      </w:pPr>
      <w:r>
        <w:t xml:space="preserve">Quantitative Reliability</w:t>
      </w:r>
    </w:p>
    <w:p>
      <w:pPr>
        <w:pStyle w:val="FirstParagraph"/>
      </w:pPr>
      <w:r>
        <w:t xml:space="preserve">Quantitative reliability confirms consistency and stability across measurements, despite variabilities in interpretations and conditions. Cronbach’s</w:t>
      </w:r>
      <w:r>
        <w:t xml:space="preserve"> </w:t>
      </w:r>
      <m:oMath>
        <m:r>
          <m:t>α</m:t>
        </m:r>
      </m:oMath>
      <w:r>
        <w:t xml:space="preserve"> </w:t>
      </w:r>
      <w:r>
        <w:t xml:space="preserve">is 0.91 overall (&gt;0.70), with subscales 0.82–0.93 for item cohesion (Bryman, 2016). Test-retest on 30 respondents (two-week interval) yields Pearson r=0.89 (p&lt;0.001) for temporal stability.</w:t>
      </w:r>
      <w:r>
        <w:t xml:space="preserve"> </w:t>
      </w:r>
      <w:r>
        <w:t xml:space="preserve">Bootstrapping regressions (1,000 resamples) produce consistent estimates and narrow intervals, resilient to outliers and non-normality in NPL data. Split-half reliability (Spearman-Brown 0.88) compares halves. This surpasses single-metric reliance, accounting for Nigeria’s contextual noise like varying governance familiarity, for dependable quantification of governance-NPL relationships and replicable policy implications (Nunnally &amp; Bernstein, 1994).</w:t>
      </w:r>
    </w:p>
    <w:bookmarkEnd w:id="69"/>
    <w:bookmarkStart w:id="73" w:name="qualitative-validity"/>
    <w:p>
      <w:pPr>
        <w:pStyle w:val="Heading2"/>
      </w:pPr>
      <w:r>
        <w:t xml:space="preserve">Qualitative Validity</w:t>
      </w:r>
    </w:p>
    <w:p>
      <w:pPr>
        <w:pStyle w:val="FirstParagraph"/>
      </w:pPr>
      <w:r>
        <w:t xml:space="preserve">Qualitative validity emphasizes interpretive accuracy and contextual richness to counter subjective narratives on governance challenges.</w:t>
      </w:r>
    </w:p>
    <w:bookmarkStart w:id="70" w:name="credibility"/>
    <w:p>
      <w:pPr>
        <w:pStyle w:val="Heading3"/>
      </w:pPr>
      <w:r>
        <w:t xml:space="preserve">Credibility</w:t>
      </w:r>
    </w:p>
    <w:p>
      <w:pPr>
        <w:pStyle w:val="FirstParagraph"/>
      </w:pPr>
      <w:r>
        <w:t xml:space="preserve">Credibility builds confidence in faithful representation through member checking (summaries/thems shared with 8 interviewees for refinements, e.g., enforcement gaps on CBN Guidelines 2023). Peer debriefing (two academics scrutinize NVivo-coded data, confirming theme saturation). Prolonged engagement (follow-up clarifications, average two per interview) and thick quotations (e.g., "Overlapping codes create loopholes" – Executive 7) provide evidential support. This aligns with Braun and Clarke (2006), surpassing superficial checks for dialogic validation in a sector wary of candid discourse (Lincoln &amp; Guba, 1985).</w:t>
      </w:r>
    </w:p>
    <w:bookmarkEnd w:id="70"/>
    <w:bookmarkStart w:id="71" w:name="transferability"/>
    <w:p>
      <w:pPr>
        <w:pStyle w:val="Heading3"/>
      </w:pPr>
      <w:r>
        <w:t xml:space="preserve">Transferability</w:t>
      </w:r>
    </w:p>
    <w:p>
      <w:pPr>
        <w:pStyle w:val="FirstParagraph"/>
      </w:pPr>
      <w:r>
        <w:t xml:space="preserve">Transferability promotes relevance through in-depth portrayals. Descriptions of milestones (2009 Oceanic crisis, fraud concealment) and dynamics (regulatory tensions in CAMA 2020/NCCG 2018, post-recession NPL volatility) draw from Elias (2024) and Abdulmalik &amp; Ahmad (2020). Narratives include cases like unqualified management exacerbating 2017 defaults, understating regulatory clarity-NPL interplay. Appendix F matrix outlines parallels (e.g., South African banks, Aguilera &amp; Ruiz Castillo, 2024) for judgments, avoiding overgeneralization. This empowers adaptation in governance-deficient markets (Merriam &amp; Tisdell, 2015).</w:t>
      </w:r>
    </w:p>
    <w:bookmarkEnd w:id="71"/>
    <w:bookmarkStart w:id="72" w:name="dependability"/>
    <w:p>
      <w:pPr>
        <w:pStyle w:val="Heading3"/>
      </w:pPr>
      <w:r>
        <w:t xml:space="preserve">Dependability</w:t>
      </w:r>
    </w:p>
    <w:p>
      <w:pPr>
        <w:pStyle w:val="FirstParagraph"/>
      </w:pPr>
      <w:r>
        <w:t xml:space="preserve">Dependability ensures auditable processes through documentation and reflexivity. NVivo audit trail details steps; reflexivity journal documents preconceptions (e.g., Nigerian banking background bracketing assumptions). Midpoint reviews confirm Braun and Clarke (2006) adherence. This incorporates reflexive accountability for stable interpretations amid Nigeria’s regulatory shifts (Nowell et al., 2017).</w:t>
      </w:r>
    </w:p>
    <w:bookmarkEnd w:id="72"/>
    <w:bookmarkEnd w:id="73"/>
    <w:bookmarkStart w:id="74" w:name="qualitative-reliability"/>
    <w:p>
      <w:pPr>
        <w:pStyle w:val="Heading2"/>
      </w:pPr>
      <w:r>
        <w:t xml:space="preserve">Qualitative Reliability</w:t>
      </w:r>
    </w:p>
    <w:p>
      <w:pPr>
        <w:pStyle w:val="FirstParagraph"/>
      </w:pPr>
      <w:r>
        <w:t xml:space="preserve">Qualitative reliability demonstrates consistency via inter-rater agreement. A second coder analyzes 30% transcripts (3 interviews) using NVivo codebook; Cohen’s Kappa=0.85 (&gt;0.80, excellent); percentage agreement 92%. Discrepancies (e.g., political interference emphases) are resolved through discussions and revisions. This prefers objectivity over solo coding, ensuring reproducible themes like fraud concealment (O’Connor &amp; Joffe, 2020).</w:t>
      </w:r>
    </w:p>
    <w:bookmarkEnd w:id="74"/>
    <w:bookmarkStart w:id="75" w:name="instrument-reliability-pilot-testing"/>
    <w:p>
      <w:pPr>
        <w:pStyle w:val="Heading2"/>
      </w:pPr>
      <w:r>
        <w:t xml:space="preserve">Instrument Reliability Pilot Testing</w:t>
      </w:r>
    </w:p>
    <w:p>
      <w:pPr>
        <w:pStyle w:val="FirstParagraph"/>
      </w:pPr>
      <w:r>
        <w:t xml:space="preserve">Instrument reliability is evaluated through pilot testing of the questionnaire and interview guide for consistent data capture and precision. Pilot with 15 questionnaires ( 6.5% main sample, diverse preliminary group) yields Cronbach’s</w:t>
      </w:r>
      <w:r>
        <w:t xml:space="preserve"> </w:t>
      </w:r>
      <m:oMath>
        <m:r>
          <m:t>α</m:t>
        </m:r>
      </m:oMath>
      <w:r>
        <w:t xml:space="preserve">=0.85 overall (subscales 0.82-0.88) (Bryman, 2016). Feedback prompts clarifications (e.g., regulatory clarity cultural rephrasing) and reverse-scored questions for bias. Test-retest (r=0.86, p&lt;0.001). Interviews pilot with 5 executives refines probes for temporal stability. This tailors to Nigeria, supporting dependable data for corporate governance indices-NPL analysis (Efron &amp; Tibshirani, 1993; Olojede et al., 2020).</w:t>
      </w:r>
    </w:p>
    <w:bookmarkEnd w:id="75"/>
    <w:bookmarkStart w:id="76" w:name="Xa353844d77b7c55e9ec15c45d8119b60895e6c7"/>
    <w:p>
      <w:pPr>
        <w:pStyle w:val="Heading2"/>
      </w:pPr>
      <w:r>
        <w:t xml:space="preserve">Integration Methods Enhanced Trustworthiness</w:t>
      </w:r>
    </w:p>
    <w:p>
      <w:pPr>
        <w:pStyle w:val="FirstParagraph"/>
      </w:pPr>
      <w:r>
        <w:t xml:space="preserve">Integration elevates trustworthiness by cross-referencing sources to substantiate findings and address inconsistencies. Regression betas (e.g., audit independence reducing NPLs) link to interview themes (committee capture), with joint displays merging evidence. Secondary data (CBN/NDIC) validates patterns; meta-inferences explain divergences (e.g., non-significant regulatory clarity by enforcement gaps). This provides a holistic view of governance deficiencies, surpassing single-method limitations amid data opacity (Creswell &amp; Plano Clark, 2018).</w:t>
      </w:r>
    </w:p>
    <w:bookmarkEnd w:id="76"/>
    <w:bookmarkStart w:id="77" w:name="reproducibility"/>
    <w:p>
      <w:pPr>
        <w:pStyle w:val="Heading2"/>
      </w:pPr>
      <w:r>
        <w:t xml:space="preserve">Reproducibility</w:t>
      </w:r>
    </w:p>
    <w:p>
      <w:pPr>
        <w:pStyle w:val="FirstParagraph"/>
      </w:pPr>
      <w:r>
        <w:t xml:space="preserve">Reproducibility is embedded through documentation for exact replication, fostering transparency. Protocols detail SPSS syntax (e.g., EFA: FACTOR /VARIABLES qu1-qu20 /EXTRACTION PC /ROTATION VARIMAX) and NVivo hierarchies. Full instruments in appendices: questionnaire (E.1), interview guide (E.2). Anonymized datasets available on ethical request from institutional repositories, adhering to open science (Wilkinson et al., 2016). Python/SPSS snippets facilitate recreation for independent verification in similar contexts.</w:t>
      </w:r>
    </w:p>
    <w:bookmarkEnd w:id="77"/>
    <w:bookmarkEnd w:id="78"/>
    <w:bookmarkStart w:id="86" w:name="ethical-considerations"/>
    <w:p>
      <w:pPr>
        <w:pStyle w:val="Heading1"/>
      </w:pPr>
      <w:r>
        <w:t xml:space="preserve">Ethical Considerations</w:t>
      </w:r>
    </w:p>
    <w:p>
      <w:pPr>
        <w:pStyle w:val="FirstParagraph"/>
      </w:pPr>
      <w:r>
        <w:t xml:space="preserve">Ethical considerations are integral to the research, safeguarding participants’ rights, dignity, and well-being while preserving integrity and societal value. Exploring corporate governance deficiencies in Nigerian DMBs involves sensitivities like fraud concealment, regulatory conflicts, and insider lending linked to NPLs, requiring harm avoidance and trust protection in a fragile sector (Sanusi, 2009; Olojede et al., 2020).</w:t>
      </w:r>
      <w:r>
        <w:t xml:space="preserve"> </w:t>
      </w:r>
      <w:r>
        <w:t xml:space="preserve">Compliance with legal mandates and proactive measures foster disclosure, practice, and compliance accountability throughout the lifecycle. Written informed consent is obtained from every participant; blank forms in Appendix D (illustrative references verifiable). Safeguards align with 2009 crisis interventions, Declaration of Helsinki (World Medical Association, 2013), and local guidelines (CIBN, 2023) for knowledge generation without harm, promoting financial stability.</w:t>
      </w:r>
    </w:p>
    <w:bookmarkStart w:id="79" w:name="informed-consent"/>
    <w:p>
      <w:pPr>
        <w:pStyle w:val="Heading2"/>
      </w:pPr>
      <w:r>
        <w:t xml:space="preserve">Informed Consent</w:t>
      </w:r>
    </w:p>
    <w:p>
      <w:pPr>
        <w:pStyle w:val="FirstParagraph"/>
      </w:pPr>
      <w:r>
        <w:t xml:space="preserve">Informed consent empowers autonomous decisions with comprehensive information on implications, respecting self-determination. Forms detail objectives (e.g., evaluating governance indices and NPL ratios), procedures (35-45 min interview, 15-20 min questionnaire), risks (e.g., discomfort discussing issues), benefits (sector reforms), voluntariness, withdrawal rights, and no incentives to prevent coercion.</w:t>
      </w:r>
      <w:r>
        <w:t xml:space="preserve"> </w:t>
      </w:r>
      <w:r>
        <w:t xml:space="preserve">English is used as the primary language, with simple explanations and verbal translations for diversity. In-person Abuja engagements include oral overviews, real-time queries, and reflection time before signing for comprehension across groups (junior cashiers to executives). This mitigates power imbalances for honest insights on audit capture (Abdulmalik &amp; Ahmad, 2020). Appendix D: blank form (Figure D.1), redacted sample (Figure D.2, signatures blurred for privacy). This continuous process aligns with Belmont Report (National Commission, 1979).</w:t>
      </w:r>
    </w:p>
    <w:bookmarkEnd w:id="79"/>
    <w:bookmarkStart w:id="80" w:name="confidentiality-anonymization"/>
    <w:p>
      <w:pPr>
        <w:pStyle w:val="Heading2"/>
      </w:pPr>
      <w:r>
        <w:t xml:space="preserve">Confidentiality Anonymization</w:t>
      </w:r>
    </w:p>
    <w:p>
      <w:pPr>
        <w:pStyle w:val="FirstParagraph"/>
      </w:pPr>
      <w:r>
        <w:t xml:space="preserve">Confidentiality and anonymization shield participants from repercussions, encouraging forthright disclosures on CG issues like political interference. Identifiable information is stripped at collection; questionnaires/recordings assigned codes (Q001, I001); transcripts pseudonymized (e.g., "CEO Bank X" to "Senior Executive 1").</w:t>
      </w:r>
      <w:r>
        <w:t xml:space="preserve"> </w:t>
      </w:r>
      <w:r>
        <w:t xml:space="preserve">Data aggregation reports sectoral trends to prevent deductive disclosure in a close-knit industry. This extends to secondary data, avoiding links. Measures exceed compliance to enhance validity, allowing unfiltered views on regulatory multiplicity (CAMA 2020/NCCG 2018) for unbiased reform recommendations.</w:t>
      </w:r>
    </w:p>
    <w:bookmarkEnd w:id="80"/>
    <w:bookmarkStart w:id="81" w:name="data-protection-storage"/>
    <w:p>
      <w:pPr>
        <w:pStyle w:val="Heading2"/>
      </w:pPr>
      <w:r>
        <w:t xml:space="preserve">Data Protection Storage</w:t>
      </w:r>
    </w:p>
    <w:p>
      <w:pPr>
        <w:pStyle w:val="FirstParagraph"/>
      </w:pPr>
      <w:r>
        <w:t xml:space="preserve">Data protection protocols safeguard sensitive information, complying with cyber threats and legal frameworks. Nigeria Data Protection Act (NDPA 2023) adherence includes data minimization (essentials only) and purpose limitation (research objectives). Storage uses AES-256 encrypted devices with multi-factor authentication on secure local servers, avoiding cross-border transfers per GAID 2024 (NDPC, 2024).</w:t>
      </w:r>
      <w:r>
        <w:t xml:space="preserve"> </w:t>
      </w:r>
      <w:r>
        <w:t xml:space="preserve">Backups are encrypted separately; access logs monitor anomalies. Audio recordings are temporarily retained for transcription, then deleted with overwrite software. Physical security includes locked facilities and breach response plans notifying participants and NDPC. Measures exceed basics with GDPR-inspired practices like pseudonymization and encryption, amplifying trust and credibility in deposit money banking research where leaks could cause instability (European Union, 2016; NDPC, 2024).</w:t>
      </w:r>
    </w:p>
    <w:bookmarkEnd w:id="81"/>
    <w:bookmarkStart w:id="82" w:name="ethical-approval-oversight"/>
    <w:p>
      <w:pPr>
        <w:pStyle w:val="Heading2"/>
      </w:pPr>
      <w:r>
        <w:t xml:space="preserve">Ethical Approval Oversight</w:t>
      </w:r>
    </w:p>
    <w:p>
      <w:pPr>
        <w:pStyle w:val="FirstParagraph"/>
      </w:pPr>
      <w:r>
        <w:t xml:space="preserve">Ethical approval validates design alignment with institutional and international standards. Approval from University of Buckingham Research Ethics Committee (Reference UB-REC-2024-012) followed detailed submission on risk-benefit, consent, and data management. Scrutiny addressed vulnerabilities like emotional distress from 2009 recall, with mitigants like optional debriefs.</w:t>
      </w:r>
      <w:r>
        <w:t xml:space="preserve"> </w:t>
      </w:r>
      <w:r>
        <w:t xml:space="preserve">Oversight includes interim reviews and amendments for new risks (post-GAID changes). It integrates UKRI/ESRC frameworks for societal impact in emerging markets (UK Research and Innovation, 2021; Economic and Social Research Council, 2021), complemented by Nigeria’s NHREC for financial parallels. This embeds ethics, legitimizing governance models for DMB disclosure.</w:t>
      </w:r>
    </w:p>
    <w:bookmarkEnd w:id="82"/>
    <w:bookmarkStart w:id="83" w:name="participant-selection-fairness"/>
    <w:p>
      <w:pPr>
        <w:pStyle w:val="Heading2"/>
      </w:pPr>
      <w:r>
        <w:t xml:space="preserve">Participant Selection Fairness</w:t>
      </w:r>
    </w:p>
    <w:p>
      <w:pPr>
        <w:pStyle w:val="FirstParagraph"/>
      </w:pPr>
      <w:r>
        <w:t xml:space="preserve">Participant selection emphasizes fairness and inclusivity for representative voices, mitigating biases that perpetuate inequities in banking discourse. Purposive stratified sampling by role (35% risk managers, 40% mid-level, 25% executives) and bank size (CBN classifications) ensures diverse insights on CG hierarchies. Recruitment via neutral channels (professional associations, CIBN) avoids favoritism, with explicit criteria for transparency.</w:t>
      </w:r>
      <w:r>
        <w:t xml:space="preserve"> </w:t>
      </w:r>
      <w:r>
        <w:t xml:space="preserve">Underrepresented groups like women in senior roles are included, aligning with gender equity and flexible scheduling. This counters elite capture, incorporating ground-level perspectives on unqualified management (Kafidipe, 2021; Adegbite, 2014). Belmont Report justice principles enhance ethical and scientific value, enriching inclusive reforms.</w:t>
      </w:r>
    </w:p>
    <w:bookmarkEnd w:id="83"/>
    <w:bookmarkStart w:id="84" w:name="Xf4bbf044f5a4097b49726130338afc497beb359"/>
    <w:p>
      <w:pPr>
        <w:pStyle w:val="Heading2"/>
      </w:pPr>
      <w:r>
        <w:t xml:space="preserve">Minimizing Potential Harms Managing Risks</w:t>
      </w:r>
    </w:p>
    <w:p>
      <w:pPr>
        <w:pStyle w:val="FirstParagraph"/>
      </w:pPr>
      <w:r>
        <w:t xml:space="preserve">Risk management proactively minimizes harms, prioritizing non-maleficence by identifying threats to professional, emotional, and reputational well-being. Career risks from governance critique are mitigated by stringent anonymization and voluntariness reaffirmations. Interviews in private offices or remote options reduce perceived pressure. Emotional harms from recalling 2017 NPL spikes are addressed with post-interview debriefs and CIBN counseling referrals, monitoring discomfort.</w:t>
      </w:r>
    </w:p>
    <w:p>
      <w:pPr>
        <w:pStyle w:val="BodyText"/>
      </w:pPr>
      <w:r>
        <w:t xml:space="preserve">Broader risks like media sensationalism are countered by balanced reporting and pre-publication reviews. Beneficence through policy recommendations (harmonized regulations) outweighs risks. Risk assessment matrices inform management, fostering an ethical environment respecting Nigeria’s nuances (CIBN, 2023; Nwosu, 2020).</w:t>
      </w:r>
    </w:p>
    <w:bookmarkEnd w:id="84"/>
    <w:bookmarkStart w:id="85" w:name="Xb98916a3a1e0732a1fce0893bf46b98079e796e"/>
    <w:p>
      <w:pPr>
        <w:pStyle w:val="Heading2"/>
      </w:pPr>
      <w:r>
        <w:t xml:space="preserve">Addressing Researcher Bias Conflicts Interest</w:t>
      </w:r>
    </w:p>
    <w:p>
      <w:pPr>
        <w:pStyle w:val="FirstParagraph"/>
      </w:pPr>
      <w:r>
        <w:t xml:space="preserve">Researcher bias is acknowledged and mitigated for objective inquiry, as personal experiences may influence CG data. Reflexivity journals document preconceptions (e.g., Nigerian finance background inclining to regulatory critiques), bracketing assumptions. Safeguards include mixed-methods triangulation, blind qualitative coding to neutralize subjectivity, and quantitative cross-checks with benchmarks.</w:t>
      </w:r>
      <w:r>
        <w:t xml:space="preserve"> </w:t>
      </w:r>
      <w:r>
        <w:t xml:space="preserve">Peer debriefing by unaffiliated academics validates themes, avoiding overemphasis on regulatory multiplicity. No conflicts of interest exist (no ties to DMBs/regulators); declarations in ethics submissions with annual updates. COPE guidelines ensure credibility, contributing impartial discourse on NPL drivers (Committee on Publication Ethics, 2021).</w:t>
      </w:r>
    </w:p>
    <w:bookmarkEnd w:id="85"/>
    <w:bookmarkEnd w:id="86"/>
    <w:bookmarkStart w:id="97" w:name="limitations"/>
    <w:p>
      <w:pPr>
        <w:pStyle w:val="Heading1"/>
      </w:pPr>
      <w:r>
        <w:t xml:space="preserve">Limitations</w:t>
      </w:r>
    </w:p>
    <w:p>
      <w:pPr>
        <w:pStyle w:val="FirstParagraph"/>
      </w:pPr>
      <w:r>
        <w:t xml:space="preserve">The study bases analytical frameworks on verifiable empirical data and validation protocols to avoid unsupported assertions that could narrow conclusions and undermine reliability in corporate governance dynamics of Nigerian Deposit Money Banks (DMBs). Regression analyses assume predictor independence without perfect multicollinearity, substantiated by Variance Inflation Factor (VIF) diagnostics (all VIF &lt;4.5) to avert coefficient inflation. Distributional assumptions of residual normality are checked with Shapiro-Wilk tests (p&gt;0.05) and transformations (logarithmic for skewed NPL variables), using Q-Q plots and histograms for sound inferences (Bryman, 2016; Wooldridge, 2016). The pragmatic paradigm avoids overreaching causal claims, relying on convergent evidence from quantitative regressions and qualitative themes to posit relationships like disclosure, practice, and compliance mitigating default risks. Data-oriented strategies cross-verify NPL figures from CBN bulletins and NDIC reports, with bootstrapping for robustness, prioritizing observable patterns over speculation.</w:t>
      </w:r>
      <w:r>
        <w:t xml:space="preserve"> </w:t>
      </w:r>
      <w:r>
        <w:t xml:space="preserve">Despite safeguards, inherent limitations persist, detailed in subsections on breadth, precision, and extrapolative power. Methodological countermeasures address controls for economic confounders and member checking for qualitative depth, suggesting evolution for future research in Nigeria’s multifaceted ecosystem with regulatory flux, economic instability, and global pressures like Basel III.</w:t>
      </w:r>
    </w:p>
    <w:bookmarkStart w:id="87" w:name="response-bias-questionnaire"/>
    <w:p>
      <w:pPr>
        <w:pStyle w:val="Heading2"/>
      </w:pPr>
      <w:r>
        <w:t xml:space="preserve">Response Bias Questionnaire</w:t>
      </w:r>
    </w:p>
    <w:p>
      <w:pPr>
        <w:pStyle w:val="FirstParagraph"/>
      </w:pPr>
      <w:r>
        <w:t xml:space="preserve">Response bias in the structured questionnaire is a substantial limitation, as participants may align answers with social norms, institutional expectations, or self-preservation, distorting quantitative data from raw governance reflections.</w:t>
      </w:r>
      <w:r>
        <w:t xml:space="preserve"> </w:t>
      </w:r>
      <w:r>
        <w:t xml:space="preserve">In Nigerian deposit money banking, this is acute due to hierarchies, political ties, and career vulnerabilities, leading to overstated practice effectiveness and downplayed disclosure lapses. Likert scores may elevate means (4-5 on 7-point scale) for compliance, attenuating correlations with CG deficiencies and NPLs (Bryman, 2016; Podsakoff et al., 2003; Tourangeau &amp; Yan, 2007). For example, cashiers or mid-level managers may hesitate to criticize board cronyism due to job fears, while executives embellish compliance to protect reputations under CBN scrutiny. This inflates practice efficacy, obscuring fraud concealment and leading to conservative estimates that mislead reform priorities.</w:t>
      </w:r>
      <w:r>
        <w:t xml:space="preserve"> </w:t>
      </w:r>
      <w:r>
        <w:t xml:space="preserve">To temper this, anonymity assurances in consent materials, randomized sequencing disrupt patterns, and reverse-scored items (e.g., "Audit committees often influenced by shareholders") detect inconsistencies with post-hoc checks (Harman’s single-factor &lt;50%). While ingrained cultural norms of deference cannot be fully eliminated, findings depth is constrained, underrepresenting critical flaws; external observational data or behavioral proxies complement objectivity in regulated sectors using self-assessments.</w:t>
      </w:r>
    </w:p>
    <w:bookmarkEnd w:id="87"/>
    <w:bookmarkStart w:id="88" w:name="subjectivity-interviews"/>
    <w:p>
      <w:pPr>
        <w:pStyle w:val="Heading2"/>
      </w:pPr>
      <w:r>
        <w:t xml:space="preserve">Subjectivity Interviews</w:t>
      </w:r>
    </w:p>
    <w:p>
      <w:pPr>
        <w:pStyle w:val="FirstParagraph"/>
      </w:pPr>
      <w:r>
        <w:t xml:space="preserve">Subjectivity in semi-structured interviews is a noteworthy limitation, as the interpretive nature allows personal viewpoints, experiential filters, memory lapses, and strategic framing to sway narratives, selectively highlighting or omitting CG challenges and introducing variability or partiality in themes.</w:t>
      </w:r>
      <w:r>
        <w:t xml:space="preserve"> </w:t>
      </w:r>
      <w:r>
        <w:t xml:space="preserve">In Nigerian deposit money banking, senior executives’ power dynamics, loyalties, and socio-political sensitivities may embellish reform successes (e.g., CBN Guidelines 2023 as transformative) while minimizing enforcement gaps or political interference in appointments, understating regulatory clarity-NPL links (Braun &amp; Clarke, 2006; Silverman, 2021). For example, a CEO may emphasize post-2019 disclosure improvements but gloss audit committee capture by shareholder ties, skewing themes toward optimism and amplifying dominant voices while marginalizing dissent.</w:t>
      </w:r>
    </w:p>
    <w:p>
      <w:pPr>
        <w:pStyle w:val="BodyText"/>
      </w:pPr>
      <w:r>
        <w:t xml:space="preserve">This interpretive layer may overrepresent elite consensus, understating diverse realities. Mitigation includes neutral probing for balanced responses, verbatim transcription for fidelity, member checking with 8 participants for validation (minor refinements), and cultural qualifications. Peer debriefing by external scholars interrogates biases in coding. Reflexivity addresses interviewer-interviewee interplay for rapport and encouragement. While subjectivity tempers generalizability, it enriches interpretive findings; document analysis supplements objective corroboration in pragmatic designs. For RQ4, subjectivity and elite bias—executives embellishing lucidity—are mitigated by triangulating with survey perceptions, balancing roles (mid-level alongside executives), and reflexive notes on framing, ensuring rigor via thick descriptions and saturation by the 8th interview (no new enforcement themes).</w:t>
      </w:r>
    </w:p>
    <w:bookmarkEnd w:id="88"/>
    <w:bookmarkStart w:id="89" w:name="small-sample-size-interviews"/>
    <w:p>
      <w:pPr>
        <w:pStyle w:val="Heading2"/>
      </w:pPr>
      <w:r>
        <w:t xml:space="preserve">Small Sample Size Interviews</w:t>
      </w:r>
    </w:p>
    <w:p>
      <w:pPr>
        <w:pStyle w:val="FirstParagraph"/>
      </w:pPr>
      <w:r>
        <w:t xml:space="preserve">The qualitative sample of 10 interviewees (50% response rate from 20 scheduled) achieves thematic saturation with no novel insights after the 8th session, as per Guest et al. (2006) for 6-12 in focused studies with homogeneous experts, but limits diversity and volume, potentially curtailing fringe viewpoints on CG intricacies (Guest et al., 2006; CBN, 2024).</w:t>
      </w:r>
      <w:r>
        <w:t xml:space="preserve"> </w:t>
      </w:r>
      <w:r>
        <w:t xml:space="preserve">Purposive sampling of high-caliber informants (CEOs/board chairs, executives) provides in-depth authority on management qualifications and audit independence but undervalues lower-tier or regional perspectives on practice indices and localized misalignments in underserved areas (Kafidipe, 2021; Elias, 2024). Power analysis is absent in qualitative paradigms, prioritizing informational density with iterative NVivo coding for theme redundancy. Logistical impediments (in-person with time-constrained leaders, Abuja traffic/security) hinder scaling to 25-35; virtual extensions could facilitate. This constrains representational breadth and generalizability, privileging metropolitan senior narratives; depth-breadth trade-off in resource-bound mixed-methods could be enriched with hybrid sampling.</w:t>
      </w:r>
    </w:p>
    <w:bookmarkEnd w:id="89"/>
    <w:bookmarkStart w:id="90" w:name="cross-sectional-design"/>
    <w:p>
      <w:pPr>
        <w:pStyle w:val="Heading2"/>
      </w:pPr>
      <w:r>
        <w:t xml:space="preserve">Cross-Sectional Design</w:t>
      </w:r>
    </w:p>
    <w:p>
      <w:pPr>
        <w:pStyle w:val="FirstParagraph"/>
      </w:pPr>
      <w:r>
        <w:t xml:space="preserve">The cross-sectional design for RQ2–RQ4 captures 2024 governance perceptions and NPL snapshots, restricting discernment of temporal causality and evolutionary trajectories, such as whether disclosure enhancements precede long-term NPL reductions or correlate with economic recoveries (Natufe &amp; Evbayiro-Osagie, 2023; Baltagi, 2021).</w:t>
      </w:r>
      <w:r>
        <w:t xml:space="preserve"> </w:t>
      </w:r>
      <w:r>
        <w:t xml:space="preserve">Longitudinal designs track variables over years to unpack sequencing, like 2023 reforms catalyzing 2024 disclosure gains amid GDP rebounds (3.4% in 2024, IMF), but static patterns attribute dynamic mechanisms in Nigeria’s cyclical economy (2016 recession NPL aftershocks) (Olojede et al., 2020; IMF, 2024).</w:t>
      </w:r>
      <w:r>
        <w:t xml:space="preserve"> </w:t>
      </w:r>
      <w:r>
        <w:t xml:space="preserve">Secondary historical data (NPL ratios from 37% in 2009 to 5.62% in April 2024, CBN Monetary Policy Committee) provides retrospective context for RQ1, but primary cross-sectional for RQ2–RQ4 precludes direct observation of change. Fixed-effects panel modeling simulates temporal controls for generalizability but curtails prospective scenarios; unforesighted shifts (post-2024 inflation 24.1%, CBN) may invalidate static inferences. Cohort time-series designs are imperative for causal robustness in volatile emerging markets.</w:t>
      </w:r>
    </w:p>
    <w:bookmarkEnd w:id="90"/>
    <w:bookmarkStart w:id="91" w:name="questionnaire-sample-size"/>
    <w:p>
      <w:pPr>
        <w:pStyle w:val="Heading2"/>
      </w:pPr>
      <w:r>
        <w:t xml:space="preserve">Questionnaire Sample Size</w:t>
      </w:r>
    </w:p>
    <w:p>
      <w:pPr>
        <w:pStyle w:val="FirstParagraph"/>
      </w:pPr>
      <w:r>
        <w:t xml:space="preserve">The 234 valid responses (58.5% from 400 distributed) provide ample power for primary hypotheses (G*Power: 85% power,</w:t>
      </w:r>
      <w:r>
        <w:t xml:space="preserve"> </w:t>
      </w:r>
      <m:oMath>
        <m:r>
          <m:t>α</m:t>
        </m:r>
      </m:oMath>
      <w:r>
        <w:t xml:space="preserve">=0.05, medium effects</w:t>
      </w:r>
      <w:r>
        <w:t xml:space="preserve"> </w:t>
      </w:r>
      <m:oMath>
        <m:sSup>
          <m:e>
            <m:r>
              <m:t>f</m:t>
            </m:r>
          </m:e>
          <m:sup>
            <m:r>
              <m:t>2</m:t>
            </m:r>
          </m:sup>
        </m:sSup>
      </m:oMath>
      <w:r>
        <w:t xml:space="preserve">=0.15, 6 predictors), but limit probing intricate interactions and subgroup nuances on CG impacts by bank sizes or roles in DMBs (Yamane, 1967; Faul et al., 2009). An expansive cohort (500-700) could unveil subtle moderations like regulatory multiplicity on practice in small banks (&lt;₦500 billion). In-person distribution in Abuja with dispersed branches caps feasibility due to fatigue and denials. Bootstrapping (1,000 resamples) and stratified sampling amplify precision, but size risks Type II errors for low-prevalence phenomena; generalizability is constrained as diverse experiences homogenize. Online platforms could enable larger, varied recruitment in regulated fields.</w:t>
      </w:r>
    </w:p>
    <w:bookmarkEnd w:id="91"/>
    <w:bookmarkStart w:id="92" w:name="data-availability-constraints"/>
    <w:p>
      <w:pPr>
        <w:pStyle w:val="Heading2"/>
      </w:pPr>
      <w:r>
        <w:t xml:space="preserve">Data Availability Constraints</w:t>
      </w:r>
    </w:p>
    <w:p>
      <w:pPr>
        <w:pStyle w:val="FirstParagraph"/>
      </w:pPr>
      <w:r>
        <w:t xml:space="preserve">Data availability beyond April 2024 constrains temporal boundaries; NPL metrics rely on contemporaneous sources, overlooking subsequent policy pivots or global shocks that could elevate ratios (Agusto &amp; Co, 2024; CBN, 2024). The cutoff, dictated by schedule, presumes trend continuity but diminishes forward applicability amid emergent volatilities like naira devaluation post-Q2. Multi-source synthesis (CBN, NDIC, World Bank) fortifies historical accuracy but wanes for evolving contexts; real-time databases are advocated for future studies.</w:t>
      </w:r>
    </w:p>
    <w:bookmarkEnd w:id="92"/>
    <w:bookmarkStart w:id="93" w:name="opaque-npl-reporting"/>
    <w:p>
      <w:pPr>
        <w:pStyle w:val="Heading2"/>
      </w:pPr>
      <w:r>
        <w:t xml:space="preserve">Opaque NPL Reporting</w:t>
      </w:r>
    </w:p>
    <w:p>
      <w:pPr>
        <w:pStyle w:val="FirstParagraph"/>
      </w:pPr>
      <w:r>
        <w:t xml:space="preserve">Opaque NPL reporting in Nigeria, due to lax audit enforcement and discrepant classifications, entrenches unreliability; banks underclassify loans to mask vulnerabilities, diluting governance indices-NPL linkages (Olojede et al., 2020; Sanusi, 2014). Variances across sources (CBN 5.62% April 2024 vs. lower self-reports) introduce errors from regulatory silos, attenuating disclosure roles. Sensitivity analyses and source reconciliation mitigate, but pre-2023 crises taint artifacts; generalizability curtails as systemic risks veil. Standardized reporting is necessary for precise evaluations.</w:t>
      </w:r>
    </w:p>
    <w:bookmarkEnd w:id="93"/>
    <w:bookmarkStart w:id="94" w:name="focus-post-2004-consolidation-dmbs"/>
    <w:p>
      <w:pPr>
        <w:pStyle w:val="Heading2"/>
      </w:pPr>
      <w:r>
        <w:t xml:space="preserve">Focus Post-2004 Consolidation DMBs</w:t>
      </w:r>
    </w:p>
    <w:p>
      <w:pPr>
        <w:pStyle w:val="FirstParagraph"/>
      </w:pPr>
      <w:r>
        <w:t xml:space="preserve">Focus on post-2004 consolidation DMBs affords analytical concentration but omits smaller non-consolidated entities like microfinance banks with informal CG, potentially divergent patterns in heightened regulatory multiplicity for unregulated segments (Efron &amp; Tibshirani, 1993; CBN, 2024). The scope assumes mega-bank dominance mirrors the sector but challenges diversity; generalizability limits to the full ecosystem. Stratified sampling partially extends; broader inclusion could enrich.</w:t>
      </w:r>
    </w:p>
    <w:bookmarkEnd w:id="94"/>
    <w:bookmarkStart w:id="95" w:name="logistical-constraints"/>
    <w:p>
      <w:pPr>
        <w:pStyle w:val="Heading2"/>
      </w:pPr>
      <w:r>
        <w:t xml:space="preserve">Logistical Constraints</w:t>
      </w:r>
    </w:p>
    <w:p>
      <w:pPr>
        <w:pStyle w:val="FirstParagraph"/>
      </w:pPr>
      <w:r>
        <w:t xml:space="preserve">Logistical impediments in manual distribution and in-person interviews in Abuja’s challenging terrain impede scope and depth; accessible sites prioritize, biasing toward urban insights and overlooking rural branch nuances. Barriers like traffic, security, and scheduling favor convenience, constraining generalizability and underrepresenting peripheral DMBs. Digital shifts could alleviate for inclusivity.</w:t>
      </w:r>
    </w:p>
    <w:bookmarkEnd w:id="95"/>
    <w:bookmarkStart w:id="96" w:name="researcher-reflexivity-positionality"/>
    <w:p>
      <w:pPr>
        <w:pStyle w:val="Heading2"/>
      </w:pPr>
      <w:r>
        <w:t xml:space="preserve">Researcher Reflexivity Positionality</w:t>
      </w:r>
    </w:p>
    <w:p>
      <w:pPr>
        <w:pStyle w:val="FirstParagraph"/>
      </w:pPr>
      <w:r>
        <w:t xml:space="preserve">Researcher positionality as a Nigerian scholar with banking immersion imposes reflexive limitations; ingrained perspectives on cultural critiques like nepotism may prioritize global benchmarks, risking confirmation bias in theme selection or models (Finlay, 2002; Berger, 2015). Insider-outsider duality enriches nuance but embeds ethnocentric lenses affecting interpretative neutrality. Reflexivity journals document assumptions (e.g., "Assumed regulatory inefficacy from personal experience"); peer reviews counter unexamined influences. Generalizability tempers as localized views infuse; co-researcher diversity is called for future work.</w:t>
      </w:r>
    </w:p>
    <w:bookmarkEnd w:id="96"/>
    <w:bookmarkEnd w:id="97"/>
    <w:bookmarkStart w:id="98" w:name="conclusion"/>
    <w:p>
      <w:pPr>
        <w:pStyle w:val="Heading1"/>
      </w:pPr>
      <w:r>
        <w:t xml:space="preserve">Conclusion</w:t>
      </w:r>
    </w:p>
    <w:p>
      <w:pPr>
        <w:pStyle w:val="FirstParagraph"/>
      </w:pPr>
      <w:r>
        <w:t xml:space="preserve">The methodology establishes a robust framework for investigating corporate governance deficiencies at the board level in Nigerian Deposit Money Banks (DMBs), focusing on disclosure, practice, and compliance to mitigate default risk measured by Non-Performing Loan (NPL) ratios. The mixed-methods design integrates quantitative and qualitative approaches for a comprehensive analysis of governance indices—disclosure (CGDI), practice (OPEFF), compliance (COMID), audit committee independence, and regulatory clarity—in the post-2004 consolidation context. The quantitative component uses a structured questionnaire administered by hand to 234 banking professionals (cashiers to regional managers) for empirical rigor, quantifying governance impacts on NPL ratios and addressing weak board oversight and inadequate practice indices identified in the literature (Adegboye, 2020; Sanusi, 2009).</w:t>
      </w:r>
    </w:p>
    <w:p>
      <w:pPr>
        <w:pStyle w:val="BodyText"/>
      </w:pPr>
      <w:r>
        <w:t xml:space="preserve">The qualitative component involves semi-structured interviews with 10 high-level officials (conducted in offices: CEOs, board chairs, executive managers) to enrich contextual insights on regulatory multiplicity and fraud concealment, driving systemic instability with 425 bank failures since 1988 (Udo, 2020; Olojede et al., 2020). The pragmatic research paradigm balances positivist statistical analysis with interpretivist stakeholder perspectives, suited to multifaceted governance challenges. This approach fills gaps in post-2009 studies, where Nigeria-specific post-consolidation analyses are scarce (Osita et al., 2019).</w:t>
      </w:r>
      <w:r>
        <w:t xml:space="preserve"> </w:t>
      </w:r>
      <w:r>
        <w:t xml:space="preserve">Questionnaire data is cross-validated with secondary sources (CBN reports, NDIC records, audited financials), triangulating interview findings to mitigate NPL opacity (Olojede et al., 2020; Natufe &amp; Evbayiro-Osagie, 2023). Hands-on administration and interviews, with patience, courtesy, and respect, facilitate high-quality collection, fostering trust in a sensitive context. The methodology addresses research objectives by evaluating CG deficiencies for NPL reduction, proposing audit independence and regulatory clarity reforms to enhance banking resilience.</w:t>
      </w:r>
    </w:p>
    <w:p>
      <w:pPr>
        <w:pStyle w:val="BodyText"/>
      </w:pPr>
      <w:r>
        <w:t xml:space="preserve">Findings quantify CG deficiencies driving NPLs, providing evidence-based insights on board inefficiencies and fragmented regulations (CAMA 2020, NCCG 2018, CBN Guidelines 2023) contributing to systemic risks (Abdulmalik &amp; Ahmad, 2020). Qualitative insights contextualize harmonizing frameworks, strengthening oversight and whistleblowing for practical recommendations aligned with global standards (OECD Principles 2023, Basel III; BCBS, 2010). Addressing historical legacies restores stakeholder confidence, reduces default risks, and enhances stability in Nigeria’s deposit money banking sector, pivotal for growth (King &amp; Levine, 1993). This chapter lays a solid foundation for empirical analysis, paving the way for actionable reforms and contributions to academic discourse and policy in Nigeria’s financial sector.</w:t>
      </w:r>
    </w:p>
    <w:bookmarkEnd w:id="9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Methodology</dc:title>
  <dc:creator>Isaiah Jimoh-Ibrahim</dc:creator>
  <cp:keywords/>
  <dcterms:created xsi:type="dcterms:W3CDTF">2025-11-12T15:08:20Z</dcterms:created>
  <dcterms:modified xsi:type="dcterms:W3CDTF">2025-11-12T15:08:20Z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October 2025</vt:lpwstr>
  </property>
</Properties>
</file>