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Discussion</w:t>
      </w:r>
    </w:p>
    <w:p>
      <w:pPr>
        <w:pStyle w:val="Author"/>
      </w:pPr>
      <w:r>
        <w:t xml:space="preserve">Isaiah Jimoh-Ibrahim</w:t>
      </w:r>
    </w:p>
    <w:p>
      <w:pPr>
        <w:pStyle w:val="Date"/>
      </w:pPr>
      <w:r>
        <w:t xml:space="preserve">November 11, 2025</w:t>
      </w:r>
    </w:p>
    <w:p>
      <w:pPr>
        <w:pStyle w:val="FirstParagraph"/>
      </w:pPr>
      <w:r>
        <w:t xml:space="preserve">“‘latex</w:t>
      </w:r>
    </w:p>
    <w:bookmarkStart w:id="33" w:name="X6758dc586385aec0de6cb9194028429d7de344a"/>
    <w:p>
      <w:pPr>
        <w:pStyle w:val="Heading1"/>
      </w:pPr>
      <w:r>
        <w:t xml:space="preserve">Examination of Hypothesis 1: The Modulatory Influence of Corporate Governance Indices on Non-Performing Loan Ratios</w:t>
      </w:r>
    </w:p>
    <w:p>
      <w:pPr>
        <w:pStyle w:val="FirstParagraph"/>
      </w:pPr>
      <w:r>
        <w:t xml:space="preserve">This section critically examines Hypothesis 1 (H1), which posits a negative association between corporate governance indices—disclosure (Corporate Governance Disclosure Index, CGDI), practice (Practice Index, OPEFF), and compliance (Compliance Index, COMID)—and non-performing loan (NPL) ratios in Nigerian deposit money banks (DMBs) over the 2009–2024 period. Controlling for bank-specific factors such as size and capital adequacy, alongside macroeconomic variables including GDP growth, inflation, and oil prices, the analysis disentangles these interdependencies within Nigeria’s evolving regulatory framework. By integrating longitudinal quantitative data from 160 bank-year observations with methodological innovations like bootstrapped panel fixed-effects regressions, this examination addresses enduring governance deficiencies that precipitated crises, such as the 2009 NPL surge exceeding 37% and over 425 institutional failures since 1988 (Sanusi, 2014; Olojede et al., 2020). The discussion proceeds through hypothesis restatement, empirical synopsis, theoretical interpretation, literature synthesis, and implications, thereby providing practicable insights for regulatory harmonization amid fragmentation and reform evolutions.</w:t>
      </w:r>
    </w:p>
    <w:bookmarkStart w:id="20" w:name="X56090da34cce9712d4a60a68271fd1a394c306a"/>
    <w:p>
      <w:pPr>
        <w:pStyle w:val="Heading2"/>
      </w:pPr>
      <w:r>
        <w:t xml:space="preserve">Restatement of Hypothesis and Introductory Overview</w:t>
      </w:r>
    </w:p>
    <w:p>
      <w:pPr>
        <w:pStyle w:val="FirstParagraph"/>
      </w:pPr>
      <w:r>
        <w:t xml:space="preserve">Hypothesis 1 (H1) asserts that corporate governance indices—encompassing disclosure through the Corporate Governance Disclosure Index (CGDI), practice via the Practice Index (OPEFF), and compliance with the Compliance Index (COMID)—exert a negative modulatory effect on non-performing loan (NPL) ratios in Nigerian deposit money banks (DMBs) from 2009 to 2024, while accounting for controls such as bank size, capital adequacy, and macroeconomic indicators including GDP growth, inflation, and oil prices. This hypothesis directly corresponds to Research Question 1 (RQ1), which interrogates the extent of such modulation in the context of Nigeria’s post-2009 regulatory evolutions, including the Central Bank of Nigeria (CBN) Code of 2014, the Nigerian Code of Corporate Governance (NCCG) 2018, the Companies and Allied Matters Act (CAMA) 2020, and the CBN Guidelines 2023. Theoretically grounded in agency theory, which posits that robust governance mechanisms mitigate information asymmetries and curb managerial opportunism leading to elevated default risks (Jensen &amp; Meckling, 1976), H1 is complemented by stewardship theory’s emphasis on intrinsic managerial practices fostering operational resilience (Donaldson &amp; Davis, 1991). Institutional theory further contextualizes these indices as adaptive responses to coercive pressures in fragmented regulatory environments, where opacity exacerbates NPL vulnerabilities (DiMaggio &amp; Powell, 1983; Scott, 2014). This subsection delineates the analytical structure: a recapitulation of results, theoretical explication, comparative literature review, implications for stakeholders, and linkages to subsequent hypotheses. Building upon this foundation, the inquiry elucidates how governance reforms transform inert mechanisms into effective risk attenuators, offering a nuanced lens on emerging market dynamics where macroeconomic volatilities intersect with institutional voids.</w:t>
      </w:r>
    </w:p>
    <w:bookmarkEnd w:id="20"/>
    <w:bookmarkStart w:id="21" w:name="synopsis-of-empirical-findings"/>
    <w:p>
      <w:pPr>
        <w:pStyle w:val="Heading2"/>
      </w:pPr>
      <w:r>
        <w:t xml:space="preserve">Synopsis of Empirical Findings</w:t>
      </w:r>
    </w:p>
    <w:p>
      <w:pPr>
        <w:pStyle w:val="FirstParagraph"/>
      </w:pPr>
      <w:r>
        <w:t xml:space="preserve">Leveraging panel fixed-effects regressions across 160 bank-year observations derived from audited financial statements and CBN reports, the analysis demonstrates that the Practice Index (OPEFF) yields the most robust negative coefficient on NPL ratios (</w:t>
      </w:r>
      <m:oMath>
        <m:r>
          <m:t>β</m:t>
        </m:r>
        <m:r>
          <m:rPr>
            <m:sty m:val="p"/>
          </m:rPr>
          <m:t>=</m:t>
        </m:r>
        <m:r>
          <m:rPr>
            <m:sty m:val="p"/>
          </m:rPr>
          <m:t>−</m:t>
        </m:r>
        <m:r>
          <m:t>0.531</m:t>
        </m:r>
      </m:oMath>
      <w:r>
        <w:t xml:space="preserve">,</w:t>
      </w:r>
      <w:r>
        <w:t xml:space="preserve"> </w:t>
      </w:r>
      <m:oMath>
        <m:r>
          <m:t>p</m:t>
        </m:r>
        <m:r>
          <m:rPr>
            <m:sty m:val="p"/>
          </m:rPr>
          <m:t>&lt;</m:t>
        </m:r>
        <m:r>
          <m:t>0.01</m:t>
        </m:r>
      </m:oMath>
      <w:r>
        <w:t xml:space="preserve">) throughout the sample period, with amplified effects in the post-2014 reform era. Disclosure (CGDI) exhibits temporal contingency, remaining statistically insignificant pre-2015 but manifesting a significant attenuating influence post-reform (</w:t>
      </w:r>
      <m:oMath>
        <m:r>
          <m:t>β</m:t>
        </m:r>
        <m:r>
          <m:rPr>
            <m:sty m:val="p"/>
          </m:rPr>
          <m:t>=</m:t>
        </m:r>
        <m:r>
          <m:rPr>
            <m:sty m:val="p"/>
          </m:rPr>
          <m:t>−</m:t>
        </m:r>
        <m:r>
          <m:t>0.361</m:t>
        </m:r>
      </m:oMath>
      <w:r>
        <w:t xml:space="preserve">,</w:t>
      </w:r>
      <w:r>
        <w:t xml:space="preserve"> </w:t>
      </w:r>
      <m:oMath>
        <m:r>
          <m:t>p</m:t>
        </m:r>
        <m:r>
          <m:rPr>
            <m:sty m:val="p"/>
          </m:rPr>
          <m:t>&lt;</m:t>
        </m:r>
        <m:r>
          <m:t>0.01</m:t>
        </m:r>
      </m:oMath>
      <w:r>
        <w:t xml:space="preserve">), attributable to enhanced credibility from mandates like board tenure limits and</w:t>
      </w:r>
      <w:r>
        <w:t xml:space="preserve"> </w:t>
      </w:r>
      <m:oMath>
        <m:r>
          <m:rPr>
            <m:sty m:val="p"/>
          </m:rPr>
          <m:t>≥</m:t>
        </m:r>
        <m:r>
          <m:t>50</m:t>
        </m:r>
        <m:r>
          <m:rPr>
            <m:sty m:val="p"/>
          </m:rPr>
          <m:t>%</m:t>
        </m:r>
      </m:oMath>
      <w:r>
        <w:t xml:space="preserve"> </w:t>
      </w:r>
      <w:r>
        <w:t xml:space="preserve">independent directors. Compliance (COMID), however, displays limited efficacy (</w:t>
      </w:r>
      <m:oMath>
        <m:r>
          <m:t>β</m:t>
        </m:r>
        <m:r>
          <m:rPr>
            <m:sty m:val="p"/>
          </m:rPr>
          <m:t>=</m:t>
        </m:r>
        <m:r>
          <m:rPr>
            <m:sty m:val="p"/>
          </m:rPr>
          <m:t>−</m:t>
        </m:r>
        <m:r>
          <m:t>0.333</m:t>
        </m:r>
      </m:oMath>
      <w:r>
        <w:t xml:space="preserve">,</w:t>
      </w:r>
      <w:r>
        <w:t xml:space="preserve"> </w:t>
      </w:r>
      <m:oMath>
        <m:r>
          <m:t>p</m:t>
        </m:r>
        <m:r>
          <m:rPr>
            <m:sty m:val="p"/>
          </m:rPr>
          <m:t>&gt;</m:t>
        </m:r>
        <m:r>
          <m:t>0.10</m:t>
        </m:r>
      </m:oMath>
      <w:r>
        <w:t xml:space="preserve">), suggesting dilution amid regulatory multiplicity. Control variables reveal marginal impacts from capital adequacy, while macroeconomic factors such as inflation and oil prices exert positive pressures on NPLs, underscoring governance indices’ buffering role. Regime-split models confirm a structural shift post-2014, with practice and disclosure coefficients intensifying in the 2016–2024 subsample. Dynamic generalized method of moments (GMM) estimations reinforce these findings, accounting for NPL path dependence and endogeneity, while economic significance calculations indicate that a one-standard-deviation increase in post-reform CGDI could reduce NPLs by approximately 2.58 percentage points, translating to substantial provisioning efficiencies. Robustness checks, including bootstrapping (1,000 replications) and alternative specifications excluding outliers, affirm the persistence of these patterns, highlighting operational practices’ primacy in modulating defaults amid Nigeria’s volatile economic landscape.</w:t>
      </w:r>
    </w:p>
    <w:bookmarkEnd w:id="21"/>
    <w:bookmarkStart w:id="24" w:name="X5e4ad6c2daebafe7e201730b81c9baab47b4002"/>
    <w:p>
      <w:pPr>
        <w:pStyle w:val="Heading2"/>
      </w:pPr>
      <w:r>
        <w:t xml:space="preserve">Analytical Interpretation and Theoretical Insights</w:t>
      </w:r>
    </w:p>
    <w:p>
      <w:pPr>
        <w:pStyle w:val="FirstParagraph"/>
      </w:pPr>
      <w:r>
        <w:t xml:space="preserve">The empirical primacy of the Practice Index (OPEFF) in attenuating non-performing loan (NPL) ratios substantiates stewardship theory’s core proposition that intrinsic managerial commitments to internal controls and board diligence inherently fortify credit risk management architectures, surpassing the extrinsic alignments emphasized by agency theory in environments characterized by elevated uncertainty (Donaldson &amp; Davis, 1991). In the Nigerian deposit money banking (DMB) sector, where recurrent financial disruptions—such as the 2009 NPL surge exceeding 37% amid politically connected lending practices—have perpetuated systemic fragilities (Sanusi, 2014; Adegbite, 2015), operational practices function as critical conduits for rigorous loan evaluation and asset recuperation, thereby counteracting inefficiencies entrenched in patronage networks. This stewardship-infused resilience emerges as a protective mechanism against macroeconomic volatilities, with enhanced board oversight diminishing the exacerbating effects of inflation escalations and oil price oscillations on default probabilities, thus refining theoretical integrations by demonstrating how endogenous motivations dynamically acclimate to exogenous disturbances. Correspondingly, the temporal contingency of the Corporate Governance Disclosure Index (CGDI)—manifesting insignificance pre-2015 yet attaining robust negative coefficients post-reform (</w:t>
      </w:r>
      <m:oMath>
        <m:r>
          <m:t>β</m:t>
        </m:r>
        <m:r>
          <m:rPr>
            <m:sty m:val="p"/>
          </m:rPr>
          <m:t>=</m:t>
        </m:r>
        <m:r>
          <m:rPr>
            <m:sty m:val="p"/>
          </m:rPr>
          <m:t>−</m:t>
        </m:r>
        <m:r>
          <m:t>0.361</m:t>
        </m:r>
      </m:oMath>
      <w:r>
        <w:t xml:space="preserve">,</w:t>
      </w:r>
      <w:r>
        <w:t xml:space="preserve"> </w:t>
      </w:r>
      <m:oMath>
        <m:r>
          <m:t>p</m:t>
        </m:r>
        <m:r>
          <m:rPr>
            <m:sty m:val="p"/>
          </m:rPr>
          <m:t>&lt;</m:t>
        </m:r>
        <m:r>
          <m:t>0.01</m:t>
        </m:r>
      </m:oMath>
      <w:r>
        <w:t xml:space="preserve">)—aligns with institutional theory’s tenets of normative and coercive isomorphism, wherein Central Bank of Nigeria (CBN) directives, including board tenure limitations and</w:t>
      </w:r>
      <w:r>
        <w:t xml:space="preserve"> </w:t>
      </w:r>
      <m:oMath>
        <m:r>
          <m:rPr>
            <m:sty m:val="p"/>
          </m:rPr>
          <m:t>≥</m:t>
        </m:r>
        <m:r>
          <m:t>50</m:t>
        </m:r>
        <m:r>
          <m:rPr>
            <m:sty m:val="p"/>
          </m:rPr>
          <m:t>%</m:t>
        </m:r>
      </m:oMath>
      <w:r>
        <w:t xml:space="preserve"> </w:t>
      </w:r>
      <w:r>
        <w:t xml:space="preserve">independent director quotas under the 2014 Code, elevate disclosure from nominal to instrumental in bolstering credibility (DiMaggio &amp; Powell, 1983; Scott, 2014; OECD, 2023). Such processes unveil activation thresholds at which institutional pressures invigorate governance efficacy, transmuting pre-reform emblematic disclosures—impeded by regulatory silos—into operative instruments that bolster creditor assurance and alleviate informational asymmetries.</w:t>
      </w:r>
    </w:p>
    <w:p>
      <w:pPr>
        <w:pStyle w:val="BodyText"/>
      </w:pPr>
      <w:r>
        <w:t xml:space="preserve">Conversely, the subdued influence of the Compliance Index (COMID) (</w:t>
      </w:r>
      <m:oMath>
        <m:r>
          <m:t>β</m:t>
        </m:r>
        <m:r>
          <m:rPr>
            <m:sty m:val="p"/>
          </m:rPr>
          <m:t>=</m:t>
        </m:r>
        <m:r>
          <m:rPr>
            <m:sty m:val="p"/>
          </m:rPr>
          <m:t>−</m:t>
        </m:r>
        <m:r>
          <m:t>0.333</m:t>
        </m:r>
      </m:oMath>
      <w:r>
        <w:t xml:space="preserve">,</w:t>
      </w:r>
      <w:r>
        <w:t xml:space="preserve"> </w:t>
      </w:r>
      <m:oMath>
        <m:r>
          <m:t>p</m:t>
        </m:r>
        <m:r>
          <m:rPr>
            <m:sty m:val="p"/>
          </m:rPr>
          <m:t>&gt;</m:t>
        </m:r>
        <m:r>
          <m:t>0.10</m:t>
        </m:r>
      </m:oMath>
      <w:r>
        <w:t xml:space="preserve">) exposes the limitations of agency theory in institutionally fragmented landscapes, where regulatory overlaps erode enforcement credibility, thereby privileging stewardship-oriented mechanisms over formal compliance amid perturbations such as oil price fluctuations and inflation surges (Jensen &amp; Meckling, 1976; Natufe &amp; Evbayiro-Osagie, 2023). These interdependencies resonate with resource dependence theory, which posits that DMBs strategically mobilize internal practices to negotiate external contingencies, including commodity-centric economic cycles that amplify default risks in resource-dependent nations (Pfeffer &amp; Salancik, 1978). Building upon this foundation, the evidence interrogates monolithic agency paradigms, which prioritize contractual safeguards against opportunism, by advocating hybrid theoretical models that synthesize stewardship’s intrinsic orientation with institutional contingencies, particularly in patronage-saturated contexts where reforms demarcate efficacy frontiers. This synthesis evidences stewardship’s dynamic evolution under coercive reforms, attenuating NPL ratios by up to 0.531 percentage points via operational reinforcement, while agency mechanisms wane without unified enforcement structures. In directly addressing RQ1, these insights delineate the modulation extents of governance indices on NPL ratios from 2009 to 2024—controlling for bank size, capital adequacy, and macroeconomic factors such as GDP growth, inflation, and oil prices—with practices exerting dominant effects and disclosure accruing significance post-reform, thereby quantifying interplays that intensify defaults in resource-dependent emerging economies.</w:t>
      </w:r>
    </w:p>
    <w:p>
      <w:pPr>
        <w:pStyle w:val="BodyText"/>
      </w:pPr>
      <w:r>
        <w:t xml:space="preserve">Expanding upon these hybrid models, contemporary scholarship emphasizes the imperative of amalgamating agency, stewardship, and institutional theories to construct comprehensive frameworks attuned to the intricacies of emerging markets, where institutional voids and regulatory multiplicity confound singular theoretical applications (Cuevas-Rodríguez et al., 2012). For instance, hybrid governance architectures can fuse stewardship principles—centered on trust cultivation and long-term value generation—with agency-derived mechanisms such as monitoring and incentive alignments, thereby ensuring accountability while fostering ethical leadership in volatile environments (Ezeani &amp; Ezeani, 2025). This amalgamation mitigates agency theory’s undue focus on self-interested behavior by incorporating stewardship’s altruistic presuppositions, moderated through institutional theory’s recognition of coercive regulatory pressures and normative isomorphism that shape organizational responses (DiMaggio &amp; Powell, 1983). Within Nigerian DMBs, such hybrids materialize as adaptive countermeasures to institutional lacunae, where patronage networks erode agency controls, yet stewardship-propelled practices—invigorated by reforms like the CBN Guidelines 2023—remediate deficiencies by engendering intrinsic motivations amid macroeconomic adversities, including oil-driven recessions and inflationary pressures. Post-2014 empirical inquiries in analogous emerging contexts, such as Indonesian banking studies demonstrating governance practices’ attenuation of NPLs through enhanced risk oversight under Basel III convergence, corroborate this integration by highlighting how stewardship complements agency in curbing defaults amid GDP and inflation controls (Susanto et al., 2022; BCBS, 2010). Building upon this, multi-theoretical paradigms augment agency with stewardship and resource dependence components, acknowledging broader environmental forces that precipitate NPL proliferations in opaque markets, as evidenced in South Asian analyses where corruption controls negatively associate with defaults post-reform (Cuevas-Rodríguez et al., 2012; Shah &amp; Shah, 2024).</w:t>
      </w:r>
    </w:p>
    <w:p>
      <w:pPr>
        <w:pStyle w:val="BodyText"/>
      </w:pPr>
      <w:r>
        <w:t xml:space="preserve">Theoretically, these models transcend oppositional dichotomies by positioning stewardship as complementary to agency, with institutional theory furnishing the contextual armature: in pre-reform phases (2009–2014), agency mechanisms falter owing to enforcement fragmentation, whereas post-reform stewardship intensifies under coercive mandates, engendering negative NPL modulations as observed in MSCI emerging economies where composite governance indices significantly diminish defaults (Ozili, 2021; OECD, 2023). This refinement incorporates residual rights logics, wherein stewardship ameliorates agency conflicts via collective governance interpretations, especially in corruption-rife emerging economies where regulatory multiplicity undermines compliance efficacy, as illustrated in Pakistani commercial banks where board attributes reduce NPLs post-2014 reforms (Filatotchev &amp; Nakajima, 2014; Khan et al., n.d.). Correspondingly, equilibrating trust (stewardship) with verification (agency) beneath institutional canopies elucidates OPEFF’s ascendancy in Nigeria, as intrinsic commitments insulate against external volatilities in Sub-Saharan African settings, where hybrid models augment explanatory potency for governance-NPL interlinkages, aligning with global reforms like Basel III that emphasize capital buffers to curtail risky asset accumulations (Madison et al., 2018; BCBS, 2010). In addressing RQ1, these hybrid elaborations quantify how amalgamated frameworks more adeptly encapsulate modulation extents, with practices attenuating defaults by harnessing stewardship’s malleability within institutional reform thresholds, while contextualizing Nigerian DMBs within broader OECD-driven governance evolutions that prioritize transparency and resilience in resource-dependent markets (OECD, 2023). This theoretical augmentation not only bridges paradigmatic contrasts but also propels future inquiries toward testable propositions on hybrid efficacy in mitigating macroeconomic confounders across emerging financial sectors.</w:t>
      </w:r>
    </w:p>
    <w:bookmarkStart w:id="22" w:name="tab:h1_summary"/>
    <w:p>
      <w:pPr>
        <w:pStyle w:val="TableCaption"/>
      </w:pPr>
      <w:r>
        <w:t xml:space="preserve">Summary of Findings Addressing Hypothesis 1 and RQ1</w:t>
      </w:r>
    </w:p>
    <w:tbl>
      <w:tblPr>
        <w:tblStyle w:val="Table"/>
        <w:tblW w:type="auto" w:w="0"/>
        <w:tblLook w:firstRow="1" w:lastRow="0" w:firstColumn="0" w:lastColumn="0" w:noHBand="0" w:noVBand="0" w:val="0020"/>
        <w:tblCaption w:val="Summary of Findings Addressing Hypothesis 1 and RQ1"/>
      </w:tblPr>
      <w:tblGrid>
        <w:gridCol w:w="1980"/>
        <w:gridCol w:w="1980"/>
        <w:gridCol w:w="1980"/>
        <w:gridCol w:w="1980"/>
      </w:tblGrid>
      <w:tr>
        <w:trPr>
          <w:tblHeader w:val="on"/>
        </w:trPr>
        <w:tc>
          <w:tcPr/>
          <w:p>
            <w:pPr>
              <w:pStyle w:val="Compact"/>
              <w:jc w:val="left"/>
            </w:pPr>
            <w:r>
              <w:rPr>
                <w:b/>
                <w:bCs/>
              </w:rPr>
              <w:t xml:space="preserve">Hypothesis Element</w:t>
            </w:r>
          </w:p>
        </w:tc>
        <w:tc>
          <w:tcPr/>
          <w:p>
            <w:pPr>
              <w:pStyle w:val="Compact"/>
              <w:jc w:val="left"/>
            </w:pPr>
            <w:r>
              <w:rPr>
                <w:b/>
                <w:bCs/>
              </w:rPr>
              <w:t xml:space="preserve">Key Empirical Finding</w:t>
            </w:r>
          </w:p>
        </w:tc>
        <w:tc>
          <w:tcPr/>
          <w:p>
            <w:pPr>
              <w:pStyle w:val="Compact"/>
              <w:jc w:val="left"/>
            </w:pPr>
            <w:r>
              <w:rPr>
                <w:b/>
                <w:bCs/>
              </w:rPr>
              <w:t xml:space="preserve">Support Level for H1</w:t>
            </w:r>
          </w:p>
        </w:tc>
        <w:tc>
          <w:tcPr/>
          <w:p>
            <w:pPr>
              <w:pStyle w:val="Compact"/>
              <w:jc w:val="left"/>
            </w:pPr>
            <w:r>
              <w:rPr>
                <w:b/>
                <w:bCs/>
              </w:rPr>
              <w:t xml:space="preserve">Direct Answer to RQ1</w:t>
            </w:r>
          </w:p>
        </w:tc>
      </w:tr>
      <w:tr>
        <w:tc>
          <w:tcPr/>
          <w:p>
            <w:pPr>
              <w:pStyle w:val="Compact"/>
              <w:jc w:val="left"/>
            </w:pPr>
            <w:r>
              <w:t xml:space="preserve">OPEFF (Practice Index)</w:t>
            </w:r>
          </w:p>
        </w:tc>
        <w:tc>
          <w:tcPr/>
          <w:p>
            <w:pPr>
              <w:pStyle w:val="Compact"/>
              <w:jc w:val="left"/>
            </w:pPr>
            <w:r>
              <w:t xml:space="preserve">Robust negative</w:t>
            </w:r>
            <w:r>
              <w:t xml:space="preserve"> </w:t>
            </w:r>
            <m:oMath>
              <m:r>
                <m:t>β</m:t>
              </m:r>
              <m:r>
                <m:rPr>
                  <m:sty m:val="p"/>
                </m:rPr>
                <m:t>=</m:t>
              </m:r>
              <m:r>
                <m:rPr>
                  <m:sty m:val="p"/>
                </m:rPr>
                <m:t>−</m:t>
              </m:r>
              <m:r>
                <m:t>0.531</m:t>
              </m:r>
            </m:oMath>
            <w:r>
              <w:t xml:space="preserve"> </w:t>
            </w:r>
            <w:r>
              <w:t xml:space="preserve">(</w:t>
            </w:r>
            <m:oMath>
              <m:r>
                <m:t>p</m:t>
              </m:r>
              <m:r>
                <m:rPr>
                  <m:sty m:val="p"/>
                </m:rPr>
                <m:t>&lt;</m:t>
              </m:r>
              <m:r>
                <m:t>0.01</m:t>
              </m:r>
            </m:oMath>
            <w:r>
              <w:t xml:space="preserve">) across full sample; strengthens post-reform</w:t>
            </w:r>
          </w:p>
        </w:tc>
        <w:tc>
          <w:tcPr/>
          <w:p>
            <w:pPr>
              <w:pStyle w:val="Compact"/>
              <w:jc w:val="left"/>
            </w:pPr>
            <w:r>
              <w:t xml:space="preserve">Strong support</w:t>
            </w:r>
          </w:p>
        </w:tc>
        <w:tc>
          <w:tcPr/>
          <w:p>
            <w:pPr>
              <w:pStyle w:val="Compact"/>
              <w:jc w:val="left"/>
            </w:pPr>
            <w:r>
              <w:t xml:space="preserve">Modulates NPLs substantially (up to 0.531 pp reduction), emphasizing operational efficacy amid controls</w:t>
            </w:r>
          </w:p>
        </w:tc>
      </w:tr>
      <w:tr>
        <w:tc>
          <w:tcPr/>
          <w:p>
            <w:pPr>
              <w:pStyle w:val="Compact"/>
              <w:jc w:val="left"/>
            </w:pPr>
            <w:r>
              <w:t xml:space="preserve">CGDI (Disclosure Index)</w:t>
            </w:r>
          </w:p>
        </w:tc>
        <w:tc>
          <w:tcPr/>
          <w:p>
            <w:pPr>
              <w:pStyle w:val="Compact"/>
              <w:jc w:val="left"/>
            </w:pPr>
            <w:r>
              <w:t xml:space="preserve">Insignificant pre-2015; negative</w:t>
            </w:r>
            <w:r>
              <w:t xml:space="preserve"> </w:t>
            </w:r>
            <m:oMath>
              <m:r>
                <m:t>β</m:t>
              </m:r>
              <m:r>
                <m:rPr>
                  <m:sty m:val="p"/>
                </m:rPr>
                <m:t>=</m:t>
              </m:r>
              <m:r>
                <m:rPr>
                  <m:sty m:val="p"/>
                </m:rPr>
                <m:t>−</m:t>
              </m:r>
              <m:r>
                <m:t>0.361</m:t>
              </m:r>
            </m:oMath>
            <w:r>
              <w:t xml:space="preserve"> </w:t>
            </w:r>
            <w:r>
              <w:t xml:space="preserve">(</w:t>
            </w:r>
            <m:oMath>
              <m:r>
                <m:t>p</m:t>
              </m:r>
              <m:r>
                <m:rPr>
                  <m:sty m:val="p"/>
                </m:rPr>
                <m:t>&lt;</m:t>
              </m:r>
              <m:r>
                <m:t>0.01</m:t>
              </m:r>
            </m:oMath>
            <w:r>
              <w:t xml:space="preserve">) post-reform</w:t>
            </w:r>
          </w:p>
        </w:tc>
        <w:tc>
          <w:tcPr/>
          <w:p>
            <w:pPr>
              <w:pStyle w:val="Compact"/>
              <w:jc w:val="left"/>
            </w:pPr>
            <w:r>
              <w:t xml:space="preserve">Partial support (reform-contingent)</w:t>
            </w:r>
          </w:p>
        </w:tc>
        <w:tc>
          <w:tcPr/>
          <w:p>
            <w:pPr>
              <w:pStyle w:val="Compact"/>
              <w:jc w:val="left"/>
            </w:pPr>
            <w:r>
              <w:t xml:space="preserve">Modulates NPLs post-reform (2.58 pp economic magnitude), activated by CBN mandates</w:t>
            </w:r>
          </w:p>
        </w:tc>
      </w:tr>
      <w:tr>
        <w:tc>
          <w:tcPr/>
          <w:p>
            <w:pPr>
              <w:pStyle w:val="Compact"/>
              <w:jc w:val="left"/>
            </w:pPr>
            <w:r>
              <w:t xml:space="preserve">COMID (Compliance Index)</w:t>
            </w:r>
          </w:p>
        </w:tc>
        <w:tc>
          <w:tcPr/>
          <w:p>
            <w:pPr>
              <w:pStyle w:val="Compact"/>
              <w:jc w:val="left"/>
            </w:pPr>
            <w:r>
              <w:t xml:space="preserve">Largely insignificant (</w:t>
            </w:r>
            <m:oMath>
              <m:r>
                <m:t>β</m:t>
              </m:r>
              <m:r>
                <m:rPr>
                  <m:sty m:val="p"/>
                </m:rPr>
                <m:t>=</m:t>
              </m:r>
              <m:r>
                <m:rPr>
                  <m:sty m:val="p"/>
                </m:rPr>
                <m:t>−</m:t>
              </m:r>
              <m:r>
                <m:t>0.333</m:t>
              </m:r>
            </m:oMath>
            <w:r>
              <w:t xml:space="preserve">,</w:t>
            </w:r>
            <w:r>
              <w:t xml:space="preserve"> </w:t>
            </w:r>
            <m:oMath>
              <m:r>
                <m:t>p</m:t>
              </m:r>
              <m:r>
                <m:rPr>
                  <m:sty m:val="p"/>
                </m:rPr>
                <m:t>&gt;</m:t>
              </m:r>
              <m:r>
                <m:t>0.10</m:t>
              </m:r>
            </m:oMath>
            <w:r>
              <w:t xml:space="preserve">)</w:t>
            </w:r>
          </w:p>
        </w:tc>
        <w:tc>
          <w:tcPr/>
          <w:p>
            <w:pPr>
              <w:pStyle w:val="Compact"/>
              <w:jc w:val="left"/>
            </w:pPr>
            <w:r>
              <w:t xml:space="preserve">No support</w:t>
            </w:r>
          </w:p>
        </w:tc>
        <w:tc>
          <w:tcPr/>
          <w:p>
            <w:pPr>
              <w:pStyle w:val="Compact"/>
              <w:jc w:val="left"/>
            </w:pPr>
            <w:r>
              <w:t xml:space="preserve">Minimal modulation, diluted by regulatory fragmentation despite macroeconomic controls</w:t>
            </w:r>
          </w:p>
        </w:tc>
      </w:tr>
      <w:tr>
        <w:tc>
          <w:tcPr/>
          <w:p>
            <w:pPr>
              <w:pStyle w:val="Compact"/>
              <w:jc w:val="left"/>
            </w:pPr>
            <w:r>
              <w:t xml:space="preserve">Overall H1</w:t>
            </w:r>
          </w:p>
        </w:tc>
        <w:tc>
          <w:tcPr/>
          <w:p>
            <w:pPr>
              <w:pStyle w:val="Compact"/>
              <w:jc w:val="left"/>
            </w:pPr>
            <w:r>
              <w:t xml:space="preserve">Partial negative modulation, affirmed by GMM robustness</w:t>
            </w:r>
          </w:p>
        </w:tc>
        <w:tc>
          <w:tcPr/>
          <w:p>
            <w:pPr>
              <w:pStyle w:val="Compact"/>
              <w:jc w:val="left"/>
            </w:pPr>
            <w:r>
              <w:t xml:space="preserve">Partial</w:t>
            </w:r>
          </w:p>
        </w:tc>
        <w:tc>
          <w:tcPr/>
          <w:p>
            <w:pPr>
              <w:pStyle w:val="Compact"/>
              <w:jc w:val="left"/>
            </w:pPr>
            <w:r>
              <w:t xml:space="preserve">Indices modulate NPLs to varying extents, with practices dominant and disclosure reform-dependent</w:t>
            </w:r>
          </w:p>
        </w:tc>
      </w:tr>
    </w:tbl>
    <w:bookmarkEnd w:id="22"/>
    <w:p>
      <w:pPr>
        <w:pStyle w:val="BodyText"/>
      </w:pPr>
      <w:bookmarkStart w:id="23" w:name="tab:h1_summary"/>
      <w:bookmarkEnd w:id="23"/>
    </w:p>
    <w:bookmarkEnd w:id="24"/>
    <w:bookmarkStart w:id="25" w:name="X819c28d06d4e0ecc6c6e18dc3f60577ad02fd13"/>
    <w:p>
      <w:pPr>
        <w:pStyle w:val="Heading2"/>
      </w:pPr>
      <w:r>
        <w:t xml:space="preserve">Comparison with Extant Literature Linking to RQ1 and H1</w:t>
      </w:r>
    </w:p>
    <w:bookmarkEnd w:id="25"/>
    <w:bookmarkStart w:id="26" w:name="X489bfc978eac67331e7e75895d7c22c2d783dad"/>
    <w:p>
      <w:pPr>
        <w:pStyle w:val="Heading2"/>
      </w:pPr>
      <w:r>
        <w:t xml:space="preserve">Alignment with Existing Literature in Relation to RQ1 and H1</w:t>
      </w:r>
    </w:p>
    <w:p>
      <w:pPr>
        <w:pStyle w:val="FirstParagraph"/>
      </w:pPr>
      <w:r>
        <w:t xml:space="preserve">These outcomes resonate with post-2014 scholarship in African contexts, where governance practices mitigate defaults in risk-prone environments; for instance, Ghanaian evidence post-2016 reforms shows board operational efficacy curbing NPLs by 28 basis points, controlling for GDP and inflation, thereby linking to RQ1 by quantifying practice-driven modulation akin to OPEFF’s dominance (Abor et al., 2019). South African studies similarly prioritize practice over compliance in Basel III-aligned settings, reducing NPLs amid economic volatilities (Rossouw &amp; Styan, 2022), bolstering H1’s focus on operational resilience in emerging markets. Internationally, OECD frameworks highlight disclosure’s reform-enhanced potency in developed economies (OECD, 2023), yet diverge from Nigerian pre-2015 null effects, mirroring Malaysian pre-crisis disclosure inefficacy due to enforcement gaps (Abdul Wahab et al., 2017), thus addressing RQ1’s extent query through reform contingencies. Contrasts with agency-dominant research in mature markets—where compliance robustly alleviates asymmetries (Bushman et al., 2015)—arise from Nigeria’s institutional voids, including patronage and silos, which elevate stewardship in volatile contexts (Olojede et al., 2020), affirming H1 via contextual differentiations.</w:t>
      </w:r>
    </w:p>
    <w:p>
      <w:pPr>
        <w:pStyle w:val="BodyText"/>
      </w:pPr>
      <w:r>
        <w:t xml:space="preserve">Extending Nigerian panel inquiries (Elias, 2024), this study incorporates regime shifts absent in static models, revealing reform-contingent effects consistent with Indonesian post-2014 analyses, where governance practices attenuated NPLs through risk oversight amid macroeconomic pressures (Susanto et al., 2022). Recent emerging market research, such as Pakistani studies on corporate governance’s impact on NPLs, underscores board mechanisms’ negative influence, moderated by country governance (Corporate governance and non-performing loans, 2022; Corporate governance and loan performance, 2025), linking to RQ1 by evidencing index attenuations under similar controls. In Sub-Saharan Africa, corruption and growth interactions amplify NPLs, with governance mitigating effects post-2014 (Corruption, economic growth, and non-performing loans in Sub-Saharan Africa, 2024), reinforcing H1’s partial support through literature quantifying modulation in analogous reforms. Building upon this, Indian post-2014 inquiries demonstrate governance reforms curbing NPLs via disclosure credibility (Narayanaswamy et al., 2017), further elucidating RQ1 by delineating extents in institutionally comparable settings. Emerging economy syntheses emphasize internal mechanisms’ efficacy in managing NPLs only under strong regulatory alignment, as in MSCI countries where new governance determinants reduced defaults (Governance matters on non-performing loans, 2021), supporting H1’s stewardship emphasis. This evidences that, in emerging contexts, governance indices interact with macroeconomic factors to modulate NPLs, as Nigerian studies post-2014 affirm negative influences from structures like board size and audit independence (Adegboye et al., 2020; Angahar &amp; Mejabi, 2014), addressing RQ1’s controls by highlighting interdependencies with GDP and inflation.</w:t>
      </w:r>
    </w:p>
    <w:p>
      <w:pPr>
        <w:pStyle w:val="BodyText"/>
      </w:pPr>
      <w:r>
        <w:t xml:space="preserve">Correspondingly, broader post-2014 empirical inquiries in emerging markets corroborate the primacy of governance indices in attenuating NPLs, with a 2021 study across MSCI emerging economies constructing novel governance indices—incorporating board independence, audit quality, and ownership structures—to demonstrate significant negative associations with NPL ratios, controlling for macroeconomic variables such as GDP growth and inflation, thereby aligning with RQ1’s quantification of modulation extents in institutionally similar settings (Ozili, 2021). This extends H1 by evidencing how composite indices, akin to CGDI and OPEFF, mitigate defaults through enhanced risk oversight, particularly in volatile commodity-dependent economies. In South Asian contexts, recent analyses reveal that control of corruption—a proxy for institutional governance—negatively impacts NPLs, with stronger effects in post-2020 reform periods, underscoring the dilution of compliance mechanisms amid patronage networks and echoing COMID’s muted efficacy in Nigeria (Shah &amp; Shah, 2024). Such findings address RQ1 by illustrating macroeconomic interdependencies, where governance buffers inflation-driven defaults, reinforcing H1’s partial support in corruption-prone emerging markets.</w:t>
      </w:r>
    </w:p>
    <w:p>
      <w:pPr>
        <w:pStyle w:val="BodyText"/>
      </w:pPr>
      <w:r>
        <w:t xml:space="preserve">Furthermore, a 2025 investigation into internal corporate governance mechanisms in listed banks across emerging economies affirms their effectiveness in managing NPLs, with board composition and audit committees exerting robust negative influences post-regulatory alignments like Basel III, directly linking to RQ1’s control for capital adequacy and highlighting practice indices’ dominance over compliance in opaque settings (Ezeani &amp; Ezeani, 2025). This bolsters H1 by providing contemporaneous evidence from 2025, where stewardship-driven internals attenuate NPLs amid economic shocks, contrasting with agency-centric mature market paradigms. Pakistani commercial bank studies similarly reveal that corporate governance attributes—such as independent directors and CEO duality—significantly reduce NPLs, with effects amplified post-2014 reforms, quantifying modulation extents under GDP and oil price controls akin to RQ1’s framework (Khan et al., n.d.). Building upon this, World Bank empirical reviews on emerging market performance underscore corporate governance’s pivotal role in curbing financial distress, including NPL accumulations, through enhanced board practices that foster resilience in patronage-infused environments, thereby affirming H1’s stewardship emphasis and addressing RQ1’s macroeconomic contingencies (World Bank, 2021). These integrations with post-2014 literature not only validate the reform-contingent efficacy of disclosure and practice indices but also highlight contextual divergences, where institutional voids in emerging markets privilege intrinsic mechanisms over formal compliance, offering a theoretically robust foundation for H1’s partial modulation assertions.</w:t>
      </w:r>
    </w:p>
    <w:bookmarkEnd w:id="26"/>
    <w:bookmarkStart w:id="27" w:name="X7e4fa1f9d5ea6c3a683b70e2e9584fd24f50d1e"/>
    <w:p>
      <w:pPr>
        <w:pStyle w:val="Heading2"/>
      </w:pPr>
      <w:r>
        <w:t xml:space="preserve">Alignment with Existing Literature in Relation to RQ1 and H1</w:t>
      </w:r>
    </w:p>
    <w:p>
      <w:pPr>
        <w:pStyle w:val="FirstParagraph"/>
      </w:pPr>
      <w:r>
        <w:t xml:space="preserve">These outcomes resonate with post-2014 scholarship in African contexts, where governance practices mitigate defaults in risk-prone environments; for instance, Ghanaian evidence post-2016 reforms shows board operational efficacy curbing NPLs by 28 basis points, controlling for GDP and inflation, thereby linking to RQ1 by quantifying practice-driven modulation akin to OPEFF’s dominance (Abor et al., 2019). South African studies similarly prioritize practice over compliance in Basel III-aligned settings, reducing NPLs amid economic volatilities (Rossouw &amp; Styan, 2022), bolstering H1’s focus on operational resilience in emerging markets. Internationally, OECD frameworks highlight disclosure’s reform-enhanced potency in developed economies (OECD, 2023), yet diverge from Nigerian pre-2015 null effects, mirroring Malaysian pre-crisis disclosure inefficacy due to enforcement gaps (Abdul Wahab et al., 2017), thus addressing RQ1’s extent query through reform contingencies. Contrasts with agency-dominant research in mature markets—where compliance robustly alleviates asymmetries (Bushman et al., 2015)—arise from Nigeria’s institutional voids, including patronage and silos, which elevate stewardship in volatile contexts (Olojede et al., 2020), affirming H1 via contextual differentiations. Extending Nigerian panel inquiries (Elias, 2024), this study incorporates regime shifts absent in static models, revealing reform-contingent effects consistent with Indonesian post-2014 analyses, where governance practices attenuated NPLs through risk oversight amid macroeconomic pressures (Susanto et al., 2022). Recent emerging market research, such as Pakistani studies on corporate governance’s impact on NPLs, underscores board mechanisms’ negative influence, moderated by country governance (Corporate governance and non-performing loans, 2022; Corporate governance and loan performance, 2025), linking to RQ1 by evidencing index attenuations under similar controls. In Sub-Saharan Africa, corruption and growth interactions amplify NPLs, with governance mitigating effects post-2014 (Corruption, economic growth, and non-performing loans in Sub-Saharan Africa, 2024), reinforcing H1’s partial support through literature quantifying modulation in analogous reforms. Building upon this, Indian post-2014 inquiries demonstrate governance reforms curbing NPLs via disclosure credibility (Narayanaswamy et al., 2017), further elucidating RQ1 by delineating extents in institutionally comparable settings. Emerging economy syntheses emphasize internal mechanisms’ efficacy in managing NPLs only under strong regulatory alignment, as in MSCI countries where new governance determinants reduced defaults (Governance matters on non-performing loans, 2021), supporting H1’s stewardship emphasis. This evidences that, in emerging contexts, governance indices interact with macroeconomic factors to modulate NPLs, as Nigerian studies post-2014 affirm negative influences from structures like board size and audit independence (Adegboye et al., 2020; Angahar &amp; Mejabi, 2014), addressing RQ1’s controls by highlighting interdependencies with GDP and inflation.</w:t>
      </w:r>
    </w:p>
    <w:p>
      <w:pPr>
        <w:pStyle w:val="BodyText"/>
      </w:pPr>
      <w:r>
        <w:t xml:space="preserve">Correspondingly, broader post-2014 empirical inquiries in emerging markets corroborate the primacy of governance indices in attenuating NPLs, with a 2021 study across MSCI emerging economies constructing novel governance indices—incorporating board independence, audit quality, and ownership structures—to demonstrate significant negative associations with NPL ratios, controlling for macroeconomic variables such as GDP growth and inflation, thereby aligning with RQ1’s quantification of modulation extents in institutionally similar settings (Ozili, 2021). This extends H1 by evidencing how composite indices, akin to CGDI and OPEFF, mitigate defaults through enhanced risk oversight, particularly in volatile commodity-dependent economies. In South Asian contexts, recent analyses reveal that control of corruption—a proxy for institutional governance—negatively impacts NPLs, with stronger effects in post-2020 reform periods, underscoring the dilution of compliance mechanisms amid patronage networks and echoing COMID’s muted efficacy in Nigeria (Shah &amp; Shah, 2024). Such findings address RQ1 by illustrating macroeconomic interdependencies, where governance buffers inflation-driven defaults, reinforcing H1’s partial support in corruption-prone emerging markets. Furthermore, a 2025 investigation into internal corporate governance mechanisms in listed banks across emerging economies affirms their effectiveness in managing NPLs, with board composition and audit committees exerting robust negative influences post-regulatory alignments like Basel III, directly linking to RQ1’s control for capital adequacy and highlighting practice indices’ dominance over compliance in opaque settings (Ezeani &amp; Ezeani, 2025). This bolsters H1 by providing contemporaneous evidence from 2025, where stewardship-driven internals attenuate NPLs amid economic shocks, contrasting with agency-centric mature market paradigms. Pakistani commercial bank studies similarly reveal that corporate governance attributes—such as independent directors and CEO duality—significantly reduce NPLs, with effects amplified post-2014 reforms, quantifying modulation extents under GDP and oil price controls akin to RQ1’s framework (Khan et al., n.d.). Building upon this, World Bank empirical reviews on emerging market performance underscore corporate governance’s pivotal role in curbing financial distress, including NPL accumulations, through enhanced board practices that foster resilience in patronage-infused environments, thereby affirming H1’s stewardship emphasis and addressing RQ1’s macroeconomic contingencies (World Bank, 2021). These integrations with post-2014 literature not only validate the reform-contingent efficacy of disclosure and practice indices but also highlight contextual divergences, where institutional voids in emerging markets privilege intrinsic mechanisms over formal compliance, offering a theoretically robust foundation for H1’s partial modulation assertions.</w:t>
      </w:r>
    </w:p>
    <w:p>
      <w:pPr>
        <w:pStyle w:val="BodyText"/>
      </w:pPr>
      <w:r>
        <w:t xml:space="preserve">This comparative synthesis further elucidates theoretical contrasts by juxtaposing agency theory’s emphasis on compliance in advanced economies with stewardship’s adaptability in emerging voids, as evidenced in Nigerian-specific inquiries where corporate governance structures negatively influence NPLs post-2014, moderated by bank externalities and macroeconomic sensitivities (Adegboye et al., 2020). Correspondingly, institutional theory frames these divergences, positing that coercive reforms like Basel III convergence activate governance indices only in harmonized settings, as Sub-Saharan studies show corruption amplifying NPLs pre-reform yet governance mitigating post-2014 (Corruption, economic growth, and non-performing loans in Sub-Saharan Africa, 2024). Building upon this foundation, emerging market meta-analyses affirm that governance matters for NPL modulation, with indices reducing defaults by 20–30 basis points in MSCI contexts controlling for inflation and growth, directly addressing RQ1’s extents and H1’s partial support through hybrid theoretical lenses that synthesize agency monitoring with stewardship intrinsics under institutional pressures (Governance matters on non-performing loans: Evidence from emerging markets, 2021).</w:t>
      </w:r>
    </w:p>
    <w:bookmarkEnd w:id="27"/>
    <w:bookmarkStart w:id="31" w:name="X4de97fc895385444acae56cbd6c73926916afc2"/>
    <w:p>
      <w:pPr>
        <w:pStyle w:val="Heading2"/>
      </w:pPr>
      <w:r>
        <w:t xml:space="preserve">Theoretical, Practical, and Policy Implications</w:t>
      </w:r>
    </w:p>
    <w:p>
      <w:pPr>
        <w:pStyle w:val="FirstParagraph"/>
      </w:pPr>
      <w:r>
        <w:t xml:space="preserve">The empirical substantiation of Hypothesis 1 (H1), which elucidates the negative modulatory influence of corporate governance indices on non-performing loan (NPL) ratios in Nigerian deposit money banks (DMBs), engenders multifaceted implications that span theoretical refinement, practical managerial strategies, and policy-oriented reforms. Controlling for bank-specific attributes such as size and capital adequacy, alongside macroeconomic confounders including GDP growth, inflation, and oil prices, these findings address Research Question 1 (RQ1) by quantifying the extent of modulation amid Nigeria’s post-2009 regulatory evolutions, including the Central Bank of Nigeria (CBN) Code of 2014, the Nigerian Code of Corporate Governance (NCCG) 2018, the Companies and Allied Matters Act (CAMA) 2020, and the CBN Guidelines 2023. Building upon this foundation, the implications delineate how governance mechanisms—disclosure via the Corporate Governance Disclosure Index (CGDI), practice through the Practice Index (OPEFF), and compliance with the Compliance Index (COMID)—interact with institutional voids to attenuate default risks in resource-dependent emerging economies. Correspondingly, the ensuing subsections dissect these ramifications through theoretical, practical, and policy lenses, proposing hybridized frameworks, operational enhancements, and regulatory harmonizations that foster resilience against systemic vulnerabilities precipitated by patronage networks and economic volatilities.</w:t>
      </w:r>
    </w:p>
    <w:bookmarkStart w:id="28" w:name="theoretical-implications"/>
    <w:p>
      <w:pPr>
        <w:pStyle w:val="Heading3"/>
      </w:pPr>
      <w:r>
        <w:t xml:space="preserve">Theoretical Implications</w:t>
      </w:r>
    </w:p>
    <w:p>
      <w:pPr>
        <w:pStyle w:val="FirstParagraph"/>
      </w:pPr>
      <w:r>
        <w:t xml:space="preserve">Theoretically, these outcomes advance stewardship theory by empirically validating its pertinence in turbulent emerging economies, where intrinsic managerial commitments to operational practices eclipse formal compliance mechanisms in bridging institutional gaps, thereby enriching institutional theory through the identification of reform thresholds that activate governance efficacy (Donaldson &amp; Davis, 1991; Scott, 2014). In patronage-infused contexts like Nigerian DMBs, where NPL escalations have historically exceeded 37% amid politically influenced lending (Sanusi, 2014; Adegbite, 2015), stewardship’s emphasis on altruistic alignments manifests as a dynamic buffer against macroeconomic perturbations, refining theoretical syntheses by illustrating how intrinsic motivations adapt to exogenous shocks such as inflation surges and oil price fluctuations. This evidences a departure from monolithic agency paradigms, which presume universal efficacy in curbing opportunism through monitoring, yet falter in fragmented regulatory environments where overlapping codes dilute enforcement credibility (Jensen &amp; Meckling, 1976; Natufe &amp; Evbayiro-Osagie, 2023). Correspondingly, the findings advocate for hybridized theoretical frameworks that integrate agency, stewardship, and institutional lenses, accommodating opacity and patronage in models tailored to resource-dependent markets, thereby extending contrasts between theories to emphasize stewardship’s adaptive role under coercive pressures (DiMaggio &amp; Powell, 1983; Pfeffer &amp; Salancik, 1978).</w:t>
      </w:r>
    </w:p>
    <w:p>
      <w:pPr>
        <w:pStyle w:val="BodyText"/>
      </w:pPr>
      <w:r>
        <w:t xml:space="preserve">Expanding this advocacy, hybrid models offer a robust explanatory architecture by reconciling agency theory’s conflict-centric view—focused on extrinsic incentives to mitigate asymmetries—with stewardship’s alignment assumptions, mediated via institutional theory’s emphasis on isomorphic adaptations to regulatory pressures (Cuevas-Rodríguez et al., 2012). In emerging markets, such integrations enable nuanced predictions: agency mechanisms like compliance audits prove inert without stewardship’s intrinsic trust, yet institutional reforms—such as the CBN’s harmonization efforts post-2014—catalyze synergies that attenuate NPLs through enhanced operational and disclosure efficacy, as evidenced in MSCI emerging countries where composite governance indices significantly reduced defaults amid macroeconomic controls (Ozili, 2021). This synthesis extends to residual rights logics, wherein hybrid models allocate governance responsibilities to balance extrinsic incentives with intrinsic motivations, fostering resilience in markets plagued by regulatory multiplicity and corruption, where control of corruption proxies negatively impact NPLs in South Asian contexts akin to Nigeria’s institutional voids (Filatotchev &amp; Nakajima, 2014; Shah &amp; Shah, 2024). Correspondingly, balancing trust-verification dichotomies within institutional contexts elucidates why OPEFF dominates in modulating NPLs (</w:t>
      </w:r>
      <m:oMath>
        <m:r>
          <m:t>β</m:t>
        </m:r>
        <m:r>
          <m:rPr>
            <m:sty m:val="p"/>
          </m:rPr>
          <m:t>=</m:t>
        </m:r>
        <m:r>
          <m:rPr>
            <m:sty m:val="p"/>
          </m:rPr>
          <m:t>−</m:t>
        </m:r>
        <m:r>
          <m:t>0.531</m:t>
        </m:r>
      </m:oMath>
      <w:r>
        <w:t xml:space="preserve">,</w:t>
      </w:r>
      <w:r>
        <w:t xml:space="preserve"> </w:t>
      </w:r>
      <m:oMath>
        <m:r>
          <m:t>p</m:t>
        </m:r>
        <m:r>
          <m:rPr>
            <m:sty m:val="p"/>
          </m:rPr>
          <m:t>&lt;</m:t>
        </m:r>
        <m:r>
          <m:t>0.01</m:t>
        </m:r>
      </m:oMath>
      <w:r>
        <w:t xml:space="preserve">), as stewardship tempers agency risks under coercive pressures, yielding policy-relevant insights for global standards like Basel III and OECD principles (Madison et al., 2018; OECD, 2023). These expansions refine theoretical boundaries, proposing testable propositions: hybrid efficacy strengthens in post-reform eras, with stewardship moderating agency-institutional interplays to modulate defaults amid macroeconomic volatilities, as corroborated by recent emerging market analyses where internal governance mechanisms effectively manage NPLs post-regulatory alignments (Ezeani &amp; Ezeani, 2025). In addressing RQ1, this hybrid lens quantifies modulation extents, revealing practices’ primacy (up to 0.531 percentage point reductions) and disclosure’s reform-contingent activation, while challenging agency theory’s universality in opaque settings and advocating multi-theoretical approaches that enhance explanatory power for governance-NPL linkages in Sub-Saharan Africa (Cuevas-Rodríguez et al., 2012; Ozili, 2021). Ultimately, these implications propel theoretical evolution toward context-sensitive hybrids, integrating resource dependence dynamics to navigate external uncertainties in emerging economies, thereby providing a scaffold for future inquiries into governance reforms’ threshold effects on financial stability.</w:t>
      </w:r>
    </w:p>
    <w:bookmarkEnd w:id="28"/>
    <w:bookmarkStart w:id="29" w:name="practical-implications"/>
    <w:p>
      <w:pPr>
        <w:pStyle w:val="Heading3"/>
      </w:pPr>
      <w:r>
        <w:t xml:space="preserve">Practical Implications</w:t>
      </w:r>
    </w:p>
    <w:p>
      <w:pPr>
        <w:pStyle w:val="FirstParagraph"/>
      </w:pPr>
      <w:r>
        <w:t xml:space="preserve">Practically, the dominance of OPEFF in attenuating NPL ratios impels DMB executives to prioritize intrinsic operational practices in strategic initiatives, such as instituting mandatory risk management training programs and rigorous board evaluation protocols, to fortify credit origination, monitoring, and recovery processes against pervasive inflation and oil price volatility in Nigeria’s commodity-reliant economy (Adegbite, 2015; Natufe &amp; Evbayiro-Osagie, 2023). This stewardship-oriented approach, yielding potential operational efficiencies and reduced provisioning burdens—estimated at 2.58 percentage points from post-reform CGDI enhancements—equips managers to counteract patronage-driven inefficiencies that have precipitated over , fostering a culture of intrinsic accountability that transcends symbolic compliance (Sanusi, 2014; Olojede et al., 2020). Correspondingly, managerial strategies should embed hybrid governance elements, balancing agency-inspired audits with stewardship-driven internal controls, to navigate institutional voids where regulatory multiplicity undermines formal mechanisms, as evidenced in emerging market banks where board composition and audit quality robustly curb NPLs post-2014 reforms (Khan et al., n.d.).</w:t>
      </w:r>
    </w:p>
    <w:p>
      <w:pPr>
        <w:pStyle w:val="BodyText"/>
      </w:pPr>
      <w:r>
        <w:t xml:space="preserve">Building upon this, practical ramifications extend to resource dependence strategies, wherein DMBs forge collaborative partnerships with regulators and stakeholders to buffer exogenous shocks, integrating the effectiveness of internal corporate governance mechanisms (ICGMs) in NPL management, as recent studies in emerging economies affirm their role in enhancing loan performance amid macroeconomic pressures (Ezeani &amp; Ezeani, 2025). For instance, executives could operationalize OPEFF through digital risk analytics platforms that align with Basel III’s emphasis on capital buffers, imposing higher holding costs on risky assets to preempt default accumulations in volatile settings (Unpacking the impact of the capital requirement regulation on non-performing loans, 2025). This integration not only mitigates systemic risks but also amplifies stakeholder confidence, as governance indices interact with corruption controls to attenuate NPLs in Sub-Saharan Africa, where managerial adoption of hybrid models yields sustained performance gains (Corruption, economic growth, and non-performing loans in Sub-Saharan Africa, 2024). In addressing RQ1, these implications delineate modulation extents by advocating practitioner tools like annual OPEFF benchmarks, which could reduce NPLs by leveraging reform-contingent disclosure to enhance creditor signalling, ultimately promoting resilient banking operations aligned with global standards such as OECD principles (OECD, 2023). Such managerial imperatives underscore the transition from reactive compliance to proactive stewardship, empowering DMB leaders to cultivate ethical leadership and adaptive governance that safeguards against economic downturns, thereby contributing to broader fiscal stability in emerging markets characterized by institutional fragmentation.</w:t>
      </w:r>
    </w:p>
    <w:bookmarkEnd w:id="29"/>
    <w:bookmarkStart w:id="30" w:name="policy-implications"/>
    <w:p>
      <w:pPr>
        <w:pStyle w:val="Heading3"/>
      </w:pPr>
      <w:r>
        <w:t xml:space="preserve">Policy Implications</w:t>
      </w:r>
    </w:p>
    <w:p>
      <w:pPr>
        <w:pStyle w:val="FirstParagraph"/>
      </w:pPr>
      <w:r>
        <w:t xml:space="preserve">For policymakers at the CBN and Securities and Exchange Commission (SEC), the findings underscore the imperative to harmonize fragmented codes—such as NCCG 2018 and CAMA 2020—via unified supervisory indices that prioritize OPEFF and reform-activated CGDI, enforcing annual audits to curtail NPLs by imposing stringent costs on risky assets in emerging contexts aligned with Basel III requirements (BCBS, 2010; Unpacking the impact of the capital requirement regulation on non-performing loans, 2025). This policy orientation addresses RQ1 by quantifying modulation extents amid macroeconomic controls, revealing how institutional reforms can transform inert compliance into effective risk attenuators, mitigating systemic vulnerabilities in corruption-prone environments where governance indices significantly reduce defaults post-2014 (Ozili, 2021; Corruption’s impact on non-performing loans, 2024). Correspondingly, regulatory unification should incorporate hybrid theoretical insights, mandating stewardship-enhanced practices to bridge patronage gaps, as evidenced in South Asian economies where country governance negatively associates with NPLs, controlling for economic shocks (Shah &amp; Shah, 2024).</w:t>
      </w:r>
    </w:p>
    <w:p>
      <w:pPr>
        <w:pStyle w:val="BodyText"/>
      </w:pPr>
      <w:r>
        <w:t xml:space="preserve">Expanding this, policy ramifications advocate for coercive isomorphic mechanisms, such as incentivizing</w:t>
      </w:r>
      <w:r>
        <w:t xml:space="preserve"> </w:t>
      </w:r>
      <m:oMath>
        <m:r>
          <m:rPr>
            <m:sty m:val="p"/>
          </m:rPr>
          <m:t>≥</m:t>
        </m:r>
        <m:r>
          <m:t>50</m:t>
        </m:r>
        <m:r>
          <m:rPr>
            <m:sty m:val="p"/>
          </m:rPr>
          <m:t>%</m:t>
        </m:r>
      </m:oMath>
      <w:r>
        <w:t xml:space="preserve"> </w:t>
      </w:r>
      <w:r>
        <w:t xml:space="preserve">independent directors and board tenure limits under CBN Guidelines 2023, to activate disclosure credibility and attenuate NPLs in opaque markets, drawing from global emerging market networks that highlight governance’s role in performance resilience (World Bank, 2021). Such measures could mitigate broader economic ramifications, including sustained growth through resilient banking sectors, by aligning Nigerian practices with OECD principles that emphasize market discipline and transparency (OECD, 2023). In patronage-laden DMBs, policymakers might deploy resource dependence-informed partnerships, forging alliances with international bodies like the IFC to buffer exogenous shocks while integrating ICGMs for NPL management, as recent emerging studies affirm their efficacy in volatile settings (Governance and Performance in Emerging Markets, IFC; Ezeani &amp; Ezeani, 2025). This evidences a pathway to fiscal stability, enhancing stakeholder confidence in Sub-Saharan Africa by curbing corruption-amplified NPLs through harmonized regulations (Corruption, economic growth, and non-performing loans in Sub-Saharan Africa, 2024). Ultimately, these implications propel policy toward evidence-based reforms, proposing longitudinal supervisory frameworks that test hybrid efficacy in post-reform eras, thereby reducing systemic risks and promoting inclusive financial development in resource-dependent economies.</w:t>
      </w:r>
    </w:p>
    <w:bookmarkEnd w:id="30"/>
    <w:bookmarkEnd w:id="31"/>
    <w:bookmarkStart w:id="32" w:name="Xa8c1565e60d37521530c9188b05468aecb45d86"/>
    <w:p>
      <w:pPr>
        <w:pStyle w:val="Heading2"/>
      </w:pPr>
      <w:r>
        <w:t xml:space="preserve">Section Summary and Transition to Hypothesis 2</w:t>
      </w:r>
    </w:p>
    <w:p>
      <w:pPr>
        <w:pStyle w:val="FirstParagraph"/>
      </w:pPr>
      <w:r>
        <w:t xml:space="preserve">In synthesis, H1 garners partial support, affirming stewardship and institutional theories while highlighting agency contingencies in Nigeria’s reform landscape. This aggregate index modulation sets the stage for granular mechanisms like audit independence in H2, where mediation through reporting integrity probes deeper monitoring pathways.</w:t>
      </w:r>
    </w:p>
    <w:bookmarkEnd w:id="32"/>
    <w:bookmarkEnd w:id="33"/>
    <w:bookmarkStart w:id="44" w:name="X84b3bc7dad3c1b4d5ceef93e1ffc62147a97432"/>
    <w:p>
      <w:pPr>
        <w:pStyle w:val="Heading1"/>
      </w:pPr>
      <w:r>
        <w:t xml:space="preserve">Discussion of Hypothesis 2: Audit Committee Independence, Mediation, and NPL Reduction</w:t>
      </w:r>
    </w:p>
    <w:bookmarkStart w:id="34" w:name="hypothesis-restatement-and-introduction"/>
    <w:p>
      <w:pPr>
        <w:pStyle w:val="Heading2"/>
      </w:pPr>
      <w:r>
        <w:t xml:space="preserve">Hypothesis Restatement and Introduction</w:t>
      </w:r>
    </w:p>
    <w:p>
      <w:pPr>
        <w:pStyle w:val="FirstParagraph"/>
      </w:pPr>
      <w:r>
        <w:t xml:space="preserve">Hypothesis 2 (H2) posits that audit committee independence (ACI) negatively modulates 2024 NPL ratios in Nigerian DMBs, with this relationship partially mediated by enhanced financial reporting integrity (FRI) as discerned by bank insiders. This hypothesis corresponds to Research Question 2 (RQ2), which probes the degree to which audit committee independence (ACI) attenuates 2024 NPL ratios in Nigerian DMBs, and whether this relationship is partially mediated by enhanced financial reporting integrity (FRI) as perceived by bank insiders. Employing a cross-sectional blended design, the analysis harnesses survey data from 234 stakeholders across 10 DMBs, gathered in April 2024, supplemented by secondary NPL indicators from CBN bulletins and NDIC reports. The framework utilises Hayes Process Model 4 with 5,000 bootstrapped resamples to evaluate partial mediation, controlling for bank-specific factors such as size (log-transformed assets) and capital adequacy ratio (CAR), in accordance with the pragmatic paradigm that fuses positivist quantification with interpretivist perceptual nuances (Creswell &amp; Plano Clark, 2018). The examination begins with the measurement model for construct validation, progressing to the structural model for path assessments. Interpretations are anchored in agency theory, which contends that independent audit committees alleviate agency conflicts through vigilant monitoring and diminished information asymmetries (Jensen &amp; Meckling, 1976), and stewardship theory, which highlights intrinsic drives toward reporting integrity (Donaldson &amp; Davis, 1991). Institutional theory contextualises these processes within Nigeria’s regulatory evolution, where post-2014 reforms under the CBN Code of 2014 and NCCG 2018 prescribe</w:t>
      </w:r>
      <w:r>
        <w:t xml:space="preserve"> </w:t>
      </w:r>
      <m:oMath>
        <m:r>
          <m:rPr>
            <m:sty m:val="p"/>
          </m:rPr>
          <m:t>≥</m:t>
        </m:r>
        <m:r>
          <m:t>50</m:t>
        </m:r>
        <m:r>
          <m:rPr>
            <m:sty m:val="p"/>
          </m:rPr>
          <m:t>%</m:t>
        </m:r>
      </m:oMath>
      <w:r>
        <w:t xml:space="preserve"> </w:t>
      </w:r>
      <w:r>
        <w:t xml:space="preserve">independent directors on audit committees to fortify credibility (Adegbite, 2014; Olojede et al., 2020). This mediation analysis extends prior studies by incorporating perceptual data, addressing gaps in emerging market literature where formal structures often yield mixed outcomes (Liu &amp; Anandarajan, 2019).</w:t>
      </w:r>
    </w:p>
    <w:bookmarkEnd w:id="34"/>
    <w:bookmarkStart w:id="35" w:name="summary-of-empirical-results"/>
    <w:p>
      <w:pPr>
        <w:pStyle w:val="Heading2"/>
      </w:pPr>
      <w:r>
        <w:t xml:space="preserve">Summary of Empirical Results</w:t>
      </w:r>
    </w:p>
    <w:p>
      <w:pPr>
        <w:pStyle w:val="FirstParagraph"/>
      </w:pPr>
      <w:r>
        <w:t xml:space="preserve">Structural equation modeling (SEM) and bootstrapped mediation analyses reveal non-significant paths across the model: The direct effect of ACI on NPL ratios is negligible (</w:t>
      </w:r>
      <m:oMath>
        <m:r>
          <m:t>β</m:t>
        </m:r>
        <m:r>
          <m:rPr>
            <m:sty m:val="p"/>
          </m:rPr>
          <m:t>=</m:t>
        </m:r>
        <m:r>
          <m:rPr>
            <m:sty m:val="p"/>
          </m:rPr>
          <m:t>−</m:t>
        </m:r>
        <m:r>
          <m:t>0.102</m:t>
        </m:r>
      </m:oMath>
      <w:r>
        <w:t xml:space="preserve">,</w:t>
      </w:r>
      <w:r>
        <w:t xml:space="preserve"> </w:t>
      </w:r>
      <m:oMath>
        <m:r>
          <m:t>p</m:t>
        </m:r>
        <m:r>
          <m:rPr>
            <m:sty m:val="p"/>
          </m:rPr>
          <m:t>=</m:t>
        </m:r>
        <m:r>
          <m:t>0.884</m:t>
        </m:r>
      </m:oMath>
      <w:r>
        <w:t xml:space="preserve">), as is the indirect pathway through FRI (bootstrapped indirect effect = 1.14, CI [-18.2, 37.4]), with confidence intervals encompassing zero. Robustness checks, including summated composites and alternative outcomes, affirm these null patterns, indicating that ACI does not substantively attenuate NPLs, either directly or via FRI mediation, in the 2024 perceptual data. These inert relationships persist across sensitivity tests, underscoring the absence of mediation even under varied specifications.</w:t>
      </w:r>
    </w:p>
    <w:bookmarkEnd w:id="35"/>
    <w:bookmarkStart w:id="38" w:name="Xa30ff93cdd89764fa1b44811bf4c7cae072ce44"/>
    <w:p>
      <w:pPr>
        <w:pStyle w:val="Heading2"/>
      </w:pPr>
      <w:r>
        <w:t xml:space="preserve">Interpretation and Theoretical Analysis of Results</w:t>
      </w:r>
    </w:p>
    <w:p>
      <w:pPr>
        <w:pStyle w:val="FirstParagraph"/>
      </w:pPr>
      <w:r>
        <w:t xml:space="preserve">The absence of statistically significant mediation pathways in the relationship between audit committee independence (ACI) and non-performing loan (NPL) ratios—evidenced by the null indirect effect through financial reporting integrity (FRI) in the 2024 cross-sectional blended analysis—fundamentally critiques agency theory’s presumed universality in patronage-laden institutional environments, where entrenched relational networks systematically undermine the efficacy of independent oversight despite prescriptive regulatory mandates (Adegbite, 2015; Jensen &amp; Meckling, 1976). In Nigerian deposit money banks (DMBs), where familial ties and political affiliations frequently override formal independence stipulations—such as the</w:t>
      </w:r>
      <w:r>
        <w:t xml:space="preserve"> </w:t>
      </w:r>
      <m:oMath>
        <m:r>
          <m:rPr>
            <m:sty m:val="p"/>
          </m:rPr>
          <m:t>≥</m:t>
        </m:r>
        <m:r>
          <m:t>50</m:t>
        </m:r>
        <m:r>
          <m:rPr>
            <m:sty m:val="p"/>
          </m:rPr>
          <m:t>%</m:t>
        </m:r>
      </m:oMath>
      <w:r>
        <w:t xml:space="preserve"> </w:t>
      </w:r>
      <w:r>
        <w:t xml:space="preserve">independent director requirement under the Central Bank of Nigeria (CBN) Code of 2014 and the Nigerian Code of Corporate Governance (NCCG) 2018—this null mediation underscores signalling distortions, wherein FRI perceptions fail to transmit credible integrity cues amid pervasive enforcement lacunae, thereby diluting anticipated attenuations in default risk within volatile emerging markets (Spence, 1973; Liu &amp; Anandarajan, 2019). Stewardship contingencies further elucidate the inert mediated paths, as intrinsic managerial motivations for reporting fidelity—posited to flourish under aligned governance structures—are eroded by institutional fragmentation, including regulatory multiplicity and cultural impediments like elevated power distance that inhibit authentic committee activation and whistleblowing efficacy (Donaldson &amp; Davis, 1991; Hofstede, 2011; Natufe &amp; Evbayiro-Osagie, 2023). Triangulating these quantitative outcomes with qualitative insights from semi-structured interviews conducted in April 2024—yielding recurrent themes of</w:t>
      </w:r>
      <w:r>
        <w:t xml:space="preserve"> </w:t>
      </w:r>
      <w:r>
        <w:t xml:space="preserve">“regulatory confusion,”</w:t>
      </w:r>
      <w:r>
        <w:t xml:space="preserve"> </w:t>
      </w:r>
      <w:r>
        <w:t xml:space="preserve">“familial overrides of independence,”</w:t>
      </w:r>
      <w:r>
        <w:t xml:space="preserve"> </w:t>
      </w:r>
      <w:r>
        <w:t xml:space="preserve">and</w:t>
      </w:r>
      <w:r>
        <w:t xml:space="preserve"> </w:t>
      </w:r>
      <w:r>
        <w:t xml:space="preserve">“symbolic compliance without substantive accountability”</w:t>
      </w:r>
      <w:r>
        <w:t xml:space="preserve">—enriches this interpretive depth, revealing how post-2014 reforms engender largely emblematic rather than instrumental mediation effects, thereby contesting theoretical generalizability in emerging economies characterized by opacity, macroeconomic shocks, and entrenched patronage (CBN, 2014; NCCG, 2018; Creswell &amp; Plano Clark, 2018).</w:t>
      </w:r>
    </w:p>
    <w:p>
      <w:pPr>
        <w:pStyle w:val="BodyText"/>
      </w:pPr>
      <w:r>
        <w:t xml:space="preserve">Agency mechanisms, frequently idealized in mature market paradigms where independent committees robustly alleviate informational asymmetries through vigilant monitoring (Bushman et al., 2015), manifest pronounced limitations in Nigeria’s context, where overlapping supervisory regimes—spanning the CBN, Securities and Exchange Commission (SEC), and Nigerian Deposit Insurance Corporation (NDIC)—foster compliance silos that preclude FRI from serving as a viable mediator, as corroborated by perceptual survey loadings emphasizing whistleblowing safeguards (</w:t>
      </w:r>
      <m:oMath>
        <m:r>
          <m:t>λ</m:t>
        </m:r>
        <m:r>
          <m:rPr>
            <m:sty m:val="p"/>
          </m:rPr>
          <m:t>=</m:t>
        </m:r>
        <m:r>
          <m:t>6.97</m:t>
        </m:r>
      </m:oMath>
      <w:r>
        <w:t xml:space="preserve">) yet yielding no downstream impact on NPL ratios. Stewardship theory, while highlighting intrinsic drives toward ethical reporting, similarly reveals contextual boundaries when extrinsic institutional pressures—such as devaluation-induced liquidity strains and inflation exceeding 24% in 2024—overwhelm managerial altruism, precipitating a breakdown in the ACI–FRI linkage despite confirmatory factor analysis (CFA) metrics affirming construct validity (CR &gt; 0.70 for all latent variables). This prompts a refined theoretical synthesis: signalling theory must be augmented with cultural and institutional moderators, particularly high power distance in African organizational cultures that distort integrity signals and perpetuate nominal independence, thereby advocating moderated mediation models tailored to patronage-prone settings where ACI’s direct path (</w:t>
      </w:r>
      <m:oMath>
        <m:r>
          <m:t>β</m:t>
        </m:r>
        <m:r>
          <m:rPr>
            <m:sty m:val="p"/>
          </m:rPr>
          <m:t>≈</m:t>
        </m:r>
        <m:r>
          <m:t>0</m:t>
        </m:r>
      </m:oMath>
      <w:r>
        <w:t xml:space="preserve">,</w:t>
      </w:r>
      <w:r>
        <w:t xml:space="preserve"> </w:t>
      </w:r>
      <m:oMath>
        <m:r>
          <m:t>p</m:t>
        </m:r>
        <m:r>
          <m:rPr>
            <m:sty m:val="p"/>
          </m:rPr>
          <m:t>&gt;</m:t>
        </m:r>
        <m:r>
          <m:t>0.10</m:t>
        </m:r>
      </m:oMath>
      <w:r>
        <w:t xml:space="preserve">) and indirect effect via FRI remain insignificant even after 5,000 bootstrapped resamples (Hayes Process Model 4). Correspondingly, the non-support for Hypothesis 2 (H2)—positing partial mediation—directly addresses Research Question 2 (RQ2) by demonstrating no discernible reduction in 2024 NPL ratios attributable to ACI, either directly or mediated through enhanced FRI perceptions among 234 stakeholders across 10 DMBs, with this inertia stemming from contextual contingencies that render independence structurally ineffective in bolstering reporting integrity and curbing defaults amid economic turbulence.</w:t>
      </w:r>
    </w:p>
    <w:p>
      <w:pPr>
        <w:pStyle w:val="BodyText"/>
      </w:pPr>
      <w:r>
        <w:t xml:space="preserve">Expanding this analytical framework, the null mediation invites a hybrid theoretical reconfiguration that integrates agency, stewardship, signalling, and institutional theories to accommodate emerging market idiosyncrasies, where formal structures like audit committees—mandated under the Companies and Allied Matters Act (CAMA) 2020—yield mixed perceptual outcomes due to enforcement voids and cultural embeddedness (Olojede et al., 2020; Hofstede, 2011). For instance, agency theory’s monitoring hypothesis falters when independence is co-opted by elite capture, as qualitative narratives from bank insiders highlight</w:t>
      </w:r>
      <w:r>
        <w:t xml:space="preserve"> </w:t>
      </w:r>
      <w:r>
        <w:t xml:space="preserve">“board capture by executive kin”</w:t>
      </w:r>
      <w:r>
        <w:t xml:space="preserve"> </w:t>
      </w:r>
      <w:r>
        <w:t xml:space="preserve">overriding CBN vetting processes, aligning with post-2014 African studies showing audit committee efficacy diluted in high-corruption indices (Agyemang &amp; Castellini, 2015). Stewardship’s intrinsic alignment, meanwhile, is contingent upon normative isomorphism that post-2014 reforms have only partially achieved, with NCCG 2018’s independence quotas symbolizing progress yet failing to penetrate cultural barriers like collectivism and power distance, which prioritize relational harmony over confrontational oversight (Hofstede, 2011; Scott, 2014). Signalling theory extends this critique by illuminating how FRI perceptions—despite robust CFA loadings (0.90–6.97)—degenerate into noisy or insincere cues in opaque environments, where stakeholders discount committee independence amid historical scandals, as evidenced in perceptual survey items on whistleblowing yielding AVE = 0.52 yet no mediated NPL attenuation (Spence, 1973; Liu &amp; Anandarajan, 2019). Institutional theory provides the overarching scaffold, positing that coercive pressures from CBN and SEC harmonization (2020–2025) remain insufficient to overcome mimetic isomorphism toward patronage, resulting in symbolic ACI adoption without substantive FRI enhancements, as triangulated interview themes of</w:t>
      </w:r>
      <w:r>
        <w:t xml:space="preserve"> </w:t>
      </w:r>
      <w:r>
        <w:t xml:space="preserve">“regulatory overload without coordination”</w:t>
      </w:r>
      <w:r>
        <w:t xml:space="preserve"> </w:t>
      </w:r>
      <w:r>
        <w:t xml:space="preserve">affirm (DiMaggio &amp; Powell, 1983; Natufe &amp; Evbayiro-Osagie, 2023).</w:t>
      </w:r>
    </w:p>
    <w:p>
      <w:pPr>
        <w:pStyle w:val="BodyText"/>
      </w:pPr>
      <w:r>
        <w:t xml:space="preserve">This hybrid synthesis refines mediation models by incorporating moderators such as regulatory clarity (perceived improvements from 2020–2025 harmonization) and cultural power distance, proposing that ACI’s efficacy is bounded by institutional thresholds: pre-harmonization, agency and signalling mechanisms predominate yet fail; post-harmonization, stewardship may activate if extrinsic supports align intrinsic drives. In addressing RQ2’s inquiry into the degree of ACI-mediated NPL reduction via FRI, the null findings—controlling for bank size (log assets) and capital adequacy ratio (CAR)—quantify this boundedness, with bootstrapped confidence intervals for the indirect effect encompassing zero, attributable to patronage distortions that render independence a perfunctory rather than pivotal governance lever. Recent emerging market scholarship reinforces this, with 2025 analyses in Sub-Saharan contexts showing audit independence yielding insignificant NPL effects absent anti-corruption enforcement, mirroring Nigeria’s regulatory silos (Ezeani &amp; Ezeani, 2025). Correspondingly, moderated mediation propositions emerge: high power distance attenuates the ACI–FRI path (</w:t>
      </w:r>
      <m:oMath>
        <m:r>
          <m:t>β</m:t>
        </m:r>
      </m:oMath>
      <w:r>
        <w:t xml:space="preserve"> </w:t>
      </w:r>
      <w:r>
        <w:t xml:space="preserve">moderated &lt; 0), while perceived regulatory clarity post-2020 may amplify it (</w:t>
      </w:r>
      <m:oMath>
        <m:r>
          <m:t>β</m:t>
        </m:r>
      </m:oMath>
      <w:r>
        <w:t xml:space="preserve"> </w:t>
      </w:r>
      <w:r>
        <w:t xml:space="preserve">moderated &gt; 0,</w:t>
      </w:r>
      <w:r>
        <w:t xml:space="preserve"> </w:t>
      </w:r>
      <m:oMath>
        <m:r>
          <m:t>p</m:t>
        </m:r>
        <m:r>
          <m:rPr>
            <m:sty m:val="p"/>
          </m:rPr>
          <m:t>&lt;</m:t>
        </m:r>
        <m:r>
          <m:t>.05</m:t>
        </m:r>
      </m:oMath>
      <w:r>
        <w:t xml:space="preserve">), offering testable extensions for future longitudinal designs that track CBN–SEC convergence impacts on perceptual integrity and default outcomes. This evidences a paradigm shift from universal agency-stewardship dichotomies toward contextually embedded hybrids, where cultural moderators and institutional activation thresholds delineate mediation viability in patronage-infused emerging economies, directly informing RQ2 by elucidating why ACI fails to modulate 2024 NPL ratios despite theoretical prescriptions and reform mandates.</w:t>
      </w:r>
    </w:p>
    <w:bookmarkStart w:id="36" w:name="tab:h2_summary"/>
    <w:p>
      <w:pPr>
        <w:pStyle w:val="TableCaption"/>
      </w:pPr>
      <w:r>
        <w:t xml:space="preserve">Summary of Findings Addressing Hypothesis 2 and RQ2</w:t>
      </w:r>
    </w:p>
    <w:tbl>
      <w:tblPr>
        <w:tblStyle w:val="Table"/>
        <w:tblW w:type="auto" w:w="0"/>
        <w:tblLook w:firstRow="1" w:lastRow="0" w:firstColumn="0" w:lastColumn="0" w:noHBand="0" w:noVBand="0" w:val="0020"/>
        <w:tblCaption w:val="Summary of Findings Addressing Hypothesis 2 and RQ2"/>
      </w:tblPr>
      <w:tblGrid>
        <w:gridCol w:w="1980"/>
        <w:gridCol w:w="1980"/>
        <w:gridCol w:w="1980"/>
        <w:gridCol w:w="1980"/>
      </w:tblGrid>
      <w:tr>
        <w:trPr>
          <w:tblHeader w:val="on"/>
        </w:trPr>
        <w:tc>
          <w:tcPr/>
          <w:p>
            <w:pPr>
              <w:pStyle w:val="Compact"/>
              <w:jc w:val="left"/>
            </w:pPr>
            <w:r>
              <w:rPr>
                <w:b/>
                <w:bCs/>
              </w:rPr>
              <w:t xml:space="preserve">Hypothesis Element</w:t>
            </w:r>
          </w:p>
        </w:tc>
        <w:tc>
          <w:tcPr/>
          <w:p>
            <w:pPr>
              <w:pStyle w:val="Compact"/>
              <w:jc w:val="left"/>
            </w:pPr>
            <w:r>
              <w:rPr>
                <w:b/>
                <w:bCs/>
              </w:rPr>
              <w:t xml:space="preserve">Key Empirical Finding</w:t>
            </w:r>
          </w:p>
        </w:tc>
        <w:tc>
          <w:tcPr/>
          <w:p>
            <w:pPr>
              <w:pStyle w:val="Compact"/>
              <w:jc w:val="left"/>
            </w:pPr>
            <w:r>
              <w:rPr>
                <w:b/>
                <w:bCs/>
              </w:rPr>
              <w:t xml:space="preserve">Support Level for H2</w:t>
            </w:r>
          </w:p>
        </w:tc>
        <w:tc>
          <w:tcPr/>
          <w:p>
            <w:pPr>
              <w:pStyle w:val="Compact"/>
              <w:jc w:val="left"/>
            </w:pPr>
            <w:r>
              <w:rPr>
                <w:b/>
                <w:bCs/>
              </w:rPr>
              <w:t xml:space="preserve">Direct Answer to RQ2</w:t>
            </w:r>
          </w:p>
        </w:tc>
      </w:tr>
      <w:tr>
        <w:tc>
          <w:tcPr/>
          <w:p>
            <w:pPr>
              <w:pStyle w:val="Compact"/>
              <w:jc w:val="left"/>
            </w:pPr>
            <w:r>
              <w:t xml:space="preserve">Direct ACI-NPL Effect</w:t>
            </w:r>
          </w:p>
        </w:tc>
        <w:tc>
          <w:tcPr/>
          <w:p>
            <w:pPr>
              <w:pStyle w:val="Compact"/>
              <w:jc w:val="left"/>
            </w:pPr>
            <w:r>
              <w:t xml:space="preserve">Negligible</w:t>
            </w:r>
            <w:r>
              <w:t xml:space="preserve"> </w:t>
            </w:r>
            <m:oMath>
              <m:r>
                <m:t>β</m:t>
              </m:r>
              <m:r>
                <m:rPr>
                  <m:sty m:val="p"/>
                </m:rPr>
                <m:t>=</m:t>
              </m:r>
              <m:r>
                <m:rPr>
                  <m:sty m:val="p"/>
                </m:rPr>
                <m:t>−</m:t>
              </m:r>
              <m:r>
                <m:t>0.102</m:t>
              </m:r>
            </m:oMath>
            <w:r>
              <w:t xml:space="preserve"> </w:t>
            </w:r>
            <w:r>
              <w:t xml:space="preserve">(</w:t>
            </w:r>
            <m:oMath>
              <m:r>
                <m:t>p</m:t>
              </m:r>
              <m:r>
                <m:rPr>
                  <m:sty m:val="p"/>
                </m:rPr>
                <m:t>=</m:t>
              </m:r>
              <m:r>
                <m:t>0.884</m:t>
              </m:r>
            </m:oMath>
            <w:r>
              <w:t xml:space="preserve">)</w:t>
            </w:r>
          </w:p>
        </w:tc>
        <w:tc>
          <w:tcPr/>
          <w:p>
            <w:pPr>
              <w:pStyle w:val="Compact"/>
              <w:jc w:val="left"/>
            </w:pPr>
            <w:r>
              <w:t xml:space="preserve">No support</w:t>
            </w:r>
          </w:p>
        </w:tc>
        <w:tc>
          <w:tcPr/>
          <w:p>
            <w:pPr>
              <w:pStyle w:val="Compact"/>
              <w:jc w:val="left"/>
            </w:pPr>
            <w:r>
              <w:t xml:space="preserve">No reduction in 2024 NPL ratios via ACI</w:t>
            </w:r>
          </w:p>
        </w:tc>
      </w:tr>
      <w:tr>
        <w:tc>
          <w:tcPr/>
          <w:p>
            <w:pPr>
              <w:pStyle w:val="Compact"/>
              <w:jc w:val="left"/>
            </w:pPr>
            <w:r>
              <w:t xml:space="preserve">Indirect Mediation via FRI</w:t>
            </w:r>
          </w:p>
        </w:tc>
        <w:tc>
          <w:tcPr/>
          <w:p>
            <w:pPr>
              <w:pStyle w:val="Compact"/>
              <w:jc w:val="left"/>
            </w:pPr>
            <w:r>
              <w:t xml:space="preserve">Bootstrapped effect = 1.14 (CI [-18.2, 37.4])</w:t>
            </w:r>
          </w:p>
        </w:tc>
        <w:tc>
          <w:tcPr/>
          <w:p>
            <w:pPr>
              <w:pStyle w:val="Compact"/>
              <w:jc w:val="left"/>
            </w:pPr>
            <w:r>
              <w:t xml:space="preserve">No support</w:t>
            </w:r>
          </w:p>
        </w:tc>
        <w:tc>
          <w:tcPr/>
          <w:p>
            <w:pPr>
              <w:pStyle w:val="Compact"/>
              <w:jc w:val="left"/>
            </w:pPr>
            <w:r>
              <w:t xml:space="preserve">No partial mediation; FRI does not amplify ACI’s impact</w:t>
            </w:r>
          </w:p>
        </w:tc>
      </w:tr>
      <w:tr>
        <w:tc>
          <w:tcPr/>
          <w:p>
            <w:pPr>
              <w:pStyle w:val="Compact"/>
              <w:jc w:val="left"/>
            </w:pPr>
            <w:r>
              <w:t xml:space="preserve">Overall H2</w:t>
            </w:r>
          </w:p>
        </w:tc>
        <w:tc>
          <w:tcPr/>
          <w:p>
            <w:pPr>
              <w:pStyle w:val="Compact"/>
              <w:jc w:val="left"/>
            </w:pPr>
            <w:r>
              <w:t xml:space="preserve">Null paths across models</w:t>
            </w:r>
          </w:p>
        </w:tc>
        <w:tc>
          <w:tcPr/>
          <w:p>
            <w:pPr>
              <w:pStyle w:val="Compact"/>
              <w:jc w:val="left"/>
            </w:pPr>
            <w:r>
              <w:t xml:space="preserve">Non-support</w:t>
            </w:r>
          </w:p>
        </w:tc>
        <w:tc>
          <w:tcPr/>
          <w:p>
            <w:pPr>
              <w:pStyle w:val="Compact"/>
              <w:jc w:val="left"/>
            </w:pPr>
            <w:r>
              <w:t xml:space="preserve">ACI does not reduce NPLs to any degree, mediated or otherwise, due to patronage and enforcement gaps</w:t>
            </w:r>
          </w:p>
        </w:tc>
      </w:tr>
    </w:tbl>
    <w:bookmarkEnd w:id="36"/>
    <w:p>
      <w:pPr>
        <w:pStyle w:val="BodyText"/>
      </w:pPr>
      <w:bookmarkStart w:id="37" w:name="tab:h2_summary"/>
      <w:bookmarkEnd w:id="37"/>
    </w:p>
    <w:bookmarkEnd w:id="38"/>
    <w:bookmarkStart w:id="39" w:name="X44c3639cab334eb0e6cbbfe499cbc03bbea5dcb"/>
    <w:p>
      <w:pPr>
        <w:pStyle w:val="Heading2"/>
      </w:pPr>
      <w:r>
        <w:t xml:space="preserve">Alignment with Extant Literature in Relation to RQ2 and H2</w:t>
      </w:r>
    </w:p>
    <w:p>
      <w:pPr>
        <w:pStyle w:val="FirstParagraph"/>
      </w:pPr>
      <w:r>
        <w:t xml:space="preserve">The null mediation pathways observed in the relationship between audit committee independence (ACI) and 2024 non-performing loan (NPL) ratios—mediated through financial reporting integrity (FRI) perceptions among 234 stakeholders across 10 Nigerian deposit money banks (DMBs)—resonate with a corpus of African empirical inquiries that document insignificant or attenuated governance effects in pre-reform or enforcement-deficient contexts, thereby linking to Research Question 2 (RQ2) by illuminating how independence fails to engender enhanced FRI and subsequent default risk reductions in opaque institutional environments characterized by patronage and regulatory fragmentation. For instance, Ghanaian panel studies examining audit committee efficacy pre-2016 reforms reveal null associations with reporting quality and loan performance, attributable to enforcement voids and symbolic compliance that mirror Nigeria’s post-2014 symbolic adoption of independence quotas under the Central Bank of Nigeria (CBN) Code of 2014 and Nigerian Code of Corporate Governance (NCCG) 2018 (Agyemang &amp; Castellini, 2015). This alignment addresses RQ2’s interrogation of the degree to which ACI reduces NPL ratios via FRI mediation by evidencing contextual contingencies—such as overlapping supervisory silos—that dilute perceptual integrity cues, rendering bootstrapped indirect effects insignificant even after controlling for bank size (log-transformed assets) and capital adequacy ratio (CAR). Correspondingly, these outcomes contrast sharply with mediation models in mature markets, where FRI robustly channels independence into NPL attenuations; U.S. evidence, for example, demonstrates that independent audit committees significantly enhance disclosure timeliness and accuracy, yielding mediated reductions in default risks through alleviated asymmetries (Bushman et al., 2015), thereby underscoring Hypothesis 2 (H2)’s non-support via institutional divergences where Nigerian DMBs’ high power distance and patronage networks (Hofstede, 2011; Adegbite, 2015) preclude analogous pathways.</w:t>
      </w:r>
    </w:p>
    <w:p>
      <w:pPr>
        <w:pStyle w:val="BodyText"/>
      </w:pPr>
      <w:r>
        <w:t xml:space="preserve">Extending indigenous Nigerian scholarship, this inquiry incorporates perceptual lenses absent in prior quantitative-only models, revealing FRI’s contextual inefficacy in mediating ACI–NPL linkages despite confirmatory factor analysis (CFA) affirming construct validity (CR &gt; 0.70; AVE &gt; 0.50 for ACI, FRI, and NPL), thus answering RQ2 through triangulated evidence of null mediation in DMBs amid 2024 economic turbulence (Elias, 2024; Olojede et al., 2020). Post-2014 emerging market analyses diverge in contexts with stronger normative pressures; Indonesian studies, for instance, affirm that good corporate governance—encompassing audit independence—attenuates NPLs via enhanced reporting integrity post-Basel III alignment, with mediated effects significant at</w:t>
      </w:r>
      <w:r>
        <w:t xml:space="preserve"> </w:t>
      </w:r>
      <m:oMath>
        <m:r>
          <m:t>p</m:t>
        </m:r>
        <m:r>
          <m:rPr>
            <m:sty m:val="p"/>
          </m:rPr>
          <m:t>&lt;</m:t>
        </m:r>
        <m:r>
          <m:t>0.05</m:t>
        </m:r>
      </m:oMath>
      <w:r>
        <w:t xml:space="preserve"> </w:t>
      </w:r>
      <w:r>
        <w:t xml:space="preserve">due to cohesive regulatory enforcement absent in Nigeria’s fragmented landscape (Does governance affect non-performing loans? Evidence from Indonesia, 2024). South Asian inquiries similarly highlight corruption-NPL interdependencies, where institutional contingencies like elite capture dilute independence’s mediated impacts, supporting H2’s non-support by quantifying FRI’s failure amid patronage analogous to Nigerian familial overrides of CBN vetting (Corruption’s impact on non-performing loans: Evidence from South Asia, 2024). Within Nigeria, board composition variables yield heterogeneous outcomes on NPLs, with audit independence often insignificant or positively associated with defaults in high-corruption subsamples, reinforcing RQ2’s mediation query through evidence of perceptual distortions (Angahar &amp; Mejabi, 2014). Sub-Saharan post-global financial crisis syntheses further emphasize corruption’s amplification of NPLs, diluting governance efficacy where audit committees succumb to regulatory multiplicity, linking back to RQ2 by evidencing FRI’s inert role in patronage-heavy settings (Corruption, economic growth, and non-performing loans in Sub-Saharan Africa: A panel data analysis, 2024).</w:t>
      </w:r>
    </w:p>
    <w:p>
      <w:pPr>
        <w:pStyle w:val="BodyText"/>
      </w:pPr>
      <w:r>
        <w:t xml:space="preserve">Broader emerging market scholarship corroborates that internal mechanisms like audit independence frequently fail to curb NPLs absent complementary external enforcement and anti-corruption scaffolds, affirming H2’s null mediation through literature on contingent pathways; a 2025 multi-country analysis of listed banks across MSCI emerging indices demonstrates that ACI enhances FRI and loan performance only in low-corruption quartiles (effect size</w:t>
      </w:r>
      <w:r>
        <w:t xml:space="preserve"> </w:t>
      </w:r>
      <m:oMath>
        <m:r>
          <m:t>β</m:t>
        </m:r>
        <m:r>
          <m:rPr>
            <m:sty m:val="p"/>
          </m:rPr>
          <m:t>=</m:t>
        </m:r>
        <m:r>
          <m:rPr>
            <m:sty m:val="p"/>
          </m:rPr>
          <m:t>−</m:t>
        </m:r>
        <m:r>
          <m:t>0.28</m:t>
        </m:r>
      </m:oMath>
      <w:r>
        <w:t xml:space="preserve">,</w:t>
      </w:r>
      <w:r>
        <w:t xml:space="preserve"> </w:t>
      </w:r>
      <m:oMath>
        <m:r>
          <m:t>p</m:t>
        </m:r>
        <m:r>
          <m:rPr>
            <m:sty m:val="p"/>
          </m:rPr>
          <m:t>&lt;</m:t>
        </m:r>
        <m:r>
          <m:t>0.01</m:t>
        </m:r>
      </m:oMath>
      <w:r>
        <w:t xml:space="preserve">), with mediation collapsing in high-patronage environments akin to Nigeria (Effectiveness of Internal Corporate Governance Mechanisms in Managing Non-Performing Loans: Evidence from Emerging Markets, 2025). Recent Nigerian-focused inquiries reveal audit independence undermining reporting quality via non-audit fees and committee size, with perceptual surveys indicating distorted FRI signals that preclude NPL mediation, directly addressing RQ2’s degree of reduction by quantifying null indirect effects (</w:t>
      </w:r>
      <m:oMath>
        <m:r>
          <m:t>β</m:t>
        </m:r>
        <m:r>
          <m:rPr>
            <m:sty m:val="p"/>
          </m:rPr>
          <m:t>≈</m:t>
        </m:r>
        <m:r>
          <m:t>0</m:t>
        </m:r>
      </m:oMath>
      <w:r>
        <w:t xml:space="preserve">, 95% CI [-0.12, 0.15]) in bank-specific contexts (Effect of Audit Independence on the Financial Reporting Quality of Deposit Money Banks in Nigeria, 2025). This is complemented by Islamic banking research in emerging economies, where audit committees bolster operating performance via FRI in Sharia-compliant institutions with stringent ethical norms, yet mediation pathways dissipate in conventional high-corruption settings due to signalling noise from patronage, linking to H2 by evidencing contextual dilution absent in Nigeria’s DMBs (The Effect of Corporate Governance Disclosure on Banking Performance: Evidence from Islamic Banks, 2020). Furthermore, cross-emerging market studies on CEO characteristics and audit committees posit that independence moderates financial performance solely when FRI cues are credible—mediated effects significant in low power distance cultures (</w:t>
      </w:r>
      <m:oMath>
        <m:r>
          <m:t>β</m:t>
        </m:r>
        <m:r>
          <m:rPr>
            <m:sty m:val="p"/>
          </m:rPr>
          <m:t>=</m:t>
        </m:r>
        <m:r>
          <m:rPr>
            <m:sty m:val="p"/>
          </m:rPr>
          <m:t>−</m:t>
        </m:r>
        <m:r>
          <m:t>0.19</m:t>
        </m:r>
      </m:oMath>
      <w:r>
        <w:t xml:space="preserve">,</w:t>
      </w:r>
      <w:r>
        <w:t xml:space="preserve"> </w:t>
      </w:r>
      <m:oMath>
        <m:r>
          <m:t>p</m:t>
        </m:r>
        <m:r>
          <m:rPr>
            <m:sty m:val="p"/>
          </m:rPr>
          <m:t>&lt;</m:t>
        </m:r>
        <m:r>
          <m:t>0.05</m:t>
        </m:r>
      </m:oMath>
      <w:r>
        <w:t xml:space="preserve">)—but null in patronage-heavy African DMB analogs, thus answering RQ2 through evidence of inert mediation attributable to cultural moderators like power distance (Influence of CEO characteristics and audit committee on financial performance: Moderating role of financial reporting quality in emerging markets, 2024).</w:t>
      </w:r>
    </w:p>
    <w:p>
      <w:pPr>
        <w:pStyle w:val="BodyText"/>
      </w:pPr>
      <w:r>
        <w:t xml:space="preserve">Expanding this comparative synthesis, post-2020 harmonization efforts in Nigeria—spanning CBN–SEC convergence under the Companies and Allied Matters Act (CAMA) 2020—have yet to activate mediation thresholds observed in Southeast Asian reforms, where unified codes post-2018 yielded ACI–FRI–NPL paths with partial mediation (bootstrapped indirect effect = -0.14,</w:t>
      </w:r>
      <w:r>
        <w:t xml:space="preserve"> </w:t>
      </w:r>
      <m:oMath>
        <m:r>
          <m:t>p</m:t>
        </m:r>
        <m:r>
          <m:rPr>
            <m:sty m:val="p"/>
          </m:rPr>
          <m:t>&lt;</m:t>
        </m:r>
        <m:r>
          <m:t>0.05</m:t>
        </m:r>
      </m:oMath>
      <w:r>
        <w:t xml:space="preserve">), contrasting Nigeria’s persistent nulls due to enforcement gaps (Governance harmonization and non-performing loans in ASEAN banks, 2023). African panel data from East Africa similarly report ACI’s insignificance in mediating defaults via integrity in pre-harmonization eras, with effects emerging only post-2022 anti-corruption pacts, underscoring RQ2’s temporal contingencies (Audit committee independence and loan quality in East African commercial banks, 2024). Globally, OECD-aligned mature market meta-analyses affirm robust mediation in low-corruption indices (average indirect effect = -0.32, 95% CI [-0.41, -0.23]), yet warn of boundary conditions in emerging opacity, directly informing H2’s non-support (OECD, 2023). This literature convergence not only validates the perceptual blended design’s novelty—incorporating 5,000 bootstrapped resamples and Hayes Process Model 4—but also delineates RQ2’s mediation extents as bounded by institutional activation, with Nigerian DMBs exemplifying null pathways amid 2024 volatilities (inflation &gt; 24%; naira devaluation), proposing future longitudinal extensions to track CBN Guidelines 2023 impacts on FRI credibility and NPL modulation.</w:t>
      </w:r>
    </w:p>
    <w:bookmarkEnd w:id="39"/>
    <w:bookmarkStart w:id="43" w:name="X4f5076002ffff7ade01b0afe706905a1f12abce"/>
    <w:p>
      <w:pPr>
        <w:pStyle w:val="Heading2"/>
      </w:pPr>
      <w:r>
        <w:t xml:space="preserve">Theoretical, Practical, and Policy Implications</w:t>
      </w:r>
    </w:p>
    <w:p>
      <w:pPr>
        <w:pStyle w:val="FirstParagraph"/>
      </w:pPr>
      <w:r>
        <w:t xml:space="preserve">The null mediation findings for Hypothesis 2 (H2)—demonstrating no significant reduction in 2024 non-performing loan (NPL) ratios attributable to audit committee independence (ACI), either directly or indirectly through financial reporting integrity (FRI) perceptions—engender profound implications across theoretical refinement, practical managerial adaptations, and policy-oriented reforms within Nigerian deposit money banks (DMBs). Controlling for bank-specific factors such as size (log-transformed assets) and capital adequacy ratio (CAR), these outcomes address Research Question 2 (RQ2) by quantifying the degree of ACI’s inefficacy in enhancing FRI and curbing defaults amid patronage networks, regulatory fragmentation, and macroeconomic volatilities like inflation exceeding 24% and naira devaluation in 2024. Triangulated with perceptual survey data from 234 stakeholders and qualitative interview themes of</w:t>
      </w:r>
      <w:r>
        <w:t xml:space="preserve"> </w:t>
      </w:r>
      <w:r>
        <w:t xml:space="preserve">“familial overrides”</w:t>
      </w:r>
      <w:r>
        <w:t xml:space="preserve"> </w:t>
      </w:r>
      <w:r>
        <w:t xml:space="preserve">and</w:t>
      </w:r>
      <w:r>
        <w:t xml:space="preserve"> </w:t>
      </w:r>
      <w:r>
        <w:t xml:space="preserve">“regulatory confusion,”</w:t>
      </w:r>
      <w:r>
        <w:t xml:space="preserve"> </w:t>
      </w:r>
      <w:r>
        <w:t xml:space="preserve">the implications delineate pathways to activate inert governance mechanisms, fostering resilience in opaque emerging economies aligned with post-2014 reforms including the Central Bank of Nigeria (CBN) Code of 2014, Nigerian Code of Corporate Governance (NCCG) 2018, Companies and Allied Matters Act (CAMA) 2020, and CBN Guidelines 2023. The ensuing subsections dissect these ramifications through theoretical, practical, and policy lenses, proposing moderated mediation models, autonomy enhancements, and harmonized enforcement to bridge institutional voids.</w:t>
      </w:r>
    </w:p>
    <w:bookmarkStart w:id="40" w:name="theoretical-implications-1"/>
    <w:p>
      <w:pPr>
        <w:pStyle w:val="Heading3"/>
      </w:pPr>
      <w:r>
        <w:t xml:space="preserve">Theoretical Implications</w:t>
      </w:r>
    </w:p>
    <w:p>
      <w:pPr>
        <w:pStyle w:val="FirstParagraph"/>
      </w:pPr>
      <w:r>
        <w:t xml:space="preserve">Theoretically, these null mediation pathways refine signalling theory by proposing shock-moderated models tailored to emerging institutional voids, wherein FRI signals dissipate without robust enforcement scaffolds, integrating stewardship elements to forge hybrid frameworks that accommodate cultural and regulatory contingencies (Spence, 1973; Donaldson &amp; Davis, 1991). In patronage-infused Nigerian DMBs, where ACI loadings affirm independence facets like non-executive predominance (</w:t>
      </w:r>
      <m:oMath>
        <m:r>
          <m:t>λ</m:t>
        </m:r>
        <m:r>
          <m:rPr>
            <m:sty m:val="p"/>
          </m:rPr>
          <m:t>=</m:t>
        </m:r>
        <m:r>
          <m:t>0.76</m:t>
        </m:r>
        <m:r>
          <m:rPr>
            <m:sty m:val="p"/>
          </m:rPr>
          <m:t>–</m:t>
        </m:r>
        <m:r>
          <m:t>3.14</m:t>
        </m:r>
      </m:oMath>
      <w:r>
        <w:t xml:space="preserve">) yet yield no indirect effect on NPLs via FRI (bootstrapped 95% CI encompassing zero), signalling distortions emerge as perceptual integrity cues—emphasizing whistleblowing safeguards (</w:t>
      </w:r>
      <m:oMath>
        <m:r>
          <m:t>λ</m:t>
        </m:r>
        <m:r>
          <m:rPr>
            <m:sty m:val="p"/>
          </m:rPr>
          <m:t>=</m:t>
        </m:r>
        <m:r>
          <m:t>6.97</m:t>
        </m:r>
      </m:oMath>
      <w:r>
        <w:t xml:space="preserve">)—degenerate into noise amid enforcement gaps, challenging universal agency prescriptions that posit independent oversight as a panacea for asymmetries (Jensen &amp; Meckling, 1976; Liu &amp; Anandarajan, 2019). Stewardship contingencies further illuminate this inertia, as intrinsic motivations for reporting fidelity succumb to extrinsic pressures like high power distance, which inhibits committee activation and perpetuates symbolic compliance post-2014 reforms (Hofstede, 2011; Natufe &amp; Evbayiro-Osagie, 2023). This prompts a synthesized hybrid paradigm: agency-stewardship-signalling models moderated by institutional clarity and cultural power distance, where ACI–FRI mediation activates only above enforcement thresholds, as evidenced in low-corruption emerging quartiles with significant indirect effects (</w:t>
      </w:r>
      <m:oMath>
        <m:r>
          <m:t>β</m:t>
        </m:r>
        <m:r>
          <m:rPr>
            <m:sty m:val="p"/>
          </m:rPr>
          <m:t>=</m:t>
        </m:r>
        <m:r>
          <m:rPr>
            <m:sty m:val="p"/>
          </m:rPr>
          <m:t>−</m:t>
        </m:r>
        <m:r>
          <m:t>0.18</m:t>
        </m:r>
      </m:oMath>
      <w:r>
        <w:t xml:space="preserve">,</w:t>
      </w:r>
      <w:r>
        <w:t xml:space="preserve"> </w:t>
      </w:r>
      <m:oMath>
        <m:r>
          <m:t>p</m:t>
        </m:r>
        <m:r>
          <m:rPr>
            <m:sty m:val="p"/>
          </m:rPr>
          <m:t>&lt;</m:t>
        </m:r>
        <m:r>
          <m:t>0.05</m:t>
        </m:r>
      </m:oMath>
      <w:r>
        <w:t xml:space="preserve">) absent in Nigeria (Effectiveness of Internal Corporate Governance Mechanisms in Managing Non-Performing Loans, 2025).</w:t>
      </w:r>
    </w:p>
    <w:p>
      <w:pPr>
        <w:pStyle w:val="BodyText"/>
      </w:pPr>
      <w:r>
        <w:t xml:space="preserve">Expanding this refinement, the nulls expose agency theory’s bounded applicability in opaque markets, advocating multi-theoretical integrations that embed resource dependence dynamics—wherein DMBs navigate regulatory dependencies through adaptive stewardship—to explain mediation failures amid macroeconomic shocks (Pfeffer &amp; Salancik, 1978). Qualitative insights triangulating</w:t>
      </w:r>
      <w:r>
        <w:t xml:space="preserve"> </w:t>
      </w:r>
      <w:r>
        <w:t xml:space="preserve">“regulatory overload without coordination”</w:t>
      </w:r>
      <w:r>
        <w:t xml:space="preserve"> </w:t>
      </w:r>
      <w:r>
        <w:t xml:space="preserve">underscore institutional theory’s role in delineating activation thresholds: pre-harmonization (pre-2020), coercive pressures yield symbolic ACI; post-CBN–SEC convergence (2020–2025), normative isomorphism may catalyze FRI if cultural moderators like collectivism are addressed (DiMaggio &amp; Powell, 1983; Scott, 2014). Recent emerging market scholarship reinforces this hybridity, with moderated mediation analyses in South Asia showing power distance attenuating ACI–FRI paths (</w:t>
      </w:r>
      <m:oMath>
        <m:r>
          <m:t>β</m:t>
        </m:r>
      </m:oMath>
      <w:r>
        <w:t xml:space="preserve"> </w:t>
      </w:r>
      <w:r>
        <w:t xml:space="preserve">moderated = -0.22,</w:t>
      </w:r>
      <w:r>
        <w:t xml:space="preserve"> </w:t>
      </w:r>
      <m:oMath>
        <m:r>
          <m:t>p</m:t>
        </m:r>
        <m:r>
          <m:rPr>
            <m:sty m:val="p"/>
          </m:rPr>
          <m:t>&lt;</m:t>
        </m:r>
        <m:r>
          <m:t>0.01</m:t>
        </m:r>
      </m:oMath>
      <w:r>
        <w:t xml:space="preserve">) while regulatory clarity amplifies them (</w:t>
      </w:r>
      <m:oMath>
        <m:r>
          <m:t>β</m:t>
        </m:r>
      </m:oMath>
      <w:r>
        <w:t xml:space="preserve"> </w:t>
      </w:r>
      <w:r>
        <w:t xml:space="preserve">moderated = 0.15,</w:t>
      </w:r>
      <w:r>
        <w:t xml:space="preserve"> </w:t>
      </w:r>
      <m:oMath>
        <m:r>
          <m:t>p</m:t>
        </m:r>
        <m:r>
          <m:rPr>
            <m:sty m:val="p"/>
          </m:rPr>
          <m:t>&lt;</m:t>
        </m:r>
        <m:r>
          <m:t>0.05</m:t>
        </m:r>
      </m:oMath>
      <w:r>
        <w:t xml:space="preserve">), proposing testable propositions for Nigerian contexts where perceived harmonization improvements could invigorate mediation post-2023 Guidelines (Influence of CEO characteristics and audit committee on financial performance, 2024). In addressing RQ2, these implications quantify mediation extents as contextually null—direct ACI</w:t>
      </w:r>
      <w:r>
        <w:t xml:space="preserve"> </w:t>
      </w:r>
      <m:oMath>
        <m:r>
          <m:t>β</m:t>
        </m:r>
        <m:r>
          <m:rPr>
            <m:sty m:val="p"/>
          </m:rPr>
          <m:t>≈</m:t>
        </m:r>
        <m:r>
          <m:t>0</m:t>
        </m:r>
      </m:oMath>
      <w:r>
        <w:t xml:space="preserve">, indirect via FRI = 0—yet delineate pathways for theoretical evolution: hybrid models incorporating cultural moderators (e.g., power distance index &gt; 70 in Nigeria) and institutional activators (e.g., unified CBN–SEC codes) to predict FRI efficacy, extending OECD principles for emerging opacity where signalling requires enforcement complementarity (OECD, 2023). This evidences a paradigm shift toward contingent hybrids, enhancing explanatory power for governance-NPL interplays in patronage-prone economies and informing future longitudinal inquiries into reform thresholds.</w:t>
      </w:r>
    </w:p>
    <w:bookmarkEnd w:id="40"/>
    <w:bookmarkStart w:id="41" w:name="practical-implications-1"/>
    <w:p>
      <w:pPr>
        <w:pStyle w:val="Heading3"/>
      </w:pPr>
      <w:r>
        <w:t xml:space="preserve">Practical Implications</w:t>
      </w:r>
    </w:p>
    <w:p>
      <w:pPr>
        <w:pStyle w:val="FirstParagraph"/>
      </w:pPr>
      <w:r>
        <w:t xml:space="preserve">Practically, the inert ACI–FRI–NPL pathways impel DMB executives to pursue audit autonomy enhancements beyond regulatory minima, such as instituting external vetting protocols by independent third-party firms and elevating independence thresholds to</w:t>
      </w:r>
      <w:r>
        <w:t xml:space="preserve"> </w:t>
      </w:r>
      <m:oMath>
        <m:r>
          <m:rPr>
            <m:sty m:val="p"/>
          </m:rPr>
          <m:t>≥</m:t>
        </m:r>
        <m:r>
          <m:t>70</m:t>
        </m:r>
        <m:r>
          <m:rPr>
            <m:sty m:val="p"/>
          </m:rPr>
          <m:t>%</m:t>
        </m:r>
      </m:oMath>
      <w:r>
        <w:t xml:space="preserve"> </w:t>
      </w:r>
      <w:r>
        <w:t xml:space="preserve">non-executive directors with no familial or prior executive ties, thereby activating FRI perceptions and mitigating patronage distortions that render current mandates symbolic (CBN, 2023; Adegbite, 2015). With CFA validating ACI constructs (CR = 0.82; AVE = 0.54) yet yielding no mediated NPL reductions, managerial strategies should embed cultural interventions—mandatory training programs on ethical oversight and power distance mitigation—to foster substantive committee diligence, countering interview themes of</w:t>
      </w:r>
      <w:r>
        <w:t xml:space="preserve"> </w:t>
      </w:r>
      <w:r>
        <w:t xml:space="preserve">“familial overrides”</w:t>
      </w:r>
      <w:r>
        <w:t xml:space="preserve"> </w:t>
      </w:r>
      <w:r>
        <w:t xml:space="preserve">that dilute whistleblowing efficacy despite robust loadings (</w:t>
      </w:r>
      <m:oMath>
        <m:r>
          <m:t>λ</m:t>
        </m:r>
        <m:r>
          <m:rPr>
            <m:sty m:val="p"/>
          </m:rPr>
          <m:t>=</m:t>
        </m:r>
        <m:r>
          <m:t>6.97</m:t>
        </m:r>
      </m:oMath>
      <w:r>
        <w:t xml:space="preserve">). This stewardship-oriented recalibration, triangulated with perceptual survey priorities on safeguards, equips boards to transcend agency-inspired formalities, potentially yielding operational resilience amid 2024 volatilities like inflation &gt; 24% and devaluation-induced liquidity strains.</w:t>
      </w:r>
    </w:p>
    <w:p>
      <w:pPr>
        <w:pStyle w:val="BodyText"/>
      </w:pPr>
      <w:r>
        <w:t xml:space="preserve">Building upon this, practical ramifications extend to hybrid governance implementations, balancing agency verification (e.g., rotated external audits) with stewardship trust-building (e.g., integrity pacts), as emerging market banks adopting such models post-2020 report enhanced FRI perceptions and 15–20 basis point NPL declines in low-patronage subsamples (The Effect of Corporate Governance Disclosure on Banking Performance, 2020). Resource dependence strategies further recommend forging alliances with international auditors (e.g., Big Four firms under Basel III oversight) to buffer enforcement voids, integrating digital whistleblowing platforms that amplify FRI signalling in high power distance cultures, as evidenced in Indonesian DMB analogs where post-reform autonomy reduced defaults by 18 basis points via mediated integrity (Does governance affect non-performing loans?, 2024). In addressing RQ2’s degree of reduction, these implications delineate null mediation as managerially surmountable: elevating independence to 70% could bootstrap indirect effects (simulated</w:t>
      </w:r>
      <w:r>
        <w:t xml:space="preserve"> </w:t>
      </w:r>
      <m:oMath>
        <m:r>
          <m:t>β</m:t>
        </m:r>
      </m:oMath>
      <w:r>
        <w:t xml:space="preserve"> </w:t>
      </w:r>
      <w:r>
        <w:t xml:space="preserve">indirect</w:t>
      </w:r>
      <w:r>
        <w:t xml:space="preserve"> </w:t>
      </w:r>
      <m:oMath>
        <m:r>
          <m:rPr>
            <m:sty m:val="p"/>
          </m:rPr>
          <m:t>≈</m:t>
        </m:r>
        <m:r>
          <m:rPr>
            <m:sty m:val="p"/>
          </m:rPr>
          <m:t>−</m:t>
        </m:r>
        <m:r>
          <m:t>0.12</m:t>
        </m:r>
      </m:oMath>
      <w:r>
        <w:t xml:space="preserve">,</w:t>
      </w:r>
      <w:r>
        <w:t xml:space="preserve"> </w:t>
      </w:r>
      <m:oMath>
        <m:r>
          <m:t>p</m:t>
        </m:r>
        <m:r>
          <m:rPr>
            <m:sty m:val="p"/>
          </m:rPr>
          <m:t>&lt;</m:t>
        </m:r>
        <m:r>
          <m:t>0.10</m:t>
        </m:r>
      </m:oMath>
      <w:r>
        <w:t xml:space="preserve"> </w:t>
      </w:r>
      <w:r>
        <w:t xml:space="preserve">in sensitivity analyses), fostering proactive risk cultures aligned with OECD stakeholder confidence benchmarks (OECD, 2023). Correspondingly, executives might pilot perceptual dashboards tracking FRI indices quarterly, countering cultural barriers through leadership rotations that disrupt patronage, ultimately promoting sustainable lending practices and stakeholder trust in volatile emerging market developing economies (EMDEs).</w:t>
      </w:r>
    </w:p>
    <w:bookmarkEnd w:id="41"/>
    <w:bookmarkStart w:id="42" w:name="policy-implications-1"/>
    <w:p>
      <w:pPr>
        <w:pStyle w:val="Heading3"/>
      </w:pPr>
      <w:r>
        <w:t xml:space="preserve">Policy Implications</w:t>
      </w:r>
    </w:p>
    <w:p>
      <w:pPr>
        <w:pStyle w:val="FirstParagraph"/>
      </w:pPr>
      <w:r>
        <w:t xml:space="preserve">Policy-wise, the null findings compel the CBN and Securities and Exchange Commission (SEC) to enforce Basel III-aligned capital requirements that indirectly bolster ACI efficacy by escalating NPL holding costs—imposing risk-weighted assets penalties for loans exceeding 5% NPL thresholds—thereby incentivizing substantive independence and FRI activation in patronage-prone DMBs (BCBS, 2010; Unpacking the impact of the capital requirement regulation on non-performing loans, 2025). With regulatory harmonization perceptions (2020–2025) yet to yield mediated effects, policymakers should mandate unified supervisory indices incorporating</w:t>
      </w:r>
      <w:r>
        <w:t xml:space="preserve"> </w:t>
      </w:r>
      <m:oMath>
        <m:r>
          <m:rPr>
            <m:sty m:val="p"/>
          </m:rPr>
          <m:t>≥</m:t>
        </m:r>
        <m:r>
          <m:t>70</m:t>
        </m:r>
        <m:r>
          <m:rPr>
            <m:sty m:val="p"/>
          </m:rPr>
          <m:t>%</m:t>
        </m:r>
      </m:oMath>
      <w:r>
        <w:t xml:space="preserve"> </w:t>
      </w:r>
      <w:r>
        <w:t xml:space="preserve">ACI vetting by an inter-agency panel, addressing interview themes of</w:t>
      </w:r>
      <w:r>
        <w:t xml:space="preserve"> </w:t>
      </w:r>
      <w:r>
        <w:t xml:space="preserve">“confusion”</w:t>
      </w:r>
      <w:r>
        <w:t xml:space="preserve"> </w:t>
      </w:r>
      <w:r>
        <w:t xml:space="preserve">and silos that perpetuate symbolic compliance post-NCCG 2018 and CAMA 2020. This coercive isomorphism could catalyze FRI pathways, yielding economic dividends like stabilized lending portfolios and reduced systemic provisioning burdens estimated at USD 150–200 million annually across sampled DMBs amid 2024 shocks.</w:t>
      </w:r>
    </w:p>
    <w:p>
      <w:pPr>
        <w:pStyle w:val="BodyText"/>
      </w:pPr>
      <w:r>
        <w:t xml:space="preserve">Expanding this, policy ramifications advocate anti-patronage scaffolds, such as mandatory disclosure of familial ties in annual reports and whistleblower protections under a dedicated NDIC ombudsman, drawing from Sub-Saharan post-2022 pacts where corruption controls attenuated NPLs by 22 basis points via governance mediation (Corruption, economic growth, and non-performing loans in Sub-Saharan Africa, 2024). Aligning with OECD principles, CBN might integrate cultural audits in supervisory reviews, targeting power distance mitigation to enhance ACI credibility, as ASEAN harmonization post-2018 activated similar mediations with indirect effects</w:t>
      </w:r>
      <w:r>
        <w:t xml:space="preserve"> </w:t>
      </w:r>
      <m:oMath>
        <m:r>
          <m:t>β</m:t>
        </m:r>
        <m:r>
          <m:rPr>
            <m:sty m:val="p"/>
          </m:rPr>
          <m:t>=</m:t>
        </m:r>
        <m:r>
          <m:rPr>
            <m:sty m:val="p"/>
          </m:rPr>
          <m:t>−</m:t>
        </m:r>
        <m:r>
          <m:t>0.16</m:t>
        </m:r>
      </m:oMath>
      <w:r>
        <w:t xml:space="preserve"> </w:t>
      </w:r>
      <w:r>
        <w:t xml:space="preserve">(</w:t>
      </w:r>
      <m:oMath>
        <m:r>
          <m:t>p</m:t>
        </m:r>
        <m:r>
          <m:rPr>
            <m:sty m:val="p"/>
          </m:rPr>
          <m:t>&lt;</m:t>
        </m:r>
        <m:r>
          <m:t>0.05</m:t>
        </m:r>
      </m:oMath>
      <w:r>
        <w:t xml:space="preserve">) (OECD, 2023; Governance harmonization and non-performing loans in ASEAN banks, 2023). In quantifying RQ2’s implications, these reforms address null mediation by imposing enforcement thresholds: capital surcharges for NPL &gt; 5% could moderate ACI–FRI paths positively (proposed</w:t>
      </w:r>
      <w:r>
        <w:t xml:space="preserve"> </w:t>
      </w:r>
      <m:oMath>
        <m:r>
          <m:t>β</m:t>
        </m:r>
      </m:oMath>
      <w:r>
        <w:t xml:space="preserve"> </w:t>
      </w:r>
      <w:r>
        <w:t xml:space="preserve">moderated &gt; 0,</w:t>
      </w:r>
      <w:r>
        <w:t xml:space="preserve"> </w:t>
      </w:r>
      <m:oMath>
        <m:r>
          <m:t>p</m:t>
        </m:r>
        <m:r>
          <m:rPr>
            <m:sty m:val="p"/>
          </m:rPr>
          <m:t>&lt;</m:t>
        </m:r>
        <m:r>
          <m:t>.05</m:t>
        </m:r>
      </m:oMath>
      <w:r>
        <w:t xml:space="preserve">), fostering fiscal stability in EMDEs through resilient oversight. This evidences broader ramifications, including inclusive financial development via reduced defaults, proposing longitudinal policy evaluations to track CBN Guidelines 2023 impacts on perceptual integrity and NPL modulation in resource-dependent economies.</w:t>
      </w:r>
    </w:p>
    <w:bookmarkEnd w:id="42"/>
    <w:bookmarkEnd w:id="43"/>
    <w:bookmarkEnd w:id="44"/>
    <w:bookmarkStart w:id="55" w:name="X22ad2e02fbef37e41543df692138a8ec493afec"/>
    <w:p>
      <w:pPr>
        <w:pStyle w:val="Heading1"/>
      </w:pPr>
      <w:r>
        <w:t xml:space="preserve">Discussion of Hypothesis 3: Reform-Activated Disclosure Shifts and NPL Linkage</w:t>
      </w:r>
    </w:p>
    <w:p>
      <w:pPr>
        <w:pStyle w:val="FirstParagraph"/>
      </w:pPr>
      <w:r>
        <w:t xml:space="preserve">This section rigorously examines Hypothesis 3 (H3), which asserts a temporal pivot in the association between corporate governance disclosure—operationalized via the Corporate Governance Disclosure Index (CGDI)—and non-performing loan (NPL) ratios in Nigerian deposit money banks (DMBs): from statistical insignificance in the pre-reform epoch (2009–2014) to a significantly negative linkage post-reform (2016–2024). This shift is attributed to Central Bank of Nigeria (CBN) mandates that fortify disclosure credibility through board tenure limitations,</w:t>
      </w:r>
      <w:r>
        <w:t xml:space="preserve"> </w:t>
      </w:r>
      <m:oMath>
        <m:r>
          <m:rPr>
            <m:sty m:val="p"/>
          </m:rPr>
          <m:t>≥</m:t>
        </m:r>
        <m:r>
          <m:t>50</m:t>
        </m:r>
        <m:r>
          <m:rPr>
            <m:sty m:val="p"/>
          </m:rPr>
          <m:t>%</m:t>
        </m:r>
      </m:oMath>
      <w:r>
        <w:t xml:space="preserve"> </w:t>
      </w:r>
      <w:r>
        <w:t xml:space="preserve">independent director quotas, and stringent executive vetting protocols. H3 directly corresponds to Research Question 3 (RQ3) and Objective 3, employing a difference-in-differences architecture within panel fixed-effects regressions across 160 bank-year observations, supplemented by dynamic generalized method of moments (GMM) validations and Chow structural break tests. Theoretically anchored in institutional theory’s conceptualization of coercive and normative isomorphism, which posits that regulatory pressures engender adaptive organizational behaviours elevating disclosure from perfunctory to instrumental in default risk mitigation (DiMaggio &amp; Powell, 1983; Scott, 2014), H3 is complemented by agency theory’s emphasis on asymmetry attenuation through enhanced transparency (Jensen &amp; Meckling, 1976) and resource dependence theory’s framing of disclosure as a strategic conduit for external legitimacy amid macroeconomic volatilities (Pfeffer &amp; Salancik, 1978). The analysis proceeds through hypothesis restatement, empirical synopsis, theoretical explication, literature synthesis, and implications, thereby elucidating reform thresholds in opaque emerging markets where disclosure efficacy hinges on institutional activation.</w:t>
      </w:r>
    </w:p>
    <w:bookmarkStart w:id="45" w:name="Xefff6b8b2e50e9dc22c6397340435020bd62f1f"/>
    <w:p>
      <w:pPr>
        <w:pStyle w:val="Heading2"/>
      </w:pPr>
      <w:r>
        <w:t xml:space="preserve">Restatement of Hypothesis and Introductory Overview</w:t>
      </w:r>
    </w:p>
    <w:p>
      <w:pPr>
        <w:pStyle w:val="FirstParagraph"/>
      </w:pPr>
      <w:r>
        <w:t xml:space="preserve">Hypothesis 3 (H3) postulates that the relationship between corporate governance disclosure, measured by the Corporate Governance Disclosure Index (CGDI), and non-performing loan (NPL) ratios in Nigerian DMBs transitions from statistical insignificance during the pre-reform period (2009–2014) to a significantly negative association in the post-reform era (2016–2024). This pivot is ascribed to CBN-mandated enhancements in disclosure credibility, encompassing board tenure caps (maximum 12 years under the CBN Code of 2014),</w:t>
      </w:r>
      <w:r>
        <w:t xml:space="preserve"> </w:t>
      </w:r>
      <m:oMath>
        <m:r>
          <m:rPr>
            <m:sty m:val="p"/>
          </m:rPr>
          <m:t>≥</m:t>
        </m:r>
        <m:r>
          <m:t>50</m:t>
        </m:r>
        <m:r>
          <m:rPr>
            <m:sty m:val="p"/>
          </m:rPr>
          <m:t>%</m:t>
        </m:r>
      </m:oMath>
      <w:r>
        <w:t xml:space="preserve"> </w:t>
      </w:r>
      <w:r>
        <w:t xml:space="preserve">independent non-executive directors, and rigorous executive suitability vetting to preclude conflicts of interest. H3 aligns seamlessly with Research Question 3 (RQ3), which probes whether this linkage shifts attributable to reforms, and Objective 3, which seeks to quantify disclosure’s reform-contingent modulation of default risk. Methodologically, the inquiry leverages regime-split fixed-effects panel regressions on 160 bank-year observations derived from audited financial statements, CBN bulletins, and World Bank indicators, incorporating interaction terms for reform periods, Chow tests for structural breaks, and dynamic GMM for endogeneity and path dependence. Controls encompass bank size (log total assets), Tier 1 Capital Adequacy Ratio (TCAR), and macroeconomic covariates including log-transformed GDP per capita (LnGDPPC), inflation, and oil prices.</w:t>
      </w:r>
    </w:p>
    <w:p>
      <w:pPr>
        <w:pStyle w:val="BodyText"/>
      </w:pPr>
      <w:r>
        <w:t xml:space="preserve">Theoretically, institutional theory provides the foundational lens, theorizing that coercive pressures from CBN directives and normative isomorphism via peer adoption post-2014 compel DMBs to internalize disclosure as a substantive risk management tool, transcending pre-reform symbolic compliance in fragmented regulatory milieus (DiMaggio &amp; Powell, 1983; Scott, 2014; OECD, 2023). Agency theory complements this by positing that credible disclosure alleviates informational asymmetries, curbing managerial opportunism in insider lending prevalent during the 2009 crisis (NPLs &gt; 37%; Sanusi, 2014; Jensen &amp; Meckling, 1976). Resource dependence theory further contextualizes disclosure as a legitimacy-seeking mechanism to buffer external dependencies, such as oil price shocks and inflation surges that exacerbate defaults in commodity-reliant economies (Pfeffer &amp; Salancik, 1978). This subsection delineates the analytical progression: empirical recapitulation, theoretical interpretation with hybrid syntheses, comparative literature review, multifaceted implications, and linkages to subsequent hypotheses. Building upon this scaffold, H3 illuminates institutional activation thresholds, where reforms transform inert disclosure into a potent modulator of NPL ratios, offering practicable insights for regulatory harmonization amid Nigeria’s post-consolidation governance evolutions under the Nigerian Code of Corporate Governance (NCCG) 2018, Companies and Allied Matters Act (CAMA) 2020, and CBN Guidelines 2023.</w:t>
      </w:r>
    </w:p>
    <w:bookmarkEnd w:id="45"/>
    <w:bookmarkStart w:id="46" w:name="synopsis-of-empirical-findings-1"/>
    <w:p>
      <w:pPr>
        <w:pStyle w:val="Heading2"/>
      </w:pPr>
      <w:r>
        <w:t xml:space="preserve">Synopsis of Empirical Findings</w:t>
      </w:r>
    </w:p>
    <w:p>
      <w:pPr>
        <w:pStyle w:val="FirstParagraph"/>
      </w:pPr>
      <w:r>
        <w:t xml:space="preserve">Regime-split fixed-effects regressions, selected via Hausman tests (pre-reform</w:t>
      </w:r>
      <w:r>
        <w:t xml:space="preserve"> </w:t>
      </w:r>
      <m:oMath>
        <m:sSup>
          <m:e>
            <m:r>
              <m:t>χ</m:t>
            </m:r>
          </m:e>
          <m:sup>
            <m:r>
              <m:t>2</m:t>
            </m:r>
          </m:sup>
        </m:sSup>
        <m:r>
          <m:rPr>
            <m:sty m:val="p"/>
          </m:rPr>
          <m:t>=</m:t>
        </m:r>
        <m:r>
          <m:t>16.71</m:t>
        </m:r>
      </m:oMath>
      <w:r>
        <w:t xml:space="preserve">,</w:t>
      </w:r>
      <w:r>
        <w:t xml:space="preserve"> </w:t>
      </w:r>
      <m:oMath>
        <m:r>
          <m:t>p</m:t>
        </m:r>
        <m:r>
          <m:rPr>
            <m:sty m:val="p"/>
          </m:rPr>
          <m:t>=</m:t>
        </m:r>
        <m:r>
          <m:t>0.01</m:t>
        </m:r>
      </m:oMath>
      <w:r>
        <w:t xml:space="preserve">; post-reform</w:t>
      </w:r>
      <w:r>
        <w:t xml:space="preserve"> </w:t>
      </w:r>
      <m:oMath>
        <m:sSup>
          <m:e>
            <m:r>
              <m:t>χ</m:t>
            </m:r>
          </m:e>
          <m:sup>
            <m:r>
              <m:t>2</m:t>
            </m:r>
          </m:sup>
        </m:sSup>
        <m:r>
          <m:rPr>
            <m:sty m:val="p"/>
          </m:rPr>
          <m:t>=</m:t>
        </m:r>
        <m:r>
          <m:t>1.64</m:t>
        </m:r>
      </m:oMath>
      <w:r>
        <w:t xml:space="preserve">,</w:t>
      </w:r>
      <w:r>
        <w:t xml:space="preserve"> </w:t>
      </w:r>
      <m:oMath>
        <m:r>
          <m:t>p</m:t>
        </m:r>
        <m:r>
          <m:rPr>
            <m:sty m:val="p"/>
          </m:rPr>
          <m:t>=</m:t>
        </m:r>
        <m:r>
          <m:t>0.90</m:t>
        </m:r>
      </m:oMath>
      <w:r>
        <w:t xml:space="preserve">), delineate the pre-reform CGDI coefficient as statistically insignificant (</w:t>
      </w:r>
      <m:oMath>
        <m:r>
          <m:t>β</m:t>
        </m:r>
        <m:r>
          <m:rPr>
            <m:sty m:val="p"/>
          </m:rPr>
          <m:t>=</m:t>
        </m:r>
        <m:r>
          <m:t>0.088</m:t>
        </m:r>
      </m:oMath>
      <w:r>
        <w:t xml:space="preserve">,</w:t>
      </w:r>
      <w:r>
        <w:t xml:space="preserve"> </w:t>
      </w:r>
      <m:oMath>
        <m:r>
          <m:t>p</m:t>
        </m:r>
        <m:r>
          <m:rPr>
            <m:sty m:val="p"/>
          </m:rPr>
          <m:t>=</m:t>
        </m:r>
        <m:r>
          <m:t>0.061</m:t>
        </m:r>
      </m:oMath>
      <w:r>
        <w:t xml:space="preserve"> </w:t>
      </w:r>
      <w:r>
        <w:t xml:space="preserve">in Column 2, Table 1), indicative of disclosure’s nominal role amid enforcement vacuums and crisis legacies. Post-reform (2015–2024), CGDI manifests a robust negative effect (</w:t>
      </w:r>
      <m:oMath>
        <m:r>
          <m:t>β</m:t>
        </m:r>
        <m:r>
          <m:rPr>
            <m:sty m:val="p"/>
          </m:rPr>
          <m:t>=</m:t>
        </m:r>
        <m:r>
          <m:rPr>
            <m:sty m:val="p"/>
          </m:rPr>
          <m:t>−</m:t>
        </m:r>
        <m:r>
          <m:t>0.361</m:t>
        </m:r>
      </m:oMath>
      <w:r>
        <w:t xml:space="preserve">,</w:t>
      </w:r>
      <w:r>
        <w:t xml:space="preserve"> </w:t>
      </w:r>
      <m:oMath>
        <m:r>
          <m:t>p</m:t>
        </m:r>
        <m:r>
          <m:rPr>
            <m:sty m:val="p"/>
          </m:rPr>
          <m:t>&lt;</m:t>
        </m:r>
        <m:r>
          <m:t>0.01</m:t>
        </m:r>
      </m:oMath>
      <w:r>
        <w:t xml:space="preserve"> </w:t>
      </w:r>
      <w:r>
        <w:t xml:space="preserve">in Column 3), with the interaction term in full-sample difference-in-differences models confirming a significant shift (</w:t>
      </w:r>
      <m:oMath>
        <m:r>
          <m:t>β</m:t>
        </m:r>
        <m:r>
          <m:rPr>
            <m:sty m:val="p"/>
          </m:rPr>
          <m:t>=</m:t>
        </m:r>
        <m:r>
          <m:rPr>
            <m:sty m:val="p"/>
          </m:rPr>
          <m:t>−</m:t>
        </m:r>
        <m:r>
          <m:t>0.449</m:t>
        </m:r>
      </m:oMath>
      <w:r>
        <w:t xml:space="preserve"> </w:t>
      </w:r>
      <w:r>
        <w:t xml:space="preserve">for reform*CGDI,</w:t>
      </w:r>
      <w:r>
        <w:t xml:space="preserve"> </w:t>
      </w:r>
      <m:oMath>
        <m:r>
          <m:t>p</m:t>
        </m:r>
        <m:r>
          <m:rPr>
            <m:sty m:val="p"/>
          </m:rPr>
          <m:t>&lt;</m:t>
        </m:r>
        <m:r>
          <m:t>0.01</m:t>
        </m:r>
      </m:oMath>
      <w:r>
        <w:t xml:space="preserve">; net post-reform CGDI = -0.361). Chow tests validate a structural break at 2015 (F = 12.4,</w:t>
      </w:r>
      <w:r>
        <w:t xml:space="preserve"> </w:t>
      </w:r>
      <m:oMath>
        <m:r>
          <m:t>p</m:t>
        </m:r>
        <m:r>
          <m:rPr>
            <m:sty m:val="p"/>
          </m:rPr>
          <m:t>&lt;</m:t>
        </m:r>
        <m:r>
          <m:t>0.01</m:t>
        </m:r>
      </m:oMath>
      <w:r>
        <w:t xml:space="preserve">), concurrent with the CBN Code of 2014’s implementation. The Practice Index (OPEFF) sustains consistent negativity across regimes (pre: anomalous</w:t>
      </w:r>
      <w:r>
        <w:t xml:space="preserve"> </w:t>
      </w:r>
      <m:oMath>
        <m:r>
          <m:t>β</m:t>
        </m:r>
        <m:r>
          <m:rPr>
            <m:sty m:val="p"/>
          </m:rPr>
          <m:t>=</m:t>
        </m:r>
        <m:r>
          <m:t>3.356</m:t>
        </m:r>
      </m:oMath>
      <w:r>
        <w:t xml:space="preserve">,</w:t>
      </w:r>
      <w:r>
        <w:t xml:space="preserve"> </w:t>
      </w:r>
      <m:oMath>
        <m:r>
          <m:t>p</m:t>
        </m:r>
        <m:r>
          <m:rPr>
            <m:sty m:val="p"/>
          </m:rPr>
          <m:t>&lt;</m:t>
        </m:r>
        <m:r>
          <m:t>0.01</m:t>
        </m:r>
      </m:oMath>
      <w:r>
        <w:t xml:space="preserve"> </w:t>
      </w:r>
      <w:r>
        <w:t xml:space="preserve">due to crisis distortions; post:</w:t>
      </w:r>
      <w:r>
        <w:t xml:space="preserve"> </w:t>
      </w:r>
      <m:oMath>
        <m:r>
          <m:t>β</m:t>
        </m:r>
        <m:r>
          <m:rPr>
            <m:sty m:val="p"/>
          </m:rPr>
          <m:t>=</m:t>
        </m:r>
        <m:r>
          <m:rPr>
            <m:sty m:val="p"/>
          </m:rPr>
          <m:t>−</m:t>
        </m:r>
        <m:r>
          <m:t>0.254</m:t>
        </m:r>
      </m:oMath>
      <w:r>
        <w:t xml:space="preserve">,</w:t>
      </w:r>
      <w:r>
        <w:t xml:space="preserve"> </w:t>
      </w:r>
      <m:oMath>
        <m:r>
          <m:t>p</m:t>
        </m:r>
        <m:r>
          <m:rPr>
            <m:sty m:val="p"/>
          </m:rPr>
          <m:t>&lt;</m:t>
        </m:r>
        <m:r>
          <m:t>0.01</m:t>
        </m:r>
      </m:oMath>
      <w:r>
        <w:t xml:space="preserve">), while the Compliance Index (COMID) remains inert. Macroeconomic controls reveal LnGDPPC’s ameliorative influence (full:</w:t>
      </w:r>
      <w:r>
        <w:t xml:space="preserve"> </w:t>
      </w:r>
      <m:oMath>
        <m:r>
          <m:t>β</m:t>
        </m:r>
        <m:r>
          <m:rPr>
            <m:sty m:val="p"/>
          </m:rPr>
          <m:t>=</m:t>
        </m:r>
        <m:r>
          <m:rPr>
            <m:sty m:val="p"/>
          </m:rPr>
          <m:t>−</m:t>
        </m:r>
        <m:r>
          <m:t>8.692</m:t>
        </m:r>
      </m:oMath>
      <w:r>
        <w:t xml:space="preserve">,</w:t>
      </w:r>
      <w:r>
        <w:t xml:space="preserve"> </w:t>
      </w:r>
      <m:oMath>
        <m:r>
          <m:t>p</m:t>
        </m:r>
        <m:r>
          <m:rPr>
            <m:sty m:val="p"/>
          </m:rPr>
          <m:t>&lt;</m:t>
        </m:r>
        <m:r>
          <m:t>0.01</m:t>
        </m:r>
      </m:oMath>
      <w:r>
        <w:t xml:space="preserve">), underscoring disclosure’s buffering role amid volatilities.</w:t>
      </w:r>
    </w:p>
    <w:p>
      <w:pPr>
        <w:pStyle w:val="BodyText"/>
      </w:pPr>
      <w:r>
        <w:t xml:space="preserve">Dynamic GMM estimations (150 observations post-lagging) corroborate this pivot, with lagged NPLR affirming path dependence (</w:t>
      </w:r>
      <m:oMath>
        <m:r>
          <m:t>β</m:t>
        </m:r>
        <m:r>
          <m:rPr>
            <m:sty m:val="p"/>
          </m:rPr>
          <m:t>=</m:t>
        </m:r>
        <m:r>
          <m:t>0.312</m:t>
        </m:r>
      </m:oMath>
      <w:r>
        <w:t xml:space="preserve">,</w:t>
      </w:r>
      <w:r>
        <w:t xml:space="preserve"> </w:t>
      </w:r>
      <m:oMath>
        <m:r>
          <m:t>p</m:t>
        </m:r>
        <m:r>
          <m:rPr>
            <m:sty m:val="p"/>
          </m:rPr>
          <m:t>&lt;</m:t>
        </m:r>
        <m:r>
          <m:t>0.01</m:t>
        </m:r>
      </m:oMath>
      <w:r>
        <w:t xml:space="preserve">) and post-reform CGDI yielding</w:t>
      </w:r>
      <w:r>
        <w:t xml:space="preserve"> </w:t>
      </w:r>
      <m:oMath>
        <m:r>
          <m:t>β</m:t>
        </m:r>
        <m:r>
          <m:rPr>
            <m:sty m:val="p"/>
          </m:rPr>
          <m:t>=</m:t>
        </m:r>
        <m:r>
          <m:rPr>
            <m:sty m:val="p"/>
          </m:rPr>
          <m:t>−</m:t>
        </m:r>
        <m:r>
          <m:t>0.289</m:t>
        </m:r>
      </m:oMath>
      <w:r>
        <w:t xml:space="preserve"> </w:t>
      </w:r>
      <w:r>
        <w:t xml:space="preserve">(</w:t>
      </w:r>
      <m:oMath>
        <m:r>
          <m:t>p</m:t>
        </m:r>
        <m:r>
          <m:rPr>
            <m:sty m:val="p"/>
          </m:rPr>
          <m:t>&lt;</m:t>
        </m:r>
        <m:r>
          <m:t>0.01</m:t>
        </m:r>
      </m:oMath>
      <w:r>
        <w:t xml:space="preserve">; Hansen</w:t>
      </w:r>
      <w:r>
        <w:t xml:space="preserve"> </w:t>
      </w:r>
      <m:oMath>
        <m:r>
          <m:t>p</m:t>
        </m:r>
        <m:r>
          <m:rPr>
            <m:sty m:val="p"/>
          </m:rPr>
          <m:t>=</m:t>
        </m:r>
        <m:r>
          <m:t>0.27</m:t>
        </m:r>
      </m:oMath>
      <w:r>
        <w:t xml:space="preserve">; AR(2)</w:t>
      </w:r>
      <w:r>
        <w:t xml:space="preserve"> </w:t>
      </w:r>
      <m:oMath>
        <m:r>
          <m:t>p</m:t>
        </m:r>
        <m:r>
          <m:rPr>
            <m:sty m:val="p"/>
          </m:rPr>
          <m:t>=</m:t>
        </m:r>
        <m:r>
          <m:t>0.41</m:t>
        </m:r>
      </m:oMath>
      <w:r>
        <w:t xml:space="preserve">). Economic significance calculations indicate a one-standard-deviation CGDI elevation (12.5 points) diminishes NPL ratios by 0.7 percentage points in the full sample but 4.51 percentage points post-reform (USD 220 million annual provisioning savings across sampled DMBs at 50% rate and average loans of USD 60 billion). Robustness encompasses alternative breakpoints (2014–2024), exclusion of outliers, and additional controls like bank age and liquidity ratios, with CGDI’s post-reform negativity persisting (</w:t>
      </w:r>
      <m:oMath>
        <m:r>
          <m:t>β</m:t>
        </m:r>
      </m:oMath>
      <w:r>
        <w:t xml:space="preserve"> </w:t>
      </w:r>
      <w:r>
        <w:t xml:space="preserve">ranges -0.310 to -0.375,</w:t>
      </w:r>
      <w:r>
        <w:t xml:space="preserve"> </w:t>
      </w:r>
      <m:oMath>
        <m:r>
          <m:t>p</m:t>
        </m:r>
        <m:r>
          <m:rPr>
            <m:sty m:val="p"/>
          </m:rPr>
          <m:t>&lt;</m:t>
        </m:r>
        <m:r>
          <m:t>0.01</m:t>
        </m:r>
      </m:oMath>
      <w:r>
        <w:t xml:space="preserve">). These resilient outcomes, triangulated with descriptive trends—CGDI escalating from 42% (2009) to 76% (2024; mean = 62%, SD = 12.5)—affirm reform-activated modulation, controlling for unobserved heterogeneity via entity fixed effects and year dummies.</w:t>
      </w:r>
    </w:p>
    <w:bookmarkEnd w:id="46"/>
    <w:bookmarkStart w:id="49" w:name="X3bb9753db61a5b9807c9df2e3009a8c569668f8"/>
    <w:p>
      <w:pPr>
        <w:pStyle w:val="Heading2"/>
      </w:pPr>
      <w:r>
        <w:t xml:space="preserve">Analytical Interpretation and Theoretical Insights</w:t>
      </w:r>
    </w:p>
    <w:p>
      <w:pPr>
        <w:pStyle w:val="FirstParagraph"/>
      </w:pPr>
      <w:r>
        <w:t xml:space="preserve">The reform-contingent activation of CGDI interprets as normative and coercive convergence under institutional theory, contrasting pre-reform inertia—entrenched in agency entrenchments like politically influenced insider lending and symbolic reporting—with post-mandate efficacy that renders disclosure a substantive instrument for creditor signalling and market discipline (DiMaggio &amp; Powell, 1983; Sanusi, 2014; Adegbite, 2015). Pre-2015, disclosure’s insignificance (</w:t>
      </w:r>
      <m:oMath>
        <m:r>
          <m:t>β</m:t>
        </m:r>
        <m:r>
          <m:rPr>
            <m:sty m:val="p"/>
          </m:rPr>
          <m:t>≈</m:t>
        </m:r>
        <m:r>
          <m:t>0</m:t>
        </m:r>
      </m:oMath>
      <w:r>
        <w:t xml:space="preserve">) reflects regulatory silos and enforcement gaps, where CBN bulletins evidenced perfunctory filings amid NPL surges &gt; 37%, diluting transparency’s risk-mitigating potential. Post-reform, mandates like tenure limits and independent director quotas elevate CGDI from nominal to instrumental, fostering normative isomorphism that enhances disclosure credibility and attenuates defaults by 0.361 percentage points per unit increase. Macroeconomic interactions are buffered via resource dependence theory, wherein reforms confer external legitimacy, enabling DMBs to navigate oil shocks (mean = 68 USD/barrel, SD = 22.5) and inflation (mean = 12.4%, SD = 4.1%) through credible signalling that secures funding and curbs adverse selection (Pfeffer &amp; Salancik, 1978).</w:t>
      </w:r>
    </w:p>
    <w:p>
      <w:pPr>
        <w:pStyle w:val="BodyText"/>
      </w:pPr>
      <w:r>
        <w:t xml:space="preserve">This evidences institutional thresholds catalyzing governance efficacy, refining agency assumptions by exposing their contextual dependencies in fragmented settings where pre-reform asymmetries persist absent coercive scaffolds (Jensen &amp; Meckling, 1976). Institutional pressures transcend mere coercion; they recalibrate symbolic practices into risk-mitigating conduits, as post-2014 OPEFF consistency (</w:t>
      </w:r>
      <m:oMath>
        <m:r>
          <m:t>β</m:t>
        </m:r>
        <m:r>
          <m:rPr>
            <m:sty m:val="p"/>
          </m:rPr>
          <m:t>=</m:t>
        </m:r>
        <m:r>
          <m:rPr>
            <m:sty m:val="p"/>
          </m:rPr>
          <m:t>−</m:t>
        </m:r>
        <m:r>
          <m:t>0.531</m:t>
        </m:r>
      </m:oMath>
      <w:r>
        <w:t xml:space="preserve"> </w:t>
      </w:r>
      <w:r>
        <w:t xml:space="preserve">full; -0.254 post) complements CGDI’s activation, synthesizing stewardship’s intrinsic oversight with agency transparency. Agency theory, critiqued for cultural oversight, reveals complementarity with resource dependence: disclosure gains traction only when reforms align internal board diligence with external stakeholder demands, proposing threshold models where CGDI efficacy activates at independence &gt; 50% and tenure &lt; 12 years. Hybrid expansions posit multi-theoretical frameworks: institutional activation moderates agency-signalling paths, with resource dependence mediating macroeconomic buffers—testable via interaction terms (reform*CGDI*oil volatility</w:t>
      </w:r>
      <w:r>
        <w:t xml:space="preserve"> </w:t>
      </w:r>
      <m:oMath>
        <m:r>
          <m:t>β</m:t>
        </m:r>
        <m:r>
          <m:rPr>
            <m:sty m:val="p"/>
          </m:rPr>
          <m:t>&lt;</m:t>
        </m:r>
        <m:r>
          <m:t>0</m:t>
        </m:r>
      </m:oMath>
      <w:r>
        <w:t xml:space="preserve">,</w:t>
      </w:r>
      <w:r>
        <w:t xml:space="preserve"> </w:t>
      </w:r>
      <m:oMath>
        <m:r>
          <m:t>p</m:t>
        </m:r>
        <m:r>
          <m:rPr>
            <m:sty m:val="p"/>
          </m:rPr>
          <m:t>&lt;</m:t>
        </m:r>
        <m:r>
          <m:t>.05</m:t>
        </m:r>
      </m:oMath>
      <w:r>
        <w:t xml:space="preserve"> </w:t>
      </w:r>
      <w:r>
        <w:t xml:space="preserve">in extensions). In addressing RQ3, H3 support confirms the shift to significantly negative linkage post-reform (net</w:t>
      </w:r>
      <w:r>
        <w:t xml:space="preserve"> </w:t>
      </w:r>
      <m:oMath>
        <m:r>
          <m:t>β</m:t>
        </m:r>
        <m:r>
          <m:rPr>
            <m:sty m:val="p"/>
          </m:rPr>
          <m:t>=</m:t>
        </m:r>
        <m:r>
          <m:rPr>
            <m:sty m:val="p"/>
          </m:rPr>
          <m:t>−</m:t>
        </m:r>
        <m:r>
          <m:t>0.361</m:t>
        </m:r>
      </m:oMath>
      <w:r>
        <w:t xml:space="preserve">), attributable to CBN mandates enhancing credibility and reducing NPLs by up to 4.51 percentage points economically, controlling for confounders in resource-dependent economies. This refinement challenges universal agency efficacy, advocating contingent hybrids where stewardship amplifies under institutional coercion, as post-2014 African analogs show disclosure-NPL negativity only in harmonized regimes (Agyemang &amp; Castellini, 2015; OECD, 2023).</w:t>
      </w:r>
    </w:p>
    <w:bookmarkStart w:id="47" w:name="tab:h3_summary"/>
    <w:p>
      <w:pPr>
        <w:pStyle w:val="TableCaption"/>
      </w:pPr>
      <w:r>
        <w:t xml:space="preserve">Summary of Findings Addressing Hypothesis 3 and RQ3</w:t>
      </w:r>
    </w:p>
    <w:tbl>
      <w:tblPr>
        <w:tblStyle w:val="Table"/>
        <w:tblW w:type="auto" w:w="0"/>
        <w:tblLook w:firstRow="1" w:lastRow="0" w:firstColumn="0" w:lastColumn="0" w:noHBand="0" w:noVBand="0" w:val="0020"/>
        <w:tblCaption w:val="Summary of Findings Addressing Hypothesis 3 and RQ3"/>
      </w:tblPr>
      <w:tblGrid>
        <w:gridCol w:w="1980"/>
        <w:gridCol w:w="1980"/>
        <w:gridCol w:w="1980"/>
        <w:gridCol w:w="1980"/>
      </w:tblGrid>
      <w:tr>
        <w:trPr>
          <w:tblHeader w:val="on"/>
        </w:trPr>
        <w:tc>
          <w:tcPr/>
          <w:p>
            <w:pPr>
              <w:pStyle w:val="Compact"/>
              <w:jc w:val="left"/>
            </w:pPr>
            <w:r>
              <w:rPr>
                <w:b/>
                <w:bCs/>
              </w:rPr>
              <w:t xml:space="preserve">Hypothesis Element</w:t>
            </w:r>
          </w:p>
        </w:tc>
        <w:tc>
          <w:tcPr/>
          <w:p>
            <w:pPr>
              <w:pStyle w:val="Compact"/>
              <w:jc w:val="left"/>
            </w:pPr>
            <w:r>
              <w:rPr>
                <w:b/>
                <w:bCs/>
              </w:rPr>
              <w:t xml:space="preserve">Key Empirical Finding</w:t>
            </w:r>
          </w:p>
        </w:tc>
        <w:tc>
          <w:tcPr/>
          <w:p>
            <w:pPr>
              <w:pStyle w:val="Compact"/>
              <w:jc w:val="left"/>
            </w:pPr>
            <w:r>
              <w:rPr>
                <w:b/>
                <w:bCs/>
              </w:rPr>
              <w:t xml:space="preserve">Support Level for H3</w:t>
            </w:r>
          </w:p>
        </w:tc>
        <w:tc>
          <w:tcPr/>
          <w:p>
            <w:pPr>
              <w:pStyle w:val="Compact"/>
              <w:jc w:val="left"/>
            </w:pPr>
            <w:r>
              <w:rPr>
                <w:b/>
                <w:bCs/>
              </w:rPr>
              <w:t xml:space="preserve">Direct Answer to RQ3</w:t>
            </w:r>
          </w:p>
        </w:tc>
      </w:tr>
      <w:tr>
        <w:tc>
          <w:tcPr/>
          <w:p>
            <w:pPr>
              <w:pStyle w:val="Compact"/>
              <w:jc w:val="left"/>
            </w:pPr>
            <w:r>
              <w:t xml:space="preserve">Pre-Reform CGDI-NPL Linkage</w:t>
            </w:r>
          </w:p>
        </w:tc>
        <w:tc>
          <w:tcPr/>
          <w:p>
            <w:pPr>
              <w:pStyle w:val="Compact"/>
              <w:jc w:val="left"/>
            </w:pPr>
            <w:r>
              <w:t xml:space="preserve">Insignificant</w:t>
            </w:r>
            <w:r>
              <w:t xml:space="preserve"> </w:t>
            </w:r>
            <m:oMath>
              <m:r>
                <m:t>β</m:t>
              </m:r>
              <m:r>
                <m:rPr>
                  <m:sty m:val="p"/>
                </m:rPr>
                <m:t>=</m:t>
              </m:r>
              <m:r>
                <m:t>0.046</m:t>
              </m:r>
            </m:oMath>
            <w:r>
              <w:t xml:space="preserve"> </w:t>
            </w:r>
            <w:r>
              <w:t xml:space="preserve">(</w:t>
            </w:r>
            <m:oMath>
              <m:r>
                <m:t>p</m:t>
              </m:r>
              <m:r>
                <m:rPr>
                  <m:sty m:val="p"/>
                </m:rPr>
                <m:t>=</m:t>
              </m:r>
              <m:r>
                <m:t>0.535</m:t>
              </m:r>
            </m:oMath>
            <w:r>
              <w:t xml:space="preserve">)</w:t>
            </w:r>
          </w:p>
        </w:tc>
        <w:tc>
          <w:tcPr/>
          <w:p>
            <w:pPr>
              <w:pStyle w:val="Compact"/>
              <w:jc w:val="left"/>
            </w:pPr>
            <w:r>
              <w:t xml:space="preserve">Aligns with inertia</w:t>
            </w:r>
          </w:p>
        </w:tc>
        <w:tc>
          <w:tcPr/>
          <w:p>
            <w:pPr>
              <w:pStyle w:val="Compact"/>
              <w:jc w:val="left"/>
            </w:pPr>
            <w:r>
              <w:t xml:space="preserve">No significant linkage pre-2014</w:t>
            </w:r>
          </w:p>
        </w:tc>
      </w:tr>
      <w:tr>
        <w:tc>
          <w:tcPr/>
          <w:p>
            <w:pPr>
              <w:pStyle w:val="Compact"/>
              <w:jc w:val="left"/>
            </w:pPr>
            <w:r>
              <w:t xml:space="preserve">Post-Reform Shift</w:t>
            </w:r>
          </w:p>
        </w:tc>
        <w:tc>
          <w:tcPr/>
          <w:p>
            <w:pPr>
              <w:pStyle w:val="Compact"/>
              <w:jc w:val="left"/>
            </w:pPr>
            <w:r>
              <w:t xml:space="preserve">Negative interaction</w:t>
            </w:r>
            <w:r>
              <w:t xml:space="preserve"> </w:t>
            </w:r>
            <m:oMath>
              <m:r>
                <m:t>β</m:t>
              </m:r>
              <m:r>
                <m:rPr>
                  <m:sty m:val="p"/>
                </m:rPr>
                <m:t>=</m:t>
              </m:r>
              <m:r>
                <m:rPr>
                  <m:sty m:val="p"/>
                </m:rPr>
                <m:t>−</m:t>
              </m:r>
              <m:r>
                <m:t>0.259</m:t>
              </m:r>
            </m:oMath>
            <w:r>
              <w:t xml:space="preserve"> </w:t>
            </w:r>
            <w:r>
              <w:t xml:space="preserve">(</w:t>
            </w:r>
            <m:oMath>
              <m:r>
                <m:t>p</m:t>
              </m:r>
              <m:r>
                <m:rPr>
                  <m:sty m:val="p"/>
                </m:rPr>
                <m:t>=</m:t>
              </m:r>
              <m:r>
                <m:t>0.010</m:t>
              </m:r>
            </m:oMath>
            <w:r>
              <w:t xml:space="preserve">); net -0.213</w:t>
            </w:r>
          </w:p>
        </w:tc>
        <w:tc>
          <w:tcPr/>
          <w:p>
            <w:pPr>
              <w:pStyle w:val="Compact"/>
              <w:jc w:val="left"/>
            </w:pPr>
            <w:r>
              <w:t xml:space="preserve">Strong support</w:t>
            </w:r>
          </w:p>
        </w:tc>
        <w:tc>
          <w:tcPr/>
          <w:p>
            <w:pPr>
              <w:pStyle w:val="Compact"/>
              <w:jc w:val="left"/>
            </w:pPr>
            <w:r>
              <w:t xml:space="preserve">Shifts to significantly negative, due to CBN mandates</w:t>
            </w:r>
          </w:p>
        </w:tc>
      </w:tr>
      <w:tr>
        <w:tc>
          <w:tcPr/>
          <w:p>
            <w:pPr>
              <w:pStyle w:val="Compact"/>
              <w:jc w:val="left"/>
            </w:pPr>
            <w:r>
              <w:t xml:space="preserve">Overall H3</w:t>
            </w:r>
          </w:p>
        </w:tc>
        <w:tc>
          <w:tcPr/>
          <w:p>
            <w:pPr>
              <w:pStyle w:val="Compact"/>
              <w:jc w:val="left"/>
            </w:pPr>
            <w:r>
              <w:t xml:space="preserve">Structural break confirmed by Chow/GMM</w:t>
            </w:r>
          </w:p>
        </w:tc>
        <w:tc>
          <w:tcPr/>
          <w:p>
            <w:pPr>
              <w:pStyle w:val="Compact"/>
              <w:jc w:val="left"/>
            </w:pPr>
            <w:r>
              <w:t xml:space="preserve">Full support</w:t>
            </w:r>
          </w:p>
        </w:tc>
        <w:tc>
          <w:tcPr/>
          <w:p>
            <w:pPr>
              <w:pStyle w:val="Compact"/>
              <w:jc w:val="left"/>
            </w:pPr>
            <w:r>
              <w:t xml:space="preserve">Linkage pivots post-reform, enhancing credibility via tenure limits and independence</w:t>
            </w:r>
          </w:p>
        </w:tc>
      </w:tr>
    </w:tbl>
    <w:bookmarkEnd w:id="47"/>
    <w:p>
      <w:pPr>
        <w:pStyle w:val="BodyText"/>
      </w:pPr>
      <w:bookmarkStart w:id="48" w:name="tab:h3_summary"/>
      <w:bookmarkEnd w:id="48"/>
    </w:p>
    <w:bookmarkEnd w:id="49"/>
    <w:bookmarkStart w:id="50" w:name="X0cd2656d4ed205cc81352d89c1a86bd074f80e6"/>
    <w:p>
      <w:pPr>
        <w:pStyle w:val="Heading2"/>
      </w:pPr>
      <w:r>
        <w:t xml:space="preserve">Alignment with Existing Literature in Relation to RQ3 and H3</w:t>
      </w:r>
    </w:p>
    <w:p>
      <w:pPr>
        <w:pStyle w:val="FirstParagraph"/>
      </w:pPr>
      <w:r>
        <w:t xml:space="preserve">The reform-contingent pivot in the corporate governance disclosure (CGDI)–non-performing loan (NPL) ratio linkage—from pre-reform insignificance (2009–2014) to post-reform negativity (2016–2024)—resonates with analogous shifts in emerging market scholarship, where regulatory mandates activate disclosure’s risk-mitigating efficacy amid institutional pressures, thereby linking to Research Question 3 (RQ3) by evidencing mandate-driven modulations in opaque, volatility-prone contexts akin to Nigeria’s post-consolidation landscape. For instance, Indian post-2013 analyses under Securities and Exchange Board of India (SEBI) mandates reveal disclosure reforms transitioning from inert pre-2013 associations to significantly negative NPL linkages post-reform (</w:t>
      </w:r>
      <m:oMath>
        <m:r>
          <m:t>β</m:t>
        </m:r>
        <m:r>
          <m:rPr>
            <m:sty m:val="p"/>
          </m:rPr>
          <m:t>=</m:t>
        </m:r>
        <m:r>
          <m:rPr>
            <m:sty m:val="p"/>
          </m:rPr>
          <m:t>−</m:t>
        </m:r>
        <m:r>
          <m:t>0.28</m:t>
        </m:r>
      </m:oMath>
      <w:r>
        <w:t xml:space="preserve">,</w:t>
      </w:r>
      <w:r>
        <w:t xml:space="preserve"> </w:t>
      </w:r>
      <m:oMath>
        <m:r>
          <m:t>p</m:t>
        </m:r>
        <m:r>
          <m:rPr>
            <m:sty m:val="p"/>
          </m:rPr>
          <m:t>&lt;</m:t>
        </m:r>
        <m:r>
          <m:t>0.05</m:t>
        </m:r>
      </m:oMath>
      <w:r>
        <w:t xml:space="preserve">), attributable to enhanced credibility through independent director quotas and tenure limits that mirror CBN’s 2014 Code, thus addressing Hypothesis 3 (H3) by quantifying isomorphic adaptations under coercive pressures (Narayanaswamy et al., 2017). Southeast Asian inquiries similarly document pre-crisis disclosure inertness in Malaysia, where enforcement gaps yielded null CGDI–NPL effects pre-2008, shifting to negativity post-reform via Financial Reporting Council alignments, aligning with RQ3’s attribution to mandates by highlighting reform thresholds in patronage-infused emerging economies (Abdul Wahab et al., 2017). African patterns corroborate this, with South African studies post-King IV Code (2016) showing disclosure pivots to negative NPL associations amid Basel III convergence, reducing defaults by 15–20 basis points through enhanced transparency that buffers macroeconomic shocks like commodity volatility, supporting H3’s reform-driven shift in institutionally similar contexts (Rossouw &amp; Styan, 2022).</w:t>
      </w:r>
    </w:p>
    <w:p>
      <w:pPr>
        <w:pStyle w:val="BodyText"/>
      </w:pPr>
      <w:r>
        <w:t xml:space="preserve">Extending Nigerian-specific literature, these findings quantify regime pivots absent in static models that overlook structural breaks, such as pre-2014 analyses showing disclosure insignificance amid regulatory multiplicity, thereby answering H3 through post-2014 mandate impacts that activate CGDI’s modulator role (Olojede et al., 2020; Elias, 2024). In broader emerging markets, Basel III capital regulations post-2014 have amplified disclosure’s attenuating influence on NPLs by elevating risk-weighted asset costs, with MSCI emerging indices evidencing net</w:t>
      </w:r>
      <w:r>
        <w:t xml:space="preserve"> </w:t>
      </w:r>
      <m:oMath>
        <m:r>
          <m:t>β</m:t>
        </m:r>
        <m:r>
          <m:rPr>
            <m:sty m:val="p"/>
          </m:rPr>
          <m:t>=</m:t>
        </m:r>
        <m:r>
          <m:rPr>
            <m:sty m:val="p"/>
          </m:rPr>
          <m:t>−</m:t>
        </m:r>
        <m:r>
          <m:t>0.32</m:t>
        </m:r>
      </m:oMath>
      <w:r>
        <w:t xml:space="preserve"> </w:t>
      </w:r>
      <w:r>
        <w:t xml:space="preserve">reductions in defaults post-harmonization, controlling for GDP growth and inflation, thus supporting RQ3’s mandate attribution by delineating how reforms foster normative isomorphism in volatile settings (Basel III capital regulation and bank profitability in emerging markets, 2024). Nigerian studies affirm governance structures’ heightened sensitivity to NPL determinants post-2009 consolidation, with board externalities moderating disclosure effects amid economic recoveries, reinforcing H3 via evidence of shift contingencies where CBN directives transform symbolic reporting into substantive risk oversight (Corporate governance structure, Bank externalities and sensitivity of NPL, 2020). Sub-Saharan analyses post-global financial crisis further highlight economic growth’s moderating role on NPLs amid governance reforms, with corruption proxies diluting pre-reform disclosure yet amplifying negativity post-Basel III, affirming H3 through literature quantifying macroeconomic interdependencies in resource-dependent Africa (Corruption, economic growth, and non-performing loans in Sub-Saharan Africa, 2024).</w:t>
      </w:r>
    </w:p>
    <w:p>
      <w:pPr>
        <w:pStyle w:val="BodyText"/>
      </w:pPr>
      <w:r>
        <w:t xml:space="preserve">Recent African research on regulatory convergence underscores Basel III harmonization’s enhancement of banking stability, with 2011–2022 panel data across 21 nations showing disclosure pivots to negative NPL effects (</w:t>
      </w:r>
      <m:oMath>
        <m:r>
          <m:t>β</m:t>
        </m:r>
        <m:r>
          <m:rPr>
            <m:sty m:val="p"/>
          </m:rPr>
          <m:t>=</m:t>
        </m:r>
        <m:r>
          <m:rPr>
            <m:sty m:val="p"/>
          </m:rPr>
          <m:t>−</m:t>
        </m:r>
        <m:r>
          <m:t>0.25</m:t>
        </m:r>
      </m:oMath>
      <w:r>
        <w:t xml:space="preserve">,</w:t>
      </w:r>
      <w:r>
        <w:t xml:space="preserve"> </w:t>
      </w:r>
      <m:oMath>
        <m:r>
          <m:t>p</m:t>
        </m:r>
        <m:r>
          <m:rPr>
            <m:sty m:val="p"/>
          </m:rPr>
          <m:t>&lt;</m:t>
        </m:r>
        <m:r>
          <m:t>0.01</m:t>
        </m:r>
      </m:oMath>
      <w:r>
        <w:t xml:space="preserve">) post-adoption, directly addressing RQ3’s post-reform linkage by evidencing mandate-driven resilience amid shocks like oil price fluctuations (Does regulatory convergence shape banking resilience in Africa?, 2025). This is echoed in emerging market reforms where governance practices, post-2014, foster risk-taking moderation through disclosure credibility, with quasi-natural experiments in India revealing reform-induced shifts to lower NPLs (</w:t>
      </w:r>
      <m:oMath>
        <m:r>
          <m:t>β</m:t>
        </m:r>
        <m:r>
          <m:rPr>
            <m:sty m:val="p"/>
          </m:rPr>
          <m:t>=</m:t>
        </m:r>
        <m:r>
          <m:rPr>
            <m:sty m:val="p"/>
          </m:rPr>
          <m:t>−</m:t>
        </m:r>
        <m:r>
          <m:t>0.19</m:t>
        </m:r>
      </m:oMath>
      <w:r>
        <w:t xml:space="preserve">,</w:t>
      </w:r>
      <w:r>
        <w:t xml:space="preserve"> </w:t>
      </w:r>
      <m:oMath>
        <m:r>
          <m:t>p</m:t>
        </m:r>
        <m:r>
          <m:rPr>
            <m:sty m:val="p"/>
          </m:rPr>
          <m:t>&lt;</m:t>
        </m:r>
        <m:r>
          <m:t>0.05</m:t>
        </m:r>
      </m:oMath>
      <w:r>
        <w:t xml:space="preserve">) via independent director mandates, linking to H3 by evidencing isomorphic adaptations under institutional pressures that align internal transparency with external legitimacy (Corporate governance reform and risk-taking: Evidence from a quasi-natural experiment in an emerging market, 2018). Furthermore, syntheses on corporate governance in emerging markets underscore that reform shifts elevate disclosure from symbolic to instrumental, as in Togolese and broader African assessments where post-reform harmonization improved NPL management through enhanced board vetting and tenure controls, answering RQ3 through comparative evidence of mandate-driven pivots that mitigate agency entrenchments in patronage-prone settings (Corporate Governance in Emerging Markets: Theories, Practices and Cases, 2016). These integrations with post-2014 literature not only validate the regime-split methodology—incorporating Chow breaks and GMM robustness—but also highlight contextual divergences: in low-enforcement emerging quartiles, disclosure remains inert, while harmonized regimes activate negativity, offering a theoretically robust foundation for H3’s support through evidence of CBN mandates catalyzing modulation in Nigeria’s volatile economy.</w:t>
      </w:r>
    </w:p>
    <w:bookmarkEnd w:id="50"/>
    <w:bookmarkStart w:id="54" w:name="Xb4bd4001f07943424c1e8e0f6e6c592ad5e5aab"/>
    <w:p>
      <w:pPr>
        <w:pStyle w:val="Heading2"/>
      </w:pPr>
      <w:r>
        <w:t xml:space="preserve">Theoretical, Practical, and Policy Implications</w:t>
      </w:r>
    </w:p>
    <w:p>
      <w:pPr>
        <w:pStyle w:val="FirstParagraph"/>
      </w:pPr>
      <w:r>
        <w:t xml:space="preserve">The empirical validation of Hypothesis 3 (H3), which elucidates the reform-contingent pivot in the corporate governance disclosure (CGDI)–non-performing loan (NPL) ratio linkage from pre-reform insignificance to post-reform negativity, generates multifaceted implications that span theoretical refinement, practical managerial strategies, and policy-oriented reforms in Nigerian deposit money banks (DMBs). Controlling for bank-specific attributes such as size and capital adequacy, alongside macroeconomic confounders including GDP growth, inflation, and oil prices, these outcomes address Research Question 3 (RQ3) by quantifying disclosure’s activation amid post-2009 regulatory evolutions, including the Central Bank of Nigeria (CBN) Code of 2014, the Nigerian Code of Corporate Governance (NCCG) 2018, the Companies and Allied Matters Act (CAMA) 2020, and the CBN Guidelines 2023. Triangulated with regime-split fixed-effects regressions and dynamic GMM robustness, the implications delineate how institutional pressures transform inert disclosure into a substantive modulator of default risk in resource-dependent emerging economies plagued by patronage networks and economic volatilities. The ensuing subsections dissect these ramifications through theoretical, practical, and policy lenses, proposing hybrid frameworks, digital enhancements, and harmonized thresholds to sustain governance efficacy.</w:t>
      </w:r>
    </w:p>
    <w:bookmarkStart w:id="51" w:name="theoretical-implications-2"/>
    <w:p>
      <w:pPr>
        <w:pStyle w:val="Heading3"/>
      </w:pPr>
      <w:r>
        <w:t xml:space="preserve">Theoretical Implications</w:t>
      </w:r>
    </w:p>
    <w:p>
      <w:pPr>
        <w:pStyle w:val="FirstParagraph"/>
      </w:pPr>
      <w:r>
        <w:t xml:space="preserve">Theoretically, these outcomes extend institutional theory’s conceptualization of reform thresholds by demonstrating how coercive and normative pressures activate disclosure’s risk-mitigating potency at specific junctures, such as the 2015 structural break validated by Chow tests (F = 12.4,</w:t>
      </w:r>
      <w:r>
        <w:t xml:space="preserve"> </w:t>
      </w:r>
      <m:oMath>
        <m:r>
          <m:t>p</m:t>
        </m:r>
        <m:r>
          <m:rPr>
            <m:sty m:val="p"/>
          </m:rPr>
          <m:t>&lt;</m:t>
        </m:r>
        <m:r>
          <m:t>0.01</m:t>
        </m:r>
      </m:oMath>
      <w:r>
        <w:t xml:space="preserve">), advocating for the integration of digital disclosure platforms under CBN oversight to perpetuate this activation beyond mandate implementation (DiMaggio &amp; Powell, 1983; Scott, 2014). In patronage-infused Nigerian DMBs, where pre-reform CGDI insignificance (</w:t>
      </w:r>
      <m:oMath>
        <m:r>
          <m:t>β</m:t>
        </m:r>
        <m:r>
          <m:rPr>
            <m:sty m:val="p"/>
          </m:rPr>
          <m:t>=</m:t>
        </m:r>
        <m:r>
          <m:t>0.088</m:t>
        </m:r>
      </m:oMath>
      <w:r>
        <w:t xml:space="preserve">,</w:t>
      </w:r>
      <w:r>
        <w:t xml:space="preserve"> </w:t>
      </w:r>
      <m:oMath>
        <m:r>
          <m:t>p</m:t>
        </m:r>
        <m:r>
          <m:rPr>
            <m:sty m:val="p"/>
          </m:rPr>
          <m:t>&gt;</m:t>
        </m:r>
        <m:r>
          <m:t>0.10</m:t>
        </m:r>
      </m:oMath>
      <w:r>
        <w:t xml:space="preserve">) reflects symbolic compliance amid regulatory silos and insider lending legacies (Sanusi, 2014; Adegbite, 2015), the post-reform negativity (net</w:t>
      </w:r>
      <w:r>
        <w:t xml:space="preserve"> </w:t>
      </w:r>
      <m:oMath>
        <m:r>
          <m:t>β</m:t>
        </m:r>
        <m:r>
          <m:rPr>
            <m:sty m:val="p"/>
          </m:rPr>
          <m:t>=</m:t>
        </m:r>
        <m:r>
          <m:rPr>
            <m:sty m:val="p"/>
          </m:rPr>
          <m:t>−</m:t>
        </m:r>
        <m:r>
          <m:t>0.361</m:t>
        </m:r>
      </m:oMath>
      <w:r>
        <w:t xml:space="preserve">,</w:t>
      </w:r>
      <w:r>
        <w:t xml:space="preserve"> </w:t>
      </w:r>
      <m:oMath>
        <m:r>
          <m:t>p</m:t>
        </m:r>
        <m:r>
          <m:rPr>
            <m:sty m:val="p"/>
          </m:rPr>
          <m:t>&lt;</m:t>
        </m:r>
        <m:r>
          <m:t>0.01</m:t>
        </m:r>
      </m:oMath>
      <w:r>
        <w:t xml:space="preserve">) evidences isomorphic adaptations that elevate disclosure from perfunctory signalling to instrumental asymmetry reduction, refining agency theory by exposing its contextual dependencies where transparency gains traction only under enforced credibility (Jensen &amp; Meckling, 1976). This pivot intersects with resource dependence theory, positing that reforms confer external legitimacy, enabling DMBs to buffer macroeconomic perturbations like oil price shocks through credible disclosure that secures stakeholder alliances (Pfeffer &amp; Salancik, 1978).</w:t>
      </w:r>
    </w:p>
    <w:p>
      <w:pPr>
        <w:pStyle w:val="BodyText"/>
      </w:pPr>
      <w:r>
        <w:t xml:space="preserve">Expanding this synthesis, the findings prompt hybrid theoretical models that amalgamate institutional activation with agency-stewardship complementarities, wherein coercive mandates moderate disclosure efficacy: pre-threshold, agency mechanisms falter due to enforcement voids; post-threshold, stewardship’s intrinsic commitments amplify normative isomorphism, yielding NPL attenuations up to 4.51 percentage points economically (Cuevas-Rodríguez et al., 2012; Donaldson &amp; Davis, 1991). Recent emerging market scholarship reinforces this hybridity, with post-2014 analyses in MSCI indices showing disclosure pivots to negativity (</w:t>
      </w:r>
      <m:oMath>
        <m:r>
          <m:t>β</m:t>
        </m:r>
        <m:r>
          <m:rPr>
            <m:sty m:val="p"/>
          </m:rPr>
          <m:t>=</m:t>
        </m:r>
        <m:r>
          <m:rPr>
            <m:sty m:val="p"/>
          </m:rPr>
          <m:t>−</m:t>
        </m:r>
        <m:r>
          <m:t>0.32</m:t>
        </m:r>
      </m:oMath>
      <w:r>
        <w:t xml:space="preserve">,</w:t>
      </w:r>
      <w:r>
        <w:t xml:space="preserve"> </w:t>
      </w:r>
      <m:oMath>
        <m:r>
          <m:t>p</m:t>
        </m:r>
        <m:r>
          <m:rPr>
            <m:sty m:val="p"/>
          </m:rPr>
          <m:t>&lt;</m:t>
        </m:r>
        <m:r>
          <m:t>0.01</m:t>
        </m:r>
      </m:oMath>
      <w:r>
        <w:t xml:space="preserve">) under Basel III harmonization, proposing testable propositions for Nigerian contexts where digital platforms could sustain thresholds amid devaluations (Basel III capital regulation and bank profitability in emerging markets, 2024). In addressing RQ3, these implications quantify the shift’s attribution to mandates, challenging monolithic agency paradigms by advocating multi-theoretical frameworks that incorporate cultural moderators like power distance, which may attenuate activation in African settings (Hofstede, 2011; OECD, 2023). This evidences a paradigm evolution toward contingent hybrids, enhancing explanatory power for governance-NPL interplays in volatile emerging economies and informing future inquiries into digital thresholds for sustained reform efficacy.</w:t>
      </w:r>
    </w:p>
    <w:bookmarkEnd w:id="51"/>
    <w:bookmarkStart w:id="52" w:name="practical-implications-2"/>
    <w:p>
      <w:pPr>
        <w:pStyle w:val="Heading3"/>
      </w:pPr>
      <w:r>
        <w:t xml:space="preserve">Practical Implications</w:t>
      </w:r>
    </w:p>
    <w:p>
      <w:pPr>
        <w:pStyle w:val="FirstParagraph"/>
      </w:pPr>
      <w:r>
        <w:t xml:space="preserve">Practically, the reform-activated CGDI pivot impels DMB executives to advocate for and implement consolidated governance architectures under CBN–SEC harmonization, extending board tenure limits and executive vetting protocols to all subsidiaries while digitizing reporting systems to enhance disclosure credibility and counter macroeconomic shocks, aligning with Basel III’s emphasis on resilience in emerging market developing economies (EMDEs) (Making Basel III Work for Emerging Markets and Developing Economies, 2019). With post-reform economic magnitudes indicating 4.51 percentage point NPL reductions from a one-standard-deviation CGDI increase (12.5 points), managerial strategies should embed stewardship-driven digital platforms—such as blockchain-secured annual reports and AI-enhanced compliance dashboards—to perpetuate transparency beyond mandate thresholds, countering pre-reform inertia rooted in patronage networks (Adegbite, 2015; Natufe &amp; Evbayiro-Osagie, 2023). This resource dependence-oriented approach equips boards to navigate oil volatility and inflation surges by fostering external alliances with stakeholders, potentially yielding operational efficiencies like USD 220 million annual provisioning savings across sampled DMBs.</w:t>
      </w:r>
    </w:p>
    <w:p>
      <w:pPr>
        <w:pStyle w:val="BodyText"/>
      </w:pPr>
      <w:r>
        <w:t xml:space="preserve">Building upon this, practical ramifications extend to hybrid implementations, balancing agency verification through independent audits with institutional digitalization, as emerging market banks adopting post-2014 platforms report enhanced CGDI credibility and 18–25 basis point default moderations in volatile subsamples (Corporate governance reform and risk-taking: Evidence from a quasi-natural experiment in an emerging market, 2018). Executives might pilot perceptual training on disclosure integrity, targeting cultural barriers like power distance to amplify normative adoption, as African analogs post-King IV show digitized governance sustaining NPL attenuations amid economic growth fluctuations (Rossouw &amp; Styan, 2022). In addressing RQ3’s linkage shift, these implications delineate mandate attribution as managerially actionable: extending vetting to</w:t>
      </w:r>
      <w:r>
        <w:t xml:space="preserve"> </w:t>
      </w:r>
      <m:oMath>
        <m:r>
          <m:rPr>
            <m:sty m:val="p"/>
          </m:rPr>
          <m:t>≥</m:t>
        </m:r>
        <m:r>
          <m:t>60</m:t>
        </m:r>
        <m:r>
          <m:rPr>
            <m:sty m:val="p"/>
          </m:rPr>
          <m:t>%</m:t>
        </m:r>
      </m:oMath>
      <w:r>
        <w:t xml:space="preserve"> </w:t>
      </w:r>
      <w:r>
        <w:t xml:space="preserve">independence could bootstrap net</w:t>
      </w:r>
      <w:r>
        <w:t xml:space="preserve"> </w:t>
      </w:r>
      <m:oMath>
        <m:r>
          <m:t>β</m:t>
        </m:r>
        <m:r>
          <m:rPr>
            <m:sty m:val="p"/>
          </m:rPr>
          <m:t>&lt;</m:t>
        </m:r>
        <m:r>
          <m:rPr>
            <m:sty m:val="p"/>
          </m:rPr>
          <m:t>−</m:t>
        </m:r>
        <m:r>
          <m:t>0.40</m:t>
        </m:r>
      </m:oMath>
      <w:r>
        <w:t xml:space="preserve"> </w:t>
      </w:r>
      <w:r>
        <w:t xml:space="preserve">in sensitivity analyses, promoting proactive risk cultures aligned with OECD stakeholder benchmarks (OECD, 2023). Correspondingly, DMB leaders should integrate macroeconomic forecasting tools with CGDI platforms, countering devaluations through real-time transparency that secures funding, ultimately fostering sustainable lending and fiscal resilience in EMDEs characterized by institutional fragmentation.</w:t>
      </w:r>
    </w:p>
    <w:bookmarkEnd w:id="52"/>
    <w:bookmarkStart w:id="53" w:name="policy-implications-2"/>
    <w:p>
      <w:pPr>
        <w:pStyle w:val="Heading3"/>
      </w:pPr>
      <w:r>
        <w:t xml:space="preserve">Policy Implications</w:t>
      </w:r>
    </w:p>
    <w:p>
      <w:pPr>
        <w:pStyle w:val="FirstParagraph"/>
      </w:pPr>
      <w:r>
        <w:t xml:space="preserve">Policy-wise, the outcomes underscore the necessity for CBN-led enforcement thresholds on independence and tenure, such as mandatory</w:t>
      </w:r>
      <w:r>
        <w:t xml:space="preserve"> </w:t>
      </w:r>
      <m:oMath>
        <m:r>
          <m:rPr>
            <m:sty m:val="p"/>
          </m:rPr>
          <m:t>≥</m:t>
        </m:r>
        <m:r>
          <m:t>55</m:t>
        </m:r>
        <m:r>
          <m:rPr>
            <m:sty m:val="p"/>
          </m:rPr>
          <m:t>%</m:t>
        </m:r>
      </m:oMath>
      <w:r>
        <w:t xml:space="preserve"> </w:t>
      </w:r>
      <w:r>
        <w:t xml:space="preserve">quotas with biennial external audits, to institutionalize disclosure activation and potentially reduce aggregate NPL ratios by 2–4 percentage points economy-wide, fostering broader economic stability amid recurrent devaluations and inflation spikes in Nigeria’s commodity-dependent milieu (Sanusi, 2014; CBN, 2023). With Chow-confirmed structural breaks attributing post-reform negativity to mandates, policymakers at the CBN and Securities and Exchange Commission (SEC) should harmonize codes under a unified supervisory framework, extending CAMA 2020’s vetting to digital mandates that perpetuate CGDI efficacy beyond implementation, aligning with Basel III’s risk cost elevations for enhanced resilience in EMDEs (Making Basel III Work for Emerging Markets and Developing Economies, 2019). This coercive strategy could mitigate systemic risks, yielding fiscal dividends like reduced provisioning burdens and stabilized lending portfolios estimated at USD 1–2 billion annually amid 2024 shocks.</w:t>
      </w:r>
    </w:p>
    <w:p>
      <w:pPr>
        <w:pStyle w:val="BodyText"/>
      </w:pPr>
      <w:r>
        <w:t xml:space="preserve">Expanding this, policy ramifications advocate anti-patronage mechanisms, such as incentivized whistleblowing tied to disclosure indices and inter-agency panels for tenure enforcement, drawing from Sub-Saharan post-2014 harmonizations where regulatory convergence attenuated NPLs by 20–30 basis points via governance activation (Does regulatory convergence shape banking resilience in Africa?, 2025). Aligning with OECD principles, CBN might deploy digital platforms for real-time CGDI monitoring, targeting power distance mitigation to enhance normative adoption, as ASEAN post-2018 reforms activated similar pivots with net</w:t>
      </w:r>
      <w:r>
        <w:t xml:space="preserve"> </w:t>
      </w:r>
      <m:oMath>
        <m:r>
          <m:t>β</m:t>
        </m:r>
        <m:r>
          <m:rPr>
            <m:sty m:val="p"/>
          </m:rPr>
          <m:t>=</m:t>
        </m:r>
        <m:r>
          <m:rPr>
            <m:sty m:val="p"/>
          </m:rPr>
          <m:t>−</m:t>
        </m:r>
        <m:r>
          <m:t>0.25</m:t>
        </m:r>
      </m:oMath>
      <w:r>
        <w:t xml:space="preserve"> </w:t>
      </w:r>
      <w:r>
        <w:t xml:space="preserve">(</w:t>
      </w:r>
      <m:oMath>
        <m:r>
          <m:t>p</m:t>
        </m:r>
        <m:r>
          <m:rPr>
            <m:sty m:val="p"/>
          </m:rPr>
          <m:t>&lt;</m:t>
        </m:r>
        <m:r>
          <m:t>0.01</m:t>
        </m:r>
      </m:oMath>
      <w:r>
        <w:t xml:space="preserve">) (OECD, 2023; Governance harmonization and non-performing loans in ASEAN banks, 2023). In quantifying RQ3’s shift attribution, these reforms address linkage negativity by imposing activation thresholds: capital surcharges for NPL &gt; 5% could moderate CGDI paths (proposed</w:t>
      </w:r>
      <w:r>
        <w:t xml:space="preserve"> </w:t>
      </w:r>
      <m:oMath>
        <m:r>
          <m:t>β</m:t>
        </m:r>
      </m:oMath>
      <w:r>
        <w:t xml:space="preserve"> </w:t>
      </w:r>
      <w:r>
        <w:t xml:space="preserve">moderated &lt; -0.30,</w:t>
      </w:r>
      <w:r>
        <w:t xml:space="preserve"> </w:t>
      </w:r>
      <m:oMath>
        <m:r>
          <m:t>p</m:t>
        </m:r>
        <m:r>
          <m:rPr>
            <m:sty m:val="p"/>
          </m:rPr>
          <m:t>&lt;</m:t>
        </m:r>
        <m:r>
          <m:t>.05</m:t>
        </m:r>
      </m:oMath>
      <w:r>
        <w:t xml:space="preserve">), promoting inclusive financial development through resilient oversight. This evidences broader ramifications, including sustained growth via corruption controls that amplify disclosure in patronage-prone EMDEs (Corruption, economic growth, and non-performing loans in Sub-Saharan Africa, 2024). Ultimately, these implications propel policy toward evidence-based thresholds, proposing longitudinal evaluations of CBN Guidelines 2023 impacts on digital activation and NPL modulation in resource-dependent economies.</w:t>
      </w:r>
    </w:p>
    <w:bookmarkEnd w:id="53"/>
    <w:bookmarkEnd w:id="54"/>
    <w:bookmarkEnd w:id="55"/>
    <w:bookmarkStart w:id="60" w:name="Xbc22906534a46634ce5c7e0227298f81befbf2a"/>
    <w:p>
      <w:pPr>
        <w:pStyle w:val="Heading1"/>
      </w:pPr>
      <w:r>
        <w:t xml:space="preserve">Discussion of Hypothesis 4: Regulatory Clarity Improvements and NPL Declines</w:t>
      </w:r>
    </w:p>
    <w:p>
      <w:pPr>
        <w:pStyle w:val="FirstParagraph"/>
      </w:pPr>
      <w:r>
        <w:t xml:space="preserve">This section critically examines Hypothesis 4 (H4), which asserts that perceived improvements in regulatory clarity stemming from the harmonization efforts between the Central Bank of Nigeria (CBN) and the Securities and Exchange Commission (SEC) during the 2020–2025 period engender declines in non-performing loan (NPL) ratios (</w:t>
      </w:r>
      <m:oMath>
        <m:r>
          <m:t>β</m:t>
        </m:r>
        <m:r>
          <m:rPr>
            <m:sty m:val="p"/>
          </m:rPr>
          <m:t>&lt;</m:t>
        </m:r>
        <m:r>
          <m:t>0</m:t>
        </m:r>
      </m:oMath>
      <w:r>
        <w:t xml:space="preserve">,</w:t>
      </w:r>
      <w:r>
        <w:t xml:space="preserve"> </w:t>
      </w:r>
      <m:oMath>
        <m:r>
          <m:t>p</m:t>
        </m:r>
        <m:r>
          <m:rPr>
            <m:sty m:val="p"/>
          </m:rPr>
          <m:t>&lt;</m:t>
        </m:r>
        <m:r>
          <m:t>.05</m:t>
        </m:r>
      </m:oMath>
      <w:r>
        <w:t xml:space="preserve">), while accounting for economic shocks such as naira devaluation and inflationary pressures. H4 directly aligns with Research Question 4 (RQ4), which interrogates the extent of this causal linkage in the context of Nigeria’s post-consolidation deposit money banking (DMB) sector, and Objective 4, which seeks to delineate the implications of perceptual regulatory enhancements for default risk mitigation. Methodologically, the inquiry adopts a cross-sectional blended design as outlined in Chapter 3, integrating perceptual data from a Qualtrics-administered survey of 234 stakeholders across 10 purposively selected DMBs in April 2024, supplemented by three semi-structured executive interviews and secondary metrics from CBN bulletins and audited financial statements. Bootstrapped mediation models (1,000 resamples) in R (v4.5.1) parse direct and indirect effects, controlling for bank size as a binary covariate (1 for capitalization &gt; ₦1,000 billion; n = 6).</w:t>
      </w:r>
    </w:p>
    <w:p>
      <w:pPr>
        <w:pStyle w:val="BodyText"/>
      </w:pPr>
      <w:r>
        <w:t xml:space="preserve">Theoretically grounded in institutional theory, which posits that regulatory harmonization alleviates institutional fragmentation by fostering coercive and normative isomorphism, thereby promoting compliance efficacy and attenuating systemic uncertainties (North, 1990; DiMaggio &amp; Powell, 1983; Scott, 2014), H4 is complemented by resource dependence theory’s emphasis on perceptual clarity as a mechanism for buffering external dependencies, such as devaluation-induced liquidity strains and inflation spikes exceeding 24% in 2024 (Pfeffer &amp; Salancik, 1978; IMF, 2024). Stewardship theory further contextualizes these processes, suggesting that enhanced clarity facilitates intrinsic managerial alignments toward fiduciary diligence, potentially curbing NPL accumulations in patronage-infused environments (Donaldson &amp; Davis, 1991). This subsection delineates the analytical structure: a recapitulation of empirical results, theoretical explication with hybrid syntheses, comparative literature review, multifaceted implications, and linkages to overarching thesis conclusions. Building upon this foundation, H4 elucidates the bounded causality of perceptual reforms in emerging markets, where institutional voids—overlaps among CBN, SEC, and Nigerian Deposit Insurance Corporation (NDIC)—persist despite harmonization initiatives under NCCG 2018 and CAMA 2020, offering nuanced insights for policy unification amid economic turbulence.</w:t>
      </w:r>
    </w:p>
    <w:bookmarkStart w:id="56" w:name="synopsis-of-empirical-findings-2"/>
    <w:p>
      <w:pPr>
        <w:pStyle w:val="Heading2"/>
      </w:pPr>
      <w:r>
        <w:t xml:space="preserve">Synopsis of Empirical Findings</w:t>
      </w:r>
    </w:p>
    <w:p>
      <w:pPr>
        <w:pStyle w:val="FirstParagraph"/>
      </w:pPr>
      <w:r>
        <w:t xml:space="preserve">Descriptive statistics and correlations provide foundational insights into variable distributions and interdependencies. The Regulatory Clarity Index, capturing stakeholder perceptions of harmonization efficacy on a 5-point Likert scale, averages 4.40 (SD = 0.42), reflecting moderate optimism amid ongoing CBN–SEC alignments post-2020. The Compliance Index stabilizes at 85.20 (SD = 4.76), while NPL ratios exhibit variability (M = 4.31, SD = 1.30; winsorized at 1% to mitigate outliers). Bank size, binarized to delineate systemic institutions, prevails in 60% of the sample. Pearson correlations (Table 4.7) reveal a moderate negative association between clarity and NPL ratios (r = -0.52, p &lt; .10), hinting at harmonization’s potential risk-mitigating role, yet the clarity–compliance linkage remains feeble and insignificant (r = -0.19, ns), foreshadowing mediation challenges. Bank size positively correlates with NPLs (r = 0.47, p &lt; .10), underscoring larger DMBs’ heightened exposure to devaluation vulnerabilities, as illustrated in Figure 4.4’s amplified dispersion for pink-coded large banks amid post-2023 naira fluctuations (Fornell &amp; Larcker, 1981; IMF, 2024).</w:t>
      </w:r>
    </w:p>
    <w:p>
      <w:pPr>
        <w:pStyle w:val="BodyText"/>
      </w:pPr>
      <w:r>
        <w:t xml:space="preserve">Bootstrapped mediation via Hayes Process Model 4 decomposes pathways, controlling for bank size (Hayes, 2018). The total effect of clarity on NPL ratios is negative but insignificant (</w:t>
      </w:r>
      <m:oMath>
        <m:r>
          <m:t>β</m:t>
        </m:r>
        <m:r>
          <m:rPr>
            <m:sty m:val="p"/>
          </m:rPr>
          <m:t>=</m:t>
        </m:r>
        <m:r>
          <m:rPr>
            <m:sty m:val="p"/>
          </m:rPr>
          <m:t>−</m:t>
        </m:r>
        <m:r>
          <m:t>0.927</m:t>
        </m:r>
      </m:oMath>
      <w:r>
        <w:t xml:space="preserve">, 95% CI [-3.98, 1.09], p = .21), failing to substantiate robust causality amid enforcement lapses. The direct effect (ADE = -0.861, 95% CI [-4.75, 1.25], p = .23) suggests tentative standalone mitigation, potentially diluted by unmodeled shocks. The indirect effect via compliance (ACME = -0.066, 95% CI [-0.91, 1.68], p = .93) is negligible, comprising only 7.1% of the total effect, decisively rejecting mediation (Table 4.8). Path a (clarity → compliance:</w:t>
      </w:r>
      <w:r>
        <w:t xml:space="preserve"> </w:t>
      </w:r>
      <m:oMath>
        <m:r>
          <m:t>β</m:t>
        </m:r>
        <m:r>
          <m:rPr>
            <m:sty m:val="p"/>
          </m:rPr>
          <m:t>=</m:t>
        </m:r>
        <m:r>
          <m:t>0.45</m:t>
        </m:r>
      </m:oMath>
      <w:r>
        <w:t xml:space="preserve">, 95% CI [-1.23, 2.13], p = .32) and path b (compliance → NPL:</w:t>
      </w:r>
      <w:r>
        <w:t xml:space="preserve"> </w:t>
      </w:r>
      <m:oMath>
        <m:r>
          <m:t>β</m:t>
        </m:r>
        <m:r>
          <m:rPr>
            <m:sty m:val="p"/>
          </m:rPr>
          <m:t>=</m:t>
        </m:r>
        <m:r>
          <m:rPr>
            <m:sty m:val="p"/>
          </m:rPr>
          <m:t>−</m:t>
        </m:r>
        <m:r>
          <m:t>0.15</m:t>
        </m:r>
      </m:oMath>
      <w:r>
        <w:t xml:space="preserve">, 95% CI [-0.89, 0.59], p = .41) underscore this inertia. Residual diagnostics affirm linearity, normality, homoscedasticity, and outlier absence, bolstering inference reliability despite cross-sectional limitations.</w:t>
      </w:r>
    </w:p>
    <w:p>
      <w:pPr>
        <w:pStyle w:val="BodyText"/>
      </w:pPr>
      <w:r>
        <w:t xml:space="preserve">Integration of qualitative insights via thematic coding triangulates these quantitative nulls, surfacing motifs such as</w:t>
      </w:r>
      <w:r>
        <w:t xml:space="preserve"> </w:t>
      </w:r>
      <w:r>
        <w:t xml:space="preserve">“regulatory confusion”</w:t>
      </w:r>
      <w:r>
        <w:t xml:space="preserve"> </w:t>
      </w:r>
      <w:r>
        <w:t xml:space="preserve">(e.g., CBN–SEC overlaps delaying directive implementation) and</w:t>
      </w:r>
      <w:r>
        <w:t xml:space="preserve"> </w:t>
      </w:r>
      <w:r>
        <w:t xml:space="preserve">“enforcement gaps”</w:t>
      </w:r>
      <w:r>
        <w:t xml:space="preserve"> </w:t>
      </w:r>
      <w:r>
        <w:t xml:space="preserve">(e.g., erratic penalties amid inflationary volatility). An executive interviewee noted:</w:t>
      </w:r>
      <w:r>
        <w:t xml:space="preserve"> </w:t>
      </w:r>
      <w:r>
        <w:t xml:space="preserve">“Harmonisation on paper hasn’t translated to ground-level clarity; devaluation shocks amplify the fog,”</w:t>
      </w:r>
      <w:r>
        <w:t xml:space="preserve"> </w:t>
      </w:r>
      <w:r>
        <w:t xml:space="preserve">aligning with joint displays that expose perceptual hurdles beyond metrics (Braun &amp; Clarke, 2006; Creswell &amp; Plano Clark, 2017). These resilient outcomes, drawn from validated scales (United Nations–ESCWA, 2022) and CBN benchmarks, affirm modest perceptual gains sans robust NPL causality, controlling for shocks that perpetuate systemic frailties.</w:t>
      </w:r>
    </w:p>
    <w:bookmarkEnd w:id="56"/>
    <w:bookmarkStart w:id="59" w:name="X8d52065af237f32e7144de92f69565b196608bb"/>
    <w:p>
      <w:pPr>
        <w:pStyle w:val="Heading2"/>
      </w:pPr>
      <w:r>
        <w:t xml:space="preserve">Analytical Interpretation and Theoretical Insights</w:t>
      </w:r>
    </w:p>
    <w:p>
      <w:pPr>
        <w:pStyle w:val="FirstParagraph"/>
      </w:pPr>
      <w:r>
        <w:t xml:space="preserve">The insignificant total and mediated effects temper institutional theory’s harmonization-causality premise, wherein CBN–SEC alignments (2020–2025) fail to engender substantive NPL declines despite moderate perceptual clarity (M = 4.40), revealing contextual boundaries where institutional fragmentation—overlaps among CBN, SEC, and NDIC—erodes reform potency in patronage-laden emerging markets (North, 1990; Scott, 2014; Natufe &amp; Evbayiro-Osagie, 2023). Pre-harmonization inertia, rooted in regulatory multiplicity that fueled post-2016 recession NPL aftershocks, persists as clarity signals intent but shocks like 2024 devaluation disrupt pathways, diluting agency-stewardship integrations where managerial fiduciary alignment succumbs to extrinsic uncertainties (Jensen &amp; Meckling, 1976; Donaldson &amp; Davis, 1991). Resource dependence theory elucidates this boundedness, positing that perceptual clarity buffers dependencies only when enforcement thresholds are surmounted, as qualitative motifs of</w:t>
      </w:r>
      <w:r>
        <w:t xml:space="preserve"> </w:t>
      </w:r>
      <w:r>
        <w:t xml:space="preserve">“confusion”</w:t>
      </w:r>
      <w:r>
        <w:t xml:space="preserve"> </w:t>
      </w:r>
      <w:r>
        <w:t xml:space="preserve">affirm symbolic rather than instrumental harmonization amid inflation &gt; 24% (Pfeffer &amp; Salancik, 1978; IMF, 2024).</w:t>
      </w:r>
    </w:p>
    <w:p>
      <w:pPr>
        <w:pStyle w:val="BodyText"/>
      </w:pPr>
      <w:r>
        <w:t xml:space="preserve">This evidences a refined synthesis: institutional pressures require cultural and enforcement moderators to activate mediation, with high power distance in Nigerian contexts distorting clarity cues and perpetuating null paths (Hofstede, 2011). The direct effect’s tentative negativity (ADE = -0.861) intimates stewardship’s partial resilience, as insiders navigate shocks through intrinsic compliance, yet mediation lapses (ACME = -0.066) underscore agency theory’s constraints where asymmetries endure absent unified scaffolds. Hybrid models emerge: moderated mediation frameworks incorporating shock moderators (e.g., devaluation index &gt; 20%), where clarity–compliance paths amplify at enforcement &gt; 80% (proposed</w:t>
      </w:r>
      <w:r>
        <w:t xml:space="preserve"> </w:t>
      </w:r>
      <m:oMath>
        <m:r>
          <m:t>β</m:t>
        </m:r>
      </m:oMath>
      <w:r>
        <w:t xml:space="preserve"> </w:t>
      </w:r>
      <w:r>
        <w:t xml:space="preserve">moderated &gt; 0,</w:t>
      </w:r>
      <w:r>
        <w:t xml:space="preserve"> </w:t>
      </w:r>
      <m:oMath>
        <m:r>
          <m:t>p</m:t>
        </m:r>
        <m:r>
          <m:rPr>
            <m:sty m:val="p"/>
          </m:rPr>
          <m:t>&lt;</m:t>
        </m:r>
        <m:r>
          <m:t>.05</m:t>
        </m:r>
      </m:oMath>
      <w:r>
        <w:t xml:space="preserve">), extending OECD critiques of reform signalling in emerging opacity (OECD, 2015). In addressing RQ4, these insights quantify causality’s extent as modest and insignificant, with harmonization yielding perceptual gains (r = -0.52 with NPLs) but no robust declines, attributable to unaddressed voids that amplify economic perturbations in resource-dependent economies.</w:t>
      </w:r>
    </w:p>
    <w:p>
      <w:pPr>
        <w:pStyle w:val="BodyText"/>
      </w:pPr>
      <w:r>
        <w:t xml:space="preserve">Expanding this analytical framework, the null causality invites multi-theoretical reconfiguration, amalgamating institutional voids with resource dependence to explain why harmonization—despite NCCG 2018 and CAMA 2020—fails to precipitate</w:t>
      </w:r>
      <w:r>
        <w:t xml:space="preserve"> </w:t>
      </w:r>
      <m:oMath>
        <m:r>
          <m:t>β</m:t>
        </m:r>
        <m:r>
          <m:rPr>
            <m:sty m:val="p"/>
          </m:rPr>
          <m:t>&lt;</m:t>
        </m:r>
        <m:r>
          <m:t>0</m:t>
        </m:r>
      </m:oMath>
      <w:r>
        <w:t xml:space="preserve">, as interview narratives of</w:t>
      </w:r>
      <w:r>
        <w:t xml:space="preserve"> </w:t>
      </w:r>
      <w:r>
        <w:t xml:space="preserve">“overload”</w:t>
      </w:r>
      <w:r>
        <w:t xml:space="preserve"> </w:t>
      </w:r>
      <w:r>
        <w:t xml:space="preserve">highlight mimetic isomorphism toward patronage over normative adoption (DiMaggio &amp; Powell, 1983). Stewardship’s intrinsic drives are contingent upon coercive clarity that post-2020 efforts have only partially achieved, with shocks overwhelming alignment, precipitating mediation breakdowns. This prompts testable propositions: in low-fragmentation subsamples, clarity yields mediated NPL reductions (</w:t>
      </w:r>
      <m:oMath>
        <m:r>
          <m:t>β</m:t>
        </m:r>
      </m:oMath>
      <w:r>
        <w:t xml:space="preserve"> </w:t>
      </w:r>
      <w:r>
        <w:t xml:space="preserve">indirect &lt; -0.10); in high-shock quartiles, direct effects dominate yet remain insignificant. Recent Sub-Saharan scholarship reinforces this, with harmonization yielding partial NPL attenuations only in anti-corruption pacts (Agyemang &amp; Castellini, 2015). In RQ4’s context, the findings challenge causality universality, advocating hybrids where cultural power distance moderates institutional paths, delineating why perceptual improvements fail to modulate declines amid devaluation.</w:t>
      </w:r>
    </w:p>
    <w:bookmarkStart w:id="57" w:name="tab:h4_summary"/>
    <w:p>
      <w:pPr>
        <w:pStyle w:val="TableCaption"/>
      </w:pPr>
      <w:r>
        <w:t xml:space="preserve">Summary of Findings Addressing Hypothesis 4 and RQ4</w:t>
      </w:r>
    </w:p>
    <w:tbl>
      <w:tblPr>
        <w:tblStyle w:val="Table"/>
        <w:tblW w:type="auto" w:w="0"/>
        <w:tblLook w:firstRow="1" w:lastRow="0" w:firstColumn="0" w:lastColumn="0" w:noHBand="0" w:noVBand="0" w:val="0020"/>
        <w:tblCaption w:val="Summary of Findings Addressing Hypothesis 4 and RQ4"/>
      </w:tblPr>
      <w:tblGrid>
        <w:gridCol w:w="1980"/>
        <w:gridCol w:w="1980"/>
        <w:gridCol w:w="1980"/>
        <w:gridCol w:w="1980"/>
      </w:tblGrid>
      <w:tr>
        <w:trPr>
          <w:tblHeader w:val="on"/>
        </w:trPr>
        <w:tc>
          <w:tcPr/>
          <w:p>
            <w:pPr>
              <w:pStyle w:val="Compact"/>
              <w:jc w:val="left"/>
            </w:pPr>
            <w:r>
              <w:rPr>
                <w:b/>
                <w:bCs/>
              </w:rPr>
              <w:t xml:space="preserve">Hypothesis Element</w:t>
            </w:r>
          </w:p>
        </w:tc>
        <w:tc>
          <w:tcPr/>
          <w:p>
            <w:pPr>
              <w:pStyle w:val="Compact"/>
              <w:jc w:val="left"/>
            </w:pPr>
            <w:r>
              <w:rPr>
                <w:b/>
                <w:bCs/>
              </w:rPr>
              <w:t xml:space="preserve">Key Empirical Finding</w:t>
            </w:r>
          </w:p>
        </w:tc>
        <w:tc>
          <w:tcPr/>
          <w:p>
            <w:pPr>
              <w:pStyle w:val="Compact"/>
              <w:jc w:val="left"/>
            </w:pPr>
            <w:r>
              <w:rPr>
                <w:b/>
                <w:bCs/>
              </w:rPr>
              <w:t xml:space="preserve">Support Level for H4</w:t>
            </w:r>
          </w:p>
        </w:tc>
        <w:tc>
          <w:tcPr/>
          <w:p>
            <w:pPr>
              <w:pStyle w:val="Compact"/>
              <w:jc w:val="left"/>
            </w:pPr>
            <w:r>
              <w:rPr>
                <w:b/>
                <w:bCs/>
              </w:rPr>
              <w:t xml:space="preserve">Direct Answer to RQ4</w:t>
            </w:r>
          </w:p>
        </w:tc>
      </w:tr>
      <w:tr>
        <w:tc>
          <w:tcPr/>
          <w:p>
            <w:pPr>
              <w:pStyle w:val="Compact"/>
              <w:jc w:val="left"/>
            </w:pPr>
            <w:r>
              <w:t xml:space="preserve">Total Effect of Clarity on NPL</w:t>
            </w:r>
          </w:p>
        </w:tc>
        <w:tc>
          <w:tcPr/>
          <w:p>
            <w:pPr>
              <w:pStyle w:val="Compact"/>
              <w:jc w:val="left"/>
            </w:pPr>
            <w:r>
              <w:t xml:space="preserve">Null</w:t>
            </w:r>
            <w:r>
              <w:t xml:space="preserve"> </w:t>
            </w:r>
            <m:oMath>
              <m:r>
                <m:t>β</m:t>
              </m:r>
              <m:r>
                <m:rPr>
                  <m:sty m:val="p"/>
                </m:rPr>
                <m:t>=</m:t>
              </m:r>
              <m:r>
                <m:rPr>
                  <m:sty m:val="p"/>
                </m:rPr>
                <m:t>−</m:t>
              </m:r>
              <m:r>
                <m:t>0.927</m:t>
              </m:r>
            </m:oMath>
            <w:r>
              <w:t xml:space="preserve"> </w:t>
            </w:r>
            <w:r>
              <w:t xml:space="preserve">(</w:t>
            </w:r>
            <m:oMath>
              <m:r>
                <m:t>p</m:t>
              </m:r>
              <m:r>
                <m:rPr>
                  <m:sty m:val="p"/>
                </m:rPr>
                <m:t>=</m:t>
              </m:r>
              <m:r>
                <m:t>.21</m:t>
              </m:r>
            </m:oMath>
            <w:r>
              <w:t xml:space="preserve">)</w:t>
            </w:r>
          </w:p>
        </w:tc>
        <w:tc>
          <w:tcPr/>
          <w:p>
            <w:pPr>
              <w:pStyle w:val="Compact"/>
              <w:jc w:val="left"/>
            </w:pPr>
            <w:r>
              <w:t xml:space="preserve">No support</w:t>
            </w:r>
          </w:p>
        </w:tc>
        <w:tc>
          <w:tcPr/>
          <w:p>
            <w:pPr>
              <w:pStyle w:val="Compact"/>
              <w:jc w:val="left"/>
            </w:pPr>
            <w:r>
              <w:t xml:space="preserve">No causal decline in NPL ratios</w:t>
            </w:r>
          </w:p>
        </w:tc>
      </w:tr>
      <w:tr>
        <w:tc>
          <w:tcPr/>
          <w:p>
            <w:pPr>
              <w:pStyle w:val="Compact"/>
              <w:jc w:val="left"/>
            </w:pPr>
            <w:r>
              <w:t xml:space="preserve">Indirect via Compliance</w:t>
            </w:r>
          </w:p>
        </w:tc>
        <w:tc>
          <w:tcPr/>
          <w:p>
            <w:pPr>
              <w:pStyle w:val="Compact"/>
              <w:jc w:val="left"/>
            </w:pPr>
            <w:r>
              <w:t xml:space="preserve">Trivial ACME = -0.066 (</w:t>
            </w:r>
            <m:oMath>
              <m:r>
                <m:t>p</m:t>
              </m:r>
              <m:r>
                <m:rPr>
                  <m:sty m:val="p"/>
                </m:rPr>
                <m:t>=</m:t>
              </m:r>
              <m:r>
                <m:t>.93</m:t>
              </m:r>
            </m:oMath>
            <w:r>
              <w:t xml:space="preserve">)</w:t>
            </w:r>
          </w:p>
        </w:tc>
        <w:tc>
          <w:tcPr/>
          <w:p>
            <w:pPr>
              <w:pStyle w:val="Compact"/>
              <w:jc w:val="left"/>
            </w:pPr>
            <w:r>
              <w:t xml:space="preserve">No support</w:t>
            </w:r>
          </w:p>
        </w:tc>
        <w:tc>
          <w:tcPr/>
          <w:p>
            <w:pPr>
              <w:pStyle w:val="Compact"/>
              <w:jc w:val="left"/>
            </w:pPr>
            <w:r>
              <w:t xml:space="preserve">No extent of causation, diluted by shocks like devaluation</w:t>
            </w:r>
          </w:p>
        </w:tc>
      </w:tr>
      <w:tr>
        <w:tc>
          <w:tcPr/>
          <w:p>
            <w:pPr>
              <w:pStyle w:val="Compact"/>
              <w:jc w:val="left"/>
            </w:pPr>
            <w:r>
              <w:t xml:space="preserve">Overall H4</w:t>
            </w:r>
          </w:p>
        </w:tc>
        <w:tc>
          <w:tcPr/>
          <w:p>
            <w:pPr>
              <w:pStyle w:val="Compact"/>
              <w:jc w:val="left"/>
            </w:pPr>
            <w:r>
              <w:t xml:space="preserve">Null amid</w:t>
            </w:r>
            <w:r>
              <w:t xml:space="preserve"> </w:t>
            </w:r>
            <w:r>
              <w:t xml:space="preserve">“regulatory fog”</w:t>
            </w:r>
            <w:r>
              <w:t xml:space="preserve"> </w:t>
            </w:r>
            <w:r>
              <w:t xml:space="preserve">themes</w:t>
            </w:r>
          </w:p>
        </w:tc>
        <w:tc>
          <w:tcPr/>
          <w:p>
            <w:pPr>
              <w:pStyle w:val="Compact"/>
              <w:jc w:val="left"/>
            </w:pPr>
            <w:r>
              <w:t xml:space="preserve">Non-support</w:t>
            </w:r>
          </w:p>
        </w:tc>
        <w:tc>
          <w:tcPr/>
          <w:p>
            <w:pPr>
              <w:pStyle w:val="Compact"/>
              <w:jc w:val="left"/>
            </w:pPr>
            <w:r>
              <w:t xml:space="preserve">Perceived improvements do not cause declines, controlling for shocks</w:t>
            </w:r>
          </w:p>
        </w:tc>
      </w:tr>
    </w:tbl>
    <w:bookmarkEnd w:id="57"/>
    <w:p>
      <w:pPr>
        <w:pStyle w:val="BodyText"/>
      </w:pPr>
      <w:bookmarkStart w:id="58" w:name="tab:h4_summary"/>
      <w:bookmarkEnd w:id="58"/>
    </w:p>
    <w:bookmarkEnd w:id="59"/>
    <w:bookmarkEnd w:id="60"/>
    <w:bookmarkStart w:id="69" w:name="X757fdf043fcc718e0898ea2ccc45b4111efef67"/>
    <w:p>
      <w:pPr>
        <w:pStyle w:val="Heading1"/>
      </w:pPr>
      <w:r>
        <w:t xml:space="preserve">5.4 Discussion of Hypothesis 4: Regulatory Clarity Improvements and NPL Declines</w:t>
      </w:r>
    </w:p>
    <w:p>
      <w:pPr>
        <w:pStyle w:val="FirstParagraph"/>
      </w:pPr>
      <w:r>
        <w:t xml:space="preserve">This section critically interrogates Hypothesis 4 (H4), positing that perceived enhancements in regulatory clarity, arising from the harmonization initiatives between the Central Bank of Nigeria (CBN) and the Securities and Exchange Commission (SEC) over the 2020–2025 interval, precipitate declines in non-performing loan (NPL) ratios (</w:t>
      </w:r>
      <m:oMath>
        <m:r>
          <m:t>β</m:t>
        </m:r>
        <m:r>
          <m:rPr>
            <m:sty m:val="p"/>
          </m:rPr>
          <m:t>&lt;</m:t>
        </m:r>
        <m:r>
          <m:t>0</m:t>
        </m:r>
      </m:oMath>
      <w:r>
        <w:t xml:space="preserve">,</w:t>
      </w:r>
      <w:r>
        <w:t xml:space="preserve"> </w:t>
      </w:r>
      <m:oMath>
        <m:r>
          <m:t>p</m:t>
        </m:r>
        <m:r>
          <m:rPr>
            <m:sty m:val="p"/>
          </m:rPr>
          <m:t>&lt;</m:t>
        </m:r>
        <m:r>
          <m:t>.05</m:t>
        </m:r>
      </m:oMath>
      <w:r>
        <w:t xml:space="preserve">), while controlling for exogenous economic disruptions such as naira devaluation and inflationary surges. This hypothesis aligns seamlessly with Research Question 4 (RQ4), which probes the extent to which these perceptual improvements in regulatory clarity from CBN and SEC harmonization (2020–2025) cause NPL ratio declines (</w:t>
      </w:r>
      <m:oMath>
        <m:r>
          <m:t>β</m:t>
        </m:r>
        <m:r>
          <m:rPr>
            <m:sty m:val="p"/>
          </m:rPr>
          <m:t>&lt;</m:t>
        </m:r>
        <m:r>
          <m:t>0</m:t>
        </m:r>
      </m:oMath>
      <w:r>
        <w:t xml:space="preserve">,</w:t>
      </w:r>
      <w:r>
        <w:t xml:space="preserve"> </w:t>
      </w:r>
      <m:oMath>
        <m:r>
          <m:t>p</m:t>
        </m:r>
        <m:r>
          <m:rPr>
            <m:sty m:val="p"/>
          </m:rPr>
          <m:t>&lt;</m:t>
        </m:r>
        <m:r>
          <m:t>.05</m:t>
        </m:r>
      </m:oMath>
      <w:r>
        <w:t xml:space="preserve">), controlling for economic shocks such as devaluation and inflation. Correspondingly, it advances Objective 4 by delineating the ramifications of such perceptual advancements for mitigating default risk within Nigeria’s deposit money banking (DMB) sector. Methodologically, the analysis adheres to the cross-sectional blended paradigm articulated in Chapter 3, amalgamating perceptual data from a Qualtrics-facilitated survey administered to 234 stakeholders across 10 purposively sampled DMBs in April 2024, augmented by three semi-structured interviews with senior executives and secondary quantitative indicators from CBN bulletins, Nigerian Deposit Insurance Corporation (NDIC) reports, and audited financial statements. Bootstrapped mediation modeling (1,000 resamples) executed in R (v4.5.1) dissects direct and indirect pathways, incorporating bank size as a binary covariate (coded 1 for institutions exceeding ,000 billion in capitalization;</w:t>
      </w:r>
      <w:r>
        <w:t xml:space="preserve"> </w:t>
      </w:r>
      <m:oMath>
        <m:r>
          <m:t>n</m:t>
        </m:r>
        <m:r>
          <m:rPr>
            <m:sty m:val="p"/>
          </m:rPr>
          <m:t>=</m:t>
        </m:r>
        <m:r>
          <m:t>6</m:t>
        </m:r>
      </m:oMath>
      <w:r>
        <w:t xml:space="preserve">) to account for scale-driven heterogeneities in shock exposure.</w:t>
      </w:r>
      <w:r>
        <w:t xml:space="preserve"> </w:t>
      </w:r>
      <w:r>
        <w:t xml:space="preserve">Theoretically, H4 is anchored in institutional theory, which elucidates how regulatory harmonization mitigates institutional fragmentation by engendering coercive and normative isomorphism, thereby bolstering compliance efficacy and attenuating systemic ambiguities in emerging markets (DiMaggio &amp; Powell, 1983; North, 1990; Scott, 2014). This framework contrasts with agency theory’s emphasis on information asymmetries, wherein opaque regulations exacerbate principal-agent conflicts, potentially inflating NPL ratios through unchecked managerial opportunism (Jensen &amp; Meckling, 1976). Stewardship theory, conversely, posits that enhanced clarity fosters intrinsic alignments among managers toward fiduciary responsibility, curbing default risks in patronage-prone environments (Donaldson &amp; Davis, 1991). Resource dependence theory complements these lenses by highlighting perceptual clarity as a buffer against external dependencies, such as devaluation-induced liquidity constraints and inflation exceeding 24</w:t>
      </w:r>
    </w:p>
    <w:bookmarkStart w:id="61" w:name="X7881b143737effb30d3e1189aeeb6ef34c62862"/>
    <w:p>
      <w:pPr>
        <w:pStyle w:val="Heading2"/>
      </w:pPr>
      <w:r>
        <w:t xml:space="preserve">5.4.1 Rationale for Methodological Framework and Assurance of Statistical Integrity</w:t>
      </w:r>
    </w:p>
    <w:p>
      <w:pPr>
        <w:pStyle w:val="FirstParagraph"/>
      </w:pPr>
      <w:r>
        <w:t xml:space="preserve">The adoption of a cross-sectional blended design is warranted by its capacity to integrate positivist quantification of causal mechanisms with interpretivist exploration of perceptual subtleties, thereby facilitating meta-inferences regarding the influence of regulatory clarity on NPL modulation within Nigeria’s deposit money banking sector (Creswell &amp; Plano Clark, 2018). This approach aligns seamlessly with RQ4, which scrutinizes the extent to which perceived enhancements in regulatory clarity from CBN and SEC harmonization (2020–2025) precipitate NPL declines (</w:t>
      </w:r>
      <m:oMath>
        <m:r>
          <m:t>β</m:t>
        </m:r>
        <m:r>
          <m:rPr>
            <m:sty m:val="p"/>
          </m:rPr>
          <m:t>&lt;</m:t>
        </m:r>
        <m:r>
          <m:t>0</m:t>
        </m:r>
      </m:oMath>
      <w:r>
        <w:t xml:space="preserve">,</w:t>
      </w:r>
      <w:r>
        <w:t xml:space="preserve"> </w:t>
      </w:r>
      <m:oMath>
        <m:r>
          <m:t>p</m:t>
        </m:r>
        <m:r>
          <m:rPr>
            <m:sty m:val="p"/>
          </m:rPr>
          <m:t>&lt;</m:t>
        </m:r>
        <m:r>
          <m:t>.05</m:t>
        </m:r>
      </m:oMath>
      <w:r>
        <w:t xml:space="preserve">), while accounting for economic disruptions such as devaluation and inflation. Survey instruments, derived from established frameworks including the United Nations–ESCWA regulatory clarity index (2022), operationalize clarity via Likert-scaled assessments of harmonization effectiveness (e.g.,</w:t>
      </w:r>
      <w:r>
        <w:t xml:space="preserve"> </w:t>
      </w:r>
      <w:r>
        <w:t xml:space="preserve">“CBN–SEC alignments have diminished overlaps in directives”</w:t>
      </w:r>
      <w:r>
        <w:t xml:space="preserve">), thereby securing construct reliability as evidenced by Cronbach’s</w:t>
      </w:r>
      <w:r>
        <w:t xml:space="preserve"> </w:t>
      </w:r>
      <m:oMath>
        <m:r>
          <m:t>α</m:t>
        </m:r>
      </m:oMath>
      <w:r>
        <w:t xml:space="preserve"> </w:t>
      </w:r>
      <w:r>
        <w:t xml:space="preserve">of 0.87. Complementing this, secondary NPL metrics sourced from CBN bulletins and NDIC reports furnish objective triangulation, effectively countering potential self-report distortions prevalent in perceptual evaluations (Podsakoff et al., 2003). Bootstrapping procedures augment statistical resilience by producing bias-corrected confidence intervals that withstand non-normality, with 1,000 resamples delivering consistent estimates despite inherent sample limitations (Efron &amp; Tibshirani, 1993).</w:t>
      </w:r>
      <w:r>
        <w:t xml:space="preserve"> </w:t>
      </w:r>
      <w:r>
        <w:t xml:space="preserve">Diagnostic evaluations further corroborate the model’s foundational assumptions: variance inflation factors remaining under 2.5 eliminate concerns of multicollinearity, Durbin-Watson values approximating 2.0 confirm residual independence, and Breusch-Pagan tests yielding</w:t>
      </w:r>
      <w:r>
        <w:t xml:space="preserve"> </w:t>
      </w:r>
      <m:oMath>
        <m:r>
          <m:t>p</m:t>
        </m:r>
        <m:r>
          <m:rPr>
            <m:sty m:val="p"/>
          </m:rPr>
          <m:t>&gt;</m:t>
        </m:r>
        <m:r>
          <m:t>.10</m:t>
        </m:r>
      </m:oMath>
      <w:r>
        <w:t xml:space="preserve"> </w:t>
      </w:r>
      <w:r>
        <w:t xml:space="preserve">substantiate homoscedasticity. Sensitivity probes, encompassing substitute proxies for shocks (e.g., inflation quartiles or devaluation indices), reinforce the null findings, highlighting the framework’s robustness in parsing causality amid Nigeria’s macroeconomic volatility. This methodological configuration extends post-2014 scholarship in emerging economies, where blended designs have illuminated governance-NPL interlinkages; for instance, Uwuigbe et al. (2018) employed similar perceptual surveys to dissect board dynamics and asset quality in Nigerian banks, while Yamin (2025) integrated bootstrapped models to assess Basel III’s ramifications on financial performance in Bangladesh, underscoring the necessity of such rigor in institutionally fragmented contexts. Correspondingly, this approach contextualizes Nigerian DMBs within global reforms, aligning with Basel III’s liquidity norms to mitigate shock-induced NPL escalations, as advocated in CEPR analyses of emerging market implementations (Rojas-Suarez &amp; Vogels, 2019). Policy implications emerge: regulators could mandate perceptual indices in CBN Guidelines 2023 to enhance enforcement, while managerially, DMB executives might leverage these insights for targeted compliance training, fostering resilience against devaluation pressures.</w:t>
      </w:r>
    </w:p>
    <w:bookmarkEnd w:id="61"/>
    <w:bookmarkStart w:id="62" w:name="overview-of-empirical-outcomes"/>
    <w:p>
      <w:pPr>
        <w:pStyle w:val="Heading2"/>
      </w:pPr>
      <w:r>
        <w:t xml:space="preserve">5.4.2 Overview of Empirical Outcomes</w:t>
      </w:r>
    </w:p>
    <w:p>
      <w:pPr>
        <w:pStyle w:val="FirstParagraph"/>
      </w:pPr>
      <w:r>
        <w:t xml:space="preserve">Descriptive statistics provide initial delineations of variable distributions and interrelations, laying the groundwork for subsequent inferential analyses. The Regulatory Clarity Index, which consolidates stakeholder perceptions of CBN–SEC harmonization on a 5-point Likert scale, yields a mean of 4.40 (SD = 0.42), signifying cautious optimism in light of gradual post-2020 alignments, including collaborative directives under CBN Guidelines 2023. The Compliance Index, reflecting conformity to NCCG 2018 stipulations, stabilizes at 85.20 (SD = 4.76), whereas NPL ratios exhibit substantial variability (M = 4.31, SD = 1.30; winsorized at 1</w:t>
      </w:r>
      <w:r>
        <w:t xml:space="preserve"> </w:t>
      </w:r>
      <w:r>
        <w:t xml:space="preserve">Bootstrapped mediation employing Hayes Process Model 4 (Hayes, 2018) dissects effects while incorporating bank size controls. The total effect of clarity on NPL ratios emerges as negative but insignificant (</w:t>
      </w:r>
      <m:oMath>
        <m:r>
          <m:t>β</m:t>
        </m:r>
        <m:r>
          <m:rPr>
            <m:sty m:val="p"/>
          </m:rPr>
          <m:t>=</m:t>
        </m:r>
        <m:r>
          <m:rPr>
            <m:sty m:val="p"/>
          </m:rPr>
          <m:t>−</m:t>
        </m:r>
        <m:r>
          <m:t>0.927</m:t>
        </m:r>
      </m:oMath>
      <w:r>
        <w:t xml:space="preserve">, 95</w:t>
      </w:r>
      <w:r>
        <w:t xml:space="preserve"> </w:t>
      </w:r>
      <w:r>
        <w:t xml:space="preserve">Qualitative triangulation through thematic coding assimilates executive accounts, surfacing recurrent motifs like regulatory confusion” (e.g., enduring CBN–SEC overlaps hindering directive rollout) and enforcement gaps” (e.g., erratic penalties during 2024 inflation exceeding 24</w:t>
      </w:r>
    </w:p>
    <w:bookmarkEnd w:id="62"/>
    <w:bookmarkStart w:id="63" w:name="X4238b4244ae5f0bd29472aa6445e85f6c2e2515"/>
    <w:p>
      <w:pPr>
        <w:pStyle w:val="Heading2"/>
      </w:pPr>
      <w:r>
        <w:t xml:space="preserve">5.4.3 Analytical Interpretation and Theoretical Insights</w:t>
      </w:r>
    </w:p>
    <w:p>
      <w:pPr>
        <w:pStyle w:val="FirstParagraph"/>
      </w:pPr>
      <w:r>
        <w:t xml:space="preserve">The null total and mediated effects temper institutional theory’s harmonization-causality premise, wherein CBN–SEC alignments (2020–2025) fail to engender substantive NPL declines despite moderate perceptual clarity (M = 4.40), revealing contextual boundaries where regulatory fragmentation—overlaps among CBN, SEC, and NDIC—erodes reform potency in patronage-laden emerging markets (North, 1990; Scott, 2014; Natufe &amp; Evbayiro-Osagie, 2023). This pre-harmonization inertia, rooted in multiplicity that fueled post-2016 recession NPL aftershocks, persists as clarity signals intent but shocks like 2024 devaluation (exceeding 20</w:t>
      </w:r>
      <w:r>
        <w:t xml:space="preserve"> </w:t>
      </w:r>
      <w:r>
        <w:t xml:space="preserve">Correspondingly, this evidences a sophisticated theoretical amalgamation: institutional pressures require cultural and enforcement moderators to activate mediation, with Nigeria’s high power distance distorting clarity cues and perpetuating null paths (Hofstede, 2011). The tentative negative direct effect (ADE = -0.861) intimates stewardship’s partial resilience, as insiders navigate shocks through intrinsic compliance, yet mediation lapses (ACME = -0.066) underscore agency theory’s constraints where asymmetries endure absent unified scaffolds. Emerging hybrid models propose moderated mediation frameworks incorporating shock moderators (e.g., devaluation index &gt; 20</w:t>
      </w:r>
      <w:r>
        <w:t xml:space="preserve"> </w:t>
      </w:r>
      <w:r>
        <w:t xml:space="preserve">Expanding this interpretive scaffold, the null causality invites a multi-theoretical reconfiguration, fusing institutional voids with resource dependence to explain why harmonization—despite NCCG 2018 and CAMA 2020—fails to precipitate</w:t>
      </w:r>
      <w:r>
        <w:t xml:space="preserve"> </w:t>
      </w:r>
      <m:oMath>
        <m:r>
          <m:t>β</m:t>
        </m:r>
        <m:r>
          <m:rPr>
            <m:sty m:val="p"/>
          </m:rPr>
          <m:t>&lt;</m:t>
        </m:r>
        <m:r>
          <m:t>0</m:t>
        </m:r>
      </m:oMath>
      <w:r>
        <w:t xml:space="preserve">, as interview narratives of</w:t>
      </w:r>
      <w:r>
        <w:t xml:space="preserve"> </w:t>
      </w:r>
      <w:r>
        <w:t xml:space="preserve">“overload”</w:t>
      </w:r>
      <w:r>
        <w:t xml:space="preserve"> </w:t>
      </w:r>
      <w:r>
        <w:t xml:space="preserve">highlight mimetic isomorphism toward patronage over normative adoption (DiMaggio &amp; Powell, 1983). Stewardship’s intrinsic drives are contingent upon coercive clarity that post-2020 efforts have only partially achieved, with shocks overwhelming alignment, precipitating mediation breakdowns. This engenders testable propositions: in low-fragmentation subsamples, clarity yields mediated NPL reductions (</w:t>
      </w:r>
      <m:oMath>
        <m:r>
          <m:t>β</m:t>
        </m:r>
      </m:oMath>
      <w:r>
        <w:t xml:space="preserve"> </w:t>
      </w:r>
      <w:r>
        <w:t xml:space="preserve">indirect &lt; -0.10); in high-shock quartiles, direct effects dominate yet remain insignificant. Such syntheses challenge causality’s universality, advocating hybrids where cultural power distance moderates institutional paths, delineating why perceptual improvements fail to modulate declines amid devaluation.</w:t>
      </w:r>
      <w:r>
        <w:t xml:space="preserve"> </w:t>
      </w:r>
      <w:r>
        <w:t xml:space="preserve">To further deepen this analysis, contrasts among agency, stewardship, and institutional theories reveal inherent tensions in emerging market governance. Agency theory underscores principal-agent conflicts exacerbated by regulatory ambiguity, wherein fragmented directives foster opportunistic behaviors that inflate NPLs through lax lending practices (Jensen &amp; Meckling, 1976). Stewardship theory counters this by emphasizing managers’ intrinsic motivations toward collective welfare, yet in Nigeria’s context, such alignments falter without institutional supports to shield against exogenous volatilities (Donaldson &amp; Davis, 1991). Institutional theory bridges these perspectives, positing that normative and coercive isomorphism from harmonization initiatives could reconcile agency frictions with stewardship ideals, but empirical nulls herein demonstrate that weak enforcement perpetuates voids, aligning with recent critiques in patronage-driven economies (Scott, 2014; Natufe &amp; Evbayiro-Osagie, 2023). This triadic synthesis posits a contingent framework: agency mechanisms prevail in high-fragmentation settings, stewardship in stable ones, and institutional isomorphism as the moderator activating transitions, a proposition empirically testable via multi-level modeling in future studies.</w:t>
      </w:r>
      <w:r>
        <w:t xml:space="preserve"> </w:t>
      </w:r>
      <w:r>
        <w:t xml:space="preserve">Building upon post-2014 empirical scholarship, these findings resonate with evidence from emerging economies where governance reforms yield uneven NPL impacts. For instance, in Pakistan, Shahbaz et al. (2023) found that compliance indices attenuate NPLs by 15–20</w:t>
      </w:r>
      <w:r>
        <w:t xml:space="preserve"> </w:t>
      </w:r>
      <w:r>
        <w:t xml:space="preserve">Contextualizing Nigerian DMBs globally, the findings underscore deviations from OECD principles, wherein regulatory harmonization fosters isomorphism in advanced economies but falters in institutionally frail ones due to cultural distortions (OECD, 2023). Basel III’s emphasis on liquidity norms (e.g., net stable funding ratios) could mitigate devaluation shocks if integrated into CBN–SEC alignments, yet Nigeria’s implementation lags, perpetuating NPL vulnerabilities as evidenced by IMF projections of inflation-driven risks (IMF, 2024). This global lens advocates policy unification, such as BOFIA 2020 amendments to prohibit monetary financing and bolster governance, potentially activating mediated pathways (Okafor, 2022). Managerially, DMB leaders should internalize stewardship through training on perceptual clarity, while regulators enforce NDIC integration to address voids. These implications reinforce the thesis’s call for harmonized reforms to mitigate default risks in Nigeria’s oil-dependent economy.</w:t>
      </w:r>
    </w:p>
    <w:bookmarkEnd w:id="63"/>
    <w:bookmarkStart w:id="64" w:name="synthesis-with-extant-scholarship"/>
    <w:p>
      <w:pPr>
        <w:pStyle w:val="Heading2"/>
      </w:pPr>
      <w:r>
        <w:t xml:space="preserve">5.4.4 Synthesis with Extant Scholarship</w:t>
      </w:r>
    </w:p>
    <w:p>
      <w:pPr>
        <w:pStyle w:val="FirstParagraph"/>
      </w:pPr>
      <w:r>
        <w:t xml:space="preserve">Empirical investigations post-2014 in emerging economies both corroborate and diverge from the present findings, emphasizing the conditional efficacy of regulatory clarity in attenuating non-performing loan (NPL) ratios. This comparative review situates the null causality observed in Nigeria’s deposit money banking (DMB) sector—where perceived improvements in CBN–SEC harmonization (2020–2025) fail to precipitate significant NPL declines (</w:t>
      </w:r>
      <m:oMath>
        <m:r>
          <m:t>β</m:t>
        </m:r>
        <m:r>
          <m:rPr>
            <m:sty m:val="p"/>
          </m:rPr>
          <m:t>&lt;</m:t>
        </m:r>
        <m:r>
          <m:t>0</m:t>
        </m:r>
      </m:oMath>
      <w:r>
        <w:t xml:space="preserve">,</w:t>
      </w:r>
      <w:r>
        <w:t xml:space="preserve"> </w:t>
      </w:r>
      <m:oMath>
        <m:r>
          <m:t>p</m:t>
        </m:r>
        <m:r>
          <m:rPr>
            <m:sty m:val="p"/>
          </m:rPr>
          <m:t>&lt;</m:t>
        </m:r>
        <m:r>
          <m:t>.05</m:t>
        </m:r>
      </m:oMath>
      <w:r>
        <w:t xml:space="preserve">), even after controlling for economic shocks such as devaluation and inflation—within broader discourses on governance reforms. Building upon this foundation, the analysis synthesizes theoretical contrasts across agency, stewardship, and institutional lenses, incorporating recent studies that highlight enforcement thresholds, institutional voids, and macroeconomic contingencies as pivotal moderators in emerging markets.</w:t>
      </w:r>
      <w:r>
        <w:t xml:space="preserve"> </w:t>
      </w:r>
      <w:r>
        <w:t xml:space="preserve">In Pakistan, Shahbaz et al. (2023) demonstrated that governance indices, encompassing compliance proxies, mitigate NPLs by 15–20</w:t>
      </w:r>
      <w:r>
        <w:t xml:space="preserve"> </w:t>
      </w:r>
      <w:r>
        <w:t xml:space="preserve">Within Sub-Saharan Africa, Agyemang and Castellini (2015) identified partial NPL abatements from harmonization efforts in Ghana, contingent upon anti-corruption pacts that bolster stewardship alignments, contrasting Nigeria’s protracted progress under entrenched patronage influences. This divergence highlights stewardship theory’s limitations in frail institutional settings, where intrinsic managerial drives falter without complementary anti-corruption scaffolds (Donaldson &amp; Davis, 1991). More contemporaneously, Abbas and Awan (2025) in a post-2020 global NPL review elucidated that regulatory granularity enhances crowdfunding viability in emerging contexts but stumbles in banking sectors absent explicit clarity, mirroring the tentative direct effect (ADE = -0.861) and negligible mediation (ACME = -0.066) herein. Extending this, a 2025 study on internal corporate governance mechanisms (ICGMs) in listed banks revealed their effectiveness in curbing NPLs, yet emphasized that regulatory convergence amplifies these outcomes only in harmonized regimes, aligning with RQ4’s nulls amid Nigeria’s persistent CBN–SEC overlaps.</w:t>
      </w:r>
      <w:r>
        <w:t xml:space="preserve"> </w:t>
      </w:r>
      <w:r>
        <w:t xml:space="preserve">Further depth emerges from Basel III-focused inquiries, which contextualize Nigerian DMBs within global reform trajectories. For instance, a 2025 examination of Basel III regulatory harmonization across 21 African nations (2011–2022) found that convergence bolsters banking resilience, reducing NPL sensitivities by up to 12</w:t>
      </w:r>
      <w:r>
        <w:t xml:space="preserve"> </w:t>
      </w:r>
      <w:r>
        <w:t xml:space="preserve">Nigerian-centric scholarship further enriches this synthesis. Balogun et al. (2023) reported partial adoption of corporate governance principles in merely 40</w:t>
      </w:r>
      <w:r>
        <w:t xml:space="preserve"> </w:t>
      </w:r>
      <w:r>
        <w:t xml:space="preserve">This comparative lens not only validates RQ4’s circumscribed causality but also informs policy implications: accelerated CBN–SEC unification under CAMA 2020 could surmount enforcement thresholds, potentially yielding</w:t>
      </w:r>
      <w:r>
        <w:t xml:space="preserve"> </w:t>
      </w:r>
      <m:oMath>
        <m:r>
          <m:t>β</m:t>
        </m:r>
        <m:r>
          <m:rPr>
            <m:sty m:val="p"/>
          </m:rPr>
          <m:t>&lt;</m:t>
        </m:r>
        <m:r>
          <m:t>0</m:t>
        </m:r>
      </m:oMath>
      <w:r>
        <w:t xml:space="preserve"> </w:t>
      </w:r>
      <w:r>
        <w:t xml:space="preserve">in future iterations. Managerially, DMB executives might prioritize stewardship training to internalize clarity cues, while regulators enforce NDIC integration to address voids, fostering NPL reductions aligned with global benchmarks.</w:t>
      </w:r>
    </w:p>
    <w:bookmarkEnd w:id="64"/>
    <w:bookmarkStart w:id="68" w:name="X0d80c0569791e6d4612d1a86b9c3bbaebfee8bb"/>
    <w:p>
      <w:pPr>
        <w:pStyle w:val="Heading2"/>
      </w:pPr>
      <w:r>
        <w:t xml:space="preserve">5.4.5 Ramifications for Policy, Management, and Regulation</w:t>
      </w:r>
    </w:p>
    <w:p>
      <w:pPr>
        <w:pStyle w:val="FirstParagraph"/>
      </w:pPr>
      <w:r>
        <w:t xml:space="preserve">The empirical nulls pertaining to Hypothesis 4 (H4), wherein perceived regulatory clarity enhancements from Central Bank of Nigeria (CBN) and Securities and Exchange Commission (SEC) harmonization (2020–2025) fail to elicit significant non-performing loan (NPL) ratio declines (</w:t>
      </w:r>
      <m:oMath>
        <m:r>
          <m:t>β</m:t>
        </m:r>
        <m:r>
          <m:rPr>
            <m:sty m:val="p"/>
          </m:rPr>
          <m:t>&lt;</m:t>
        </m:r>
        <m:r>
          <m:t>0</m:t>
        </m:r>
      </m:oMath>
      <w:r>
        <w:t xml:space="preserve">,</w:t>
      </w:r>
      <w:r>
        <w:t xml:space="preserve"> </w:t>
      </w:r>
      <m:oMath>
        <m:r>
          <m:t>p</m:t>
        </m:r>
        <m:r>
          <m:rPr>
            <m:sty m:val="p"/>
          </m:rPr>
          <m:t>&lt;</m:t>
        </m:r>
        <m:r>
          <m:t>.05</m:t>
        </m:r>
      </m:oMath>
      <w:r>
        <w:t xml:space="preserve">) despite controls for economic shocks such as naira devaluation and inflation, engender multifaceted implications. These extend beyond immediate perceptual gains, advocating systemic reforms to bridge institutional voids and activate mediated pathways in Nigeria’s deposit money banking (DMB) sector. Grounded in institutional theory’s emphasis on normative isomorphism (DiMaggio &amp; Powell, 1983; Scott, 2014), the recommendations synthesize agency-stewardship tensions, wherein managerial opportunism persists absent cohesive enforcement (Jensen &amp; Meckling, 1976; Donaldson &amp; Davis, 1991). Correspondingly, resource dependence theory underscores the need for shock-resistant scaffolds to buffer external volatilities, such as 2024 inflation exceeding 24</w:t>
      </w:r>
    </w:p>
    <w:bookmarkStart w:id="65" w:name="X066e8486392eef0b2610c0ac5efb8227f540f05"/>
    <w:p>
      <w:pPr>
        <w:pStyle w:val="Heading3"/>
      </w:pPr>
      <w:r>
        <w:t xml:space="preserve">5.4.5.1 Policy Recommendations for Regulatory Unification</w:t>
      </w:r>
    </w:p>
    <w:p>
      <w:pPr>
        <w:pStyle w:val="FirstParagraph"/>
      </w:pPr>
      <w:r>
        <w:t xml:space="preserve">Policy imperatives advocate expedited unification of CBN and SEC frameworks under the Companies and Allied Matters Act (CAMA) 2020, mandating joint enforcement protocols to surmount perceptual thresholds and precipitate</w:t>
      </w:r>
      <w:r>
        <w:t xml:space="preserve"> </w:t>
      </w:r>
      <m:oMath>
        <m:r>
          <m:t>β</m:t>
        </m:r>
        <m:r>
          <m:rPr>
            <m:sty m:val="p"/>
          </m:rPr>
          <m:t>&lt;</m:t>
        </m:r>
        <m:r>
          <m:t>0</m:t>
        </m:r>
      </m:oMath>
      <w:r>
        <w:t xml:space="preserve">, potentially attenuating NPL ratios by 10–15</w:t>
      </w:r>
    </w:p>
    <w:bookmarkEnd w:id="65"/>
    <w:bookmarkStart w:id="66" w:name="X06c8628978f5836cabeafd3475532c577cfc618"/>
    <w:p>
      <w:pPr>
        <w:pStyle w:val="Heading3"/>
      </w:pPr>
      <w:r>
        <w:t xml:space="preserve">5.4.5.2 Managerial Strategies for Enhancing Stewardship</w:t>
      </w:r>
    </w:p>
    <w:p>
      <w:pPr>
        <w:pStyle w:val="FirstParagraph"/>
      </w:pPr>
      <w:r>
        <w:t xml:space="preserve">Managerially, DMB executives ought to prioritize stewardship-oriented training programs to internalize regulatory clarity cues, thereby cultivating compliance mechanisms that buffer devaluation impacts and attenuate agency conflicts through enhanced fiduciary diligence. This strategy resonates with stewardship theory’s intrinsic motivation paradigm, wherein perceptual clarity fosters managerial alignments toward collective welfare, yet requires enforcement to overcome extrinsic volatilities in emerging markets (Donaldson &amp; Davis, 1991). Empirical depth from post-2014 studies reinforces this: a 2025 investigation into corporate governance’s effects on financial performance in Nigerian DMBs (2016–2022) reveals that board composition and risk management training reduce NPL sensitivities by fostering operational resilience. Correspondingly, executives could implement perceptual audits aligned with OECD principles, integrating scenario planning for inflation spikes to amplify direct effects (ADE = -0.861), as advocated in UUBO’s 2024 review of CBN-driven regulatory changes. In practice, this entails whistleblowing safeguards and diversity mandates under NCCG 2018, mitigating patronage biases that dilute mediation pathways (ACME = -0.066). Such strategies extend beyond compliance to institutionalize resource dependence buffers, enabling DMBs to navigate oil-price dependencies and promote sustainable default risk mitigation in Nigeria’s volatile economy (Pfeffer &amp; Salancik, 1978).</w:t>
      </w:r>
    </w:p>
    <w:bookmarkEnd w:id="66"/>
    <w:bookmarkStart w:id="67" w:name="Xc581211dab5f70dcda15562bee6f108f58cd679"/>
    <w:p>
      <w:pPr>
        <w:pStyle w:val="Heading3"/>
      </w:pPr>
      <w:r>
        <w:t xml:space="preserve">5.4.5.3 Regulatory Enhancements through Basel III Integration</w:t>
      </w:r>
    </w:p>
    <w:p>
      <w:pPr>
        <w:pStyle w:val="FirstParagraph"/>
      </w:pPr>
      <w:r>
        <w:t xml:space="preserve">Regulatorily, integrating NDIC into CBN–SEC harmonization frameworks could rectify institutional voids, enforcing Basel III liquidity norms to augment mediation effects amid inflationary pressures and devaluation shocks. This prescription draws from institutional theory’s focus on normative convergence, wherein unified oversight activates compliance efficacy to yield significant NPL attenuations (Scott, 2014). Recent scholarship provides depth: a 2025 study on risk management in Nigerian commercial banks highlights board independence’s role in curbing NPLs through enhanced liquidity coverage ratios (LCR), yet notes multiplicity’s dilutive impact absent integration. Similarly, a 2024 analysis of corporate governance’s liquidity effects in listed DMBs recommends stringent enforcement of capital adequacy under BOFIA 2020 amendments to counteract NPL persistence. In addressing RQ4, regulators should mandate zero-tolerance governance policies per CBN reforms, aligning with OECD’s 2023 critiques of emerging opacity to foster isomorphic adoption (CBN, 2025; OECD, 2023). Practically, this involves liquidity stress testing and anti-corruption audits, potentially reducing provisioning costs by USD 200–300 million annually across sampled DMBs, as inferred from economic magnitude assessments in analogous contexts (Elias, 2024).</w:t>
      </w:r>
      <w:r>
        <w:t xml:space="preserve"> </w:t>
      </w:r>
      <w:r>
        <w:t xml:space="preserve">Collectively, these implications synthesize the thesis’s overarching narrative, wherein perceptual reforms necessitate enforcement moderators to modulate NPL declines, informing unified frameworks that reconcile agency frictions with stewardship ideals for enhanced fiscal stability in Nigeria’s DMB sector.</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Discussion</dc:title>
  <dc:creator>Isaiah Jimoh-Ibrahim</dc:creator>
  <cp:keywords/>
  <dcterms:created xsi:type="dcterms:W3CDTF">2025-11-12T15:11:09Z</dcterms:created>
  <dcterms:modified xsi:type="dcterms:W3CDTF">2025-11-12T15:11:09Z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11, 2025</vt:lpwstr>
  </property>
</Properties>
</file>