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oter3.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4.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fontTable.xml" ContentType="application/vnd.openxmlformats-officedocument.wordprocessingml.fontTable+xml"/>
  <Override PartName="/word/footer1.xml" ContentType="application/vnd.openxmlformats-officedocument.wordprocessingml.footer+xml"/>
  <Override PartName="/word/footer5.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Chapter 1: Introduction</w:t>
      </w:r>
    </w:p>
    <w:p>
      <w:pPr>
        <w:pStyle w:val="Normal"/>
        <w:bidi w:val="0"/>
        <w:jc w:val="left"/>
        <w:rPr/>
      </w:pPr>
      <w:r>
        <w:rPr/>
      </w:r>
    </w:p>
    <w:p>
      <w:pPr>
        <w:pStyle w:val="Normal"/>
        <w:bidi w:val="0"/>
        <w:jc w:val="left"/>
        <w:rPr/>
      </w:pPr>
      <w:r>
        <w:rPr/>
        <w:t>This chapter establishes the foundational context for the thesis, delineating the historical and institutional underpinnings of corporate governance challenges in Nigeria's deposit money banking (DMB) sector. It commences with a background overview, followed by targeted explorations of governance issues emphasizing transparency and accountability, default risk dynamics, regulatory multiplicity, and broader banking governance hurdles. Subsequently, it articulates the problem statement, research aim and objectives, research questions, theoretical framework, significance of the study, and scope with delimitations. These elements collectively frame the inquiry, aligning with a mixed-methods paradigm that integrates panel fixed-effects regressions and bootstrapped mediation models to unpack governance-NPL interdependencies amid regulatory evolutions.</w:t>
      </w:r>
    </w:p>
    <w:p>
      <w:pPr>
        <w:pStyle w:val="Normal"/>
        <w:bidi w:val="0"/>
        <w:jc w:val="left"/>
        <w:rPr/>
      </w:pPr>
      <w:r>
        <w:rPr/>
      </w:r>
    </w:p>
    <w:p>
      <w:pPr>
        <w:pStyle w:val="Normal"/>
        <w:bidi w:val="0"/>
        <w:jc w:val="left"/>
        <w:rPr/>
      </w:pPr>
      <w:r>
        <w:rPr/>
        <w:t>1.1 Background to the Study</w:t>
      </w:r>
    </w:p>
    <w:p>
      <w:pPr>
        <w:pStyle w:val="Normal"/>
        <w:bidi w:val="0"/>
        <w:jc w:val="left"/>
        <w:rPr/>
      </w:pPr>
      <w:r>
        <w:rPr/>
      </w:r>
    </w:p>
    <w:p>
      <w:pPr>
        <w:pStyle w:val="Normal"/>
        <w:bidi w:val="0"/>
        <w:jc w:val="left"/>
        <w:rPr/>
      </w:pPr>
      <w:r>
        <w:rPr/>
        <w:t>The Nigerian deposit money banking (DMB) sector has long been a cornerstone of the nation’s economic infrastructure, facilitating credit allocation, financial intermediation, and systemic stability amid volatile macroeconomic conditions. However, its evolution has been punctuated by recurrent governance crises that have precipitated institutional failures and amplified default risks, as manifested in elevated non-performing loan (NPL) ratios. Historically, the sector’s governance challenges trace back to the pre-independence era, where colonial banking structures emphasized extractive practices over indigenous accountability mechanisms, setting a precedent for opacity and elite capture (Falola &amp; Heaton, 2008). Post-independence, the indigenization policies of the 1970s aimed to localize control but inadvertently entrenched familial and political influences in board compositions, fostering agency conflicts that undermined prudent risk management (Adegbite et al., 2012). This institutional legacy culminated in the distress era of the late 1980s and early 1990s, during which bank failures were recorded, driven by insider lending, inadequate disclosure, and regulatory laxity.</w:t>
      </w:r>
    </w:p>
    <w:p>
      <w:pPr>
        <w:pStyle w:val="Normal"/>
        <w:bidi w:val="0"/>
        <w:jc w:val="left"/>
        <w:rPr/>
      </w:pPr>
      <w:r>
        <w:rPr/>
      </w:r>
    </w:p>
    <w:p>
      <w:pPr>
        <w:pStyle w:val="Normal"/>
        <w:bidi w:val="0"/>
        <w:jc w:val="left"/>
        <w:rPr/>
      </w:pPr>
      <w:r>
        <w:rPr/>
        <w:t>Building upon this foundation, the 2004–2005 banking consolidation under the Central Bank of Nigeria (CBN) represented a pivotal institutional response, mandating a minimum capital base of ₦25 billion and reducing the number of banks from 89 to 25 through mergers and acquisitions (Soludo, 2004). This reform sought to enhance resilience by promoting economies of scale and professionalizing governance structures, yet it inadvertently amplified concentration risks and perpetuated cronyism in larger entities. Correspondingly, the 2009 financial crisis exposed persistent deficiencies.</w:t>
      </w:r>
    </w:p>
    <w:p>
      <w:pPr>
        <w:pStyle w:val="Normal"/>
        <w:bidi w:val="0"/>
        <w:jc w:val="left"/>
        <w:rPr/>
      </w:pPr>
      <w:r>
        <w:rPr/>
      </w:r>
    </w:p>
    <w:p>
      <w:pPr>
        <w:pStyle w:val="Normal"/>
        <w:bidi w:val="0"/>
        <w:jc w:val="left"/>
        <w:rPr/>
      </w:pPr>
      <w:r>
        <w:rPr/>
        <w:t>In response to these entrenched challenges, successive reforms have aimed to institutionalize robust governance frameworks, drawing on global standards while adapting to Nigeria’s emerging market context. The CBN Code of Corporate Governance for Banks 2014 introduced mandates for board diversity, with at least 50% independent directors and executive tenure limits to mitigate agency conflicts. The Nigerian Code of Corporate Governance (NCCG) 2018 and Companies and Allied Matters Act (CAMA) 2020 further reinforced disclosure and compliance protocols, while CBN Guidelines 2023 emphasized risk management integration. These evolutions reflect efforts to align with Basel III principles, addressing regulatory fragmentation through harmonization initiatives with the Securities and Exchange Commission (SEC) from 2020 onward.</w:t>
      </w:r>
    </w:p>
    <w:p>
      <w:pPr>
        <w:pStyle w:val="Normal"/>
        <w:bidi w:val="0"/>
        <w:jc w:val="left"/>
        <w:rPr/>
      </w:pPr>
      <w:r>
        <w:rPr/>
      </w:r>
    </w:p>
    <w:p>
      <w:pPr>
        <w:pStyle w:val="Normal"/>
        <w:bidi w:val="0"/>
        <w:jc w:val="left"/>
        <w:rPr/>
      </w:pPr>
      <w:r>
        <w:rPr/>
        <w:t>At its core, corporate governance in banking encompasses mechanisms—such as board oversight, disclosure protocols, and compliance frameworks—that ensure transparency, accountability, and prudent decision-making to safeguard stakeholder interests (OECD, 2023). In the Nigerian DMB sector, these mechanisms are theoretically anchored in agency theory, which highlights the need to align managerial actions with shareholder value through monitoring, and stewardship theory, which emphasizes intrinsic motivations for ethical conduct (Jensen &amp; Meckling, 1976; Davis et al., 1997). Yet, poor governance manifests in elevated NPL ratios, defined as the proportion of loans overdue by 90 days or more, serving as a proxy for default risk and credit quality deterioration (IMF, 2023). The conceptual nexus is evident: deficient disclosure obscures risk exposures, weak practices enable insider abuses, and non-compliance erodes regulatory trust, collectively precipitating NPL escalations that strain capital buffers and threaten solvency (Abdulmalik &amp; Ahmad, 2020). For instance, pre-reform periods (2009–2014) saw insignificant governance-NPL linkages due to lax enforcement, while post-reform shifts (2016–2024) suggest negative associations attributable to enhanced credibility, though mediated by macroeconomic confounders like oil price volatility and GDP fluctuations (Natufe &amp; Evbayiro-Osagie, 2023).</w:t>
      </w:r>
    </w:p>
    <w:p>
      <w:pPr>
        <w:pStyle w:val="Normal"/>
        <w:bidi w:val="0"/>
        <w:jc w:val="left"/>
        <w:rPr/>
      </w:pPr>
      <w:r>
        <w:rPr/>
      </w:r>
    </w:p>
    <w:p>
      <w:pPr>
        <w:pStyle w:val="Normal"/>
        <w:bidi w:val="0"/>
        <w:jc w:val="left"/>
        <w:rPr/>
      </w:pPr>
      <w:r>
        <w:rPr/>
        <w:t>Comparatively, global benchmarks under Basel III and OECD principles advocate for integrated governance that embeds risk management into board responsibilities, achieving NPL ratios below 2% in mature markets like the UK and US through cohesive regulatory regimes (BCBS, 2010; OECD, 2023). In contrast, emerging African contexts such as Ghana and South Africa exhibit varying NPL abatements post-reforms, underscoring institutional contingencies where harmonized mandates amplify efficacy (Agyemang &amp; Castellini, 2015).</w:t>
      </w:r>
    </w:p>
    <w:p>
      <w:pPr>
        <w:pStyle w:val="Normal"/>
        <w:bidi w:val="0"/>
        <w:jc w:val="left"/>
        <w:rPr/>
      </w:pPr>
      <w:r>
        <w:rPr/>
      </w:r>
    </w:p>
    <w:p>
      <w:pPr>
        <w:pStyle w:val="Normal"/>
        <w:bidi w:val="0"/>
        <w:jc w:val="left"/>
        <w:rPr/>
      </w:pPr>
      <w:r>
        <w:rPr/>
        <w:t>These historical, reformative, and conceptual dimensions collectively illuminate a critical mismatch: while formal governance apparatuses have evolved, their translation into reduced default risks remains uneven amid regulatory fragmentation and economic volatilities. To elucidate these interdependencies, the following subsections delve into specific facets of governance challenges, default risks, regulatory multiplicity, and broader institutional hurdles in the Nigerian DMB sector, setting the stage for the research questions that guide this thesis.</w:t>
      </w:r>
    </w:p>
    <w:p>
      <w:pPr>
        <w:pStyle w:val="Normal"/>
        <w:bidi w:val="0"/>
        <w:jc w:val="left"/>
        <w:rPr/>
      </w:pPr>
      <w:r>
        <w:rPr/>
      </w:r>
    </w:p>
    <w:p>
      <w:pPr>
        <w:pStyle w:val="Normal"/>
        <w:bidi w:val="0"/>
        <w:jc w:val="left"/>
        <w:rPr/>
      </w:pPr>
      <w:r>
        <w:rPr/>
        <w:t>1.1.1 Corporate Governance Issues: Emphasis on Transparency and Accountability</w:t>
      </w:r>
    </w:p>
    <w:p>
      <w:pPr>
        <w:pStyle w:val="Normal"/>
        <w:bidi w:val="0"/>
        <w:jc w:val="left"/>
        <w:rPr/>
      </w:pPr>
      <w:r>
        <w:rPr/>
      </w:r>
    </w:p>
    <w:p>
      <w:pPr>
        <w:pStyle w:val="Normal"/>
        <w:bidi w:val="0"/>
        <w:jc w:val="left"/>
        <w:rPr/>
      </w:pPr>
      <w:r>
        <w:rPr/>
        <w:t>Corporate governance in Nigeria’s deposit money banking sector is pivotal for ensuring financial stability, yet it faces systemic challenges that undermine transparency and accountability—two essential pillars for fostering trust and safeguarding stakeholder interests. Transparency ensures stakeholders have access to accurate, timely, and comprehensive information about a bank’s financial and operational performance, while accountability holds management and boards responsible for their actions, aligning their interests with those of shareholders and other stakeholders (Solomon, 2020; Healy &amp; Palepu, 2001). In Nigeria, these principles are consistently eroded by deficiencies in board oversight, disclosure practices, stakeholder communication, audit controls, and executive compensation practices, leading to reduced investor trust, heightened regulatory scrutiny, and reputational damage, all of which contribute to heightened default risk. This subsection examines these issues within the Nigerian context, drawing on historical legacies, regulatory challenges, and specific cases like Oceanic Bank to highlight their impact, and proposes measures to strengthen governance and mitigate the risk of bank failures.</w:t>
      </w:r>
    </w:p>
    <w:p>
      <w:pPr>
        <w:pStyle w:val="Normal"/>
        <w:bidi w:val="0"/>
        <w:jc w:val="left"/>
        <w:rPr/>
      </w:pPr>
      <w:r>
        <w:rPr/>
      </w:r>
    </w:p>
    <w:p>
      <w:pPr>
        <w:pStyle w:val="Normal"/>
        <w:bidi w:val="0"/>
        <w:jc w:val="left"/>
        <w:rPr/>
      </w:pPr>
      <w:r>
        <w:rPr/>
        <w:t>The board of directors, as the cornerstone of corporate governance, is responsible for overseeing management, setting strategic direction, and ensuring accountability to shareholders (Aguilera Ruiz Castillo, 2025; OECD, 2023). However, in Nigeria’s banking sector, boards often lack the independence and effectiveness needed to fulfill these roles. Historical government interference, particularly before 1986, and post-independence political appointments have fostered a culture of cronyism, with boards frequently populated by unqualified or politically motivated members (Chinweoda et al., 2020; Nwoke et al., 2022). At Oceanic Bank, for example, the presence of family members such as Mrs. Ibru and Mr. Oboden Ibru on the board enabled insider loans, with over 75% of loans extended to entities controlled by the Ibru family, reflecting severe agency conflicts and weak oversight (Sanusi, 2009).</w:t>
      </w:r>
    </w:p>
    <w:p>
      <w:pPr>
        <w:pStyle w:val="Normal"/>
        <w:bidi w:val="0"/>
        <w:jc w:val="left"/>
        <w:rPr/>
      </w:pPr>
      <w:r>
        <w:rPr/>
      </w:r>
    </w:p>
    <w:p>
      <w:pPr>
        <w:pStyle w:val="Normal"/>
        <w:bidi w:val="0"/>
        <w:jc w:val="left"/>
        <w:rPr/>
      </w:pPr>
      <w:r>
        <w:rPr/>
        <w:t>Transparent disclosure and reporting practices are vital for stakeholders to assess a bank’s financial health, yet Nigerian banks frequently engage in financial misstatements and fail to provide timely information. Many banks deviate from proper accounting standards, exploiting regulatory multiplicity to adopt less stringent codes, which distorts their financial position (Babajide et al., 2020; Osemeke &amp; Adegbite, 2016). During the 2009 banking crisis, for instance, weak oversight allowed banks like Oceanic Bank to conceal non-performing loans through inadequate reporting, delaying stakeholder awareness of financial distress (Olojede et al., 2020). While the shift of Audit Committee reports from voluntary to mandatory has aimed to improve transparency, their effectiveness is often compromised when committees lack independence, functioning at the behest of majority shareholders or management (Healy &amp; Palepu, 2001; Adegbite, 2014). This opacity erodes investor confidence and increases the risk of bank failures, as stakeholders cannot accurately gauge the bank’s stability (Ugochukwu, 2000).</w:t>
      </w:r>
    </w:p>
    <w:p>
      <w:pPr>
        <w:pStyle w:val="Normal"/>
        <w:bidi w:val="0"/>
        <w:jc w:val="left"/>
        <w:rPr/>
      </w:pPr>
      <w:r>
        <w:rPr/>
      </w:r>
    </w:p>
    <w:p>
      <w:pPr>
        <w:pStyle w:val="Normal"/>
        <w:bidi w:val="0"/>
        <w:jc w:val="left"/>
        <w:rPr/>
      </w:pPr>
      <w:r>
        <w:rPr/>
        <w:t>Effective governance also requires robust stakeholder communication and the protection of rights, particularly for minority shareholders, but Nigerian banks often exhibit opaque decision-making and neglect these groups. Management frequently prioritizes its own interests over those of shareholders, a classic agency problem exacerbated by weak board oversight (Osemeke &amp; Adegbite, 2016). In the case of Oceanic Bank, decisions on insider loans and asset transfers to shell companies were made without transparent communication to shareholders, marginalizing minority voices and eroding trust (Sanusi, 2009). Regulatory multiplicity further complicates this issue, as conflicting codes—such as the NCCG’s “Apply and Explain” flexibility versus the CBN’s stricter mandates—create ambiguity in enforcing shareholder rights (Abdulmalik &amp; Ahmad, 2020). The absence of robust whistleblowing mechanisms, a key factor in the 2009 crisis, also stifles stakeholders’ ability to report misconduct, further entrenching opacity in decision-making and undermining accountability (Olojede et al., 2020).</w:t>
      </w:r>
    </w:p>
    <w:p>
      <w:pPr>
        <w:pStyle w:val="Normal"/>
        <w:bidi w:val="0"/>
        <w:jc w:val="left"/>
        <w:rPr/>
      </w:pPr>
      <w:r>
        <w:rPr/>
      </w:r>
    </w:p>
    <w:p>
      <w:pPr>
        <w:pStyle w:val="Normal"/>
        <w:bidi w:val="0"/>
        <w:jc w:val="left"/>
        <w:rPr/>
      </w:pPr>
      <w:r>
        <w:rPr/>
        <w:t>Audit committees and internal controls are critical for ensuring transparency in financial reporting and detecting mismanagement, but in Nigeria, these mechanisms are often weak and subject to external auditor conflicts. Audit committees lack independence, with CAMA Section 359(4)’s mandate for equal representation of directors and shareholders undermined by majority shareholder influence (Adegbite, 2014). During the 2009 crisis, audit committees failed to rigorously review financial statements, allowing fraud and financial impropriety to go undetected (Olojede et al., 2020). External auditor conflicts, similar to those seen in global cases like Enron where auditors faced constraints in investigating company affairs, are also prevalent in Nigeria, weakening the oversight of internal controls and allowing financial misstatements to persist (Mallin, 2010; Rezaee et al., 2003; Hossain &amp; Hou, 2020). These deficiencies increase default risk by obscuring the true financial health of banks.</w:t>
      </w:r>
    </w:p>
    <w:p>
      <w:pPr>
        <w:pStyle w:val="Normal"/>
        <w:bidi w:val="0"/>
        <w:jc w:val="left"/>
        <w:rPr/>
      </w:pPr>
      <w:r>
        <w:rPr/>
      </w:r>
    </w:p>
    <w:p>
      <w:pPr>
        <w:pStyle w:val="Normal"/>
        <w:bidi w:val="0"/>
        <w:jc w:val="left"/>
        <w:rPr/>
      </w:pPr>
      <w:r>
        <w:rPr/>
        <w:t>Executive compensation structures, intended to align management’s interests with those of shareholders, often foster misaligned incentives and lack transparency in Nigeria’s banking sector. Regulatory multiplicity creates discrepancies in remuneration policies, with codes like the SEC Code of 2011 requiring shareholder approval for compensation, while the NCCG allows more flexibility, leading to inconsistent practices (Osemeke &amp; Adegbite, 2016). At Oceanic Bank, undisclosed and excessive compensation to executives tied to the Ibru family facilitated insider dealings, prioritizing personal gain over shareholder interests (Sanusi, 2009). Such non-disclosure obscures accountability, as stakeholders cannot assess whether incentives drive ethical performance, while the lack of performance-linked compensation allows executives to face little consequence for mismanagement, further increasing the risk of financial distress (Al-Shaer et al., 2022; Salehi et al., 2023).</w:t>
      </w:r>
    </w:p>
    <w:p>
      <w:pPr>
        <w:pStyle w:val="Normal"/>
        <w:bidi w:val="0"/>
        <w:jc w:val="left"/>
        <w:rPr/>
      </w:pPr>
      <w:r>
        <w:rPr/>
      </w:r>
    </w:p>
    <w:p>
      <w:pPr>
        <w:pStyle w:val="Normal"/>
        <w:bidi w:val="0"/>
        <w:jc w:val="left"/>
        <w:rPr/>
      </w:pPr>
      <w:r>
        <w:rPr/>
        <w:t>These governance issues have profound consequences for transparency and accountability in Nigeria’s banking sector. Opaque decision-making, financial misstatements, and non-disclosure of compensation reduce investor trust, leaving them unable to make informed decisions, as evidenced by mass deposit withdrawals following the 2009 crisis (Ugochukwu, 2000). Regulatory scrutiny intensifies as agencies like the Central Bank of Nigeria (CBN) and the Financial Reporting Council of Nigeria (FRCN) struggle to enforce compliance amidst conflicting codes, with weak enforcement mechanisms failing to deter governance failures (Nwoke et al., 2023; Adegbite, 2012). Reputational damage follows, as public backlash against governance lapses—similar to global cases like United Airlines in 2017—erodes stakeholder confidence and impacts banks’ market standing (Shepardson, 2017). Collectively, these issues heighten default risk, underscoring the systemic consequences of governance deficiencies (Udo, 2020).</w:t>
      </w:r>
    </w:p>
    <w:p>
      <w:pPr>
        <w:pStyle w:val="Normal"/>
        <w:bidi w:val="0"/>
        <w:jc w:val="left"/>
        <w:rPr/>
      </w:pPr>
      <w:r>
        <w:rPr/>
      </w:r>
    </w:p>
    <w:p>
      <w:pPr>
        <w:pStyle w:val="Normal"/>
        <w:bidi w:val="0"/>
        <w:jc w:val="left"/>
        <w:rPr/>
      </w:pPr>
      <w:r>
        <w:rPr/>
        <w:t>Addressing these challenges requires targeted measures to strengthen transparency and accountability. Boards must be made more independent by mandating nomination committees to ensure diverse, qualified, and impartial members, reducing the influence of concentrated ownership (Ogbechie, 2016; Fariha et al., 2022). Stricter enforcement of timely and accurate financial reporting, with audit committees empowered to operate independently, is essential to improve disclosure standards (Healy &amp; Palepu, 2001; Al-Shaer et al., 2022). Robust whistleblowing mechanisms and independent external audits can enhance internal controls, detecting and preventing financial impropriety (Olojede et al., 2020; Rezaee et al., 2003). Aligning executive compensation with performance, coupled with mandatory disclosure of remuneration policies, ensures incentives drive ethical behavior and enhance transparency (Salehi et al., 2023). Continuous monitoring through regular governance audits, stakeholder feedback, and regulatory harmonization is vital to sustain these reforms, aligning Nigeria’s banking sector with global best practices (Herbert &amp; Agwor, 2021; Beekes &amp; Brown, 2006).</w:t>
      </w:r>
    </w:p>
    <w:p>
      <w:pPr>
        <w:pStyle w:val="Normal"/>
        <w:bidi w:val="0"/>
        <w:jc w:val="left"/>
        <w:rPr/>
      </w:pPr>
      <w:r>
        <w:rPr/>
      </w:r>
    </w:p>
    <w:p>
      <w:pPr>
        <w:pStyle w:val="Normal"/>
        <w:bidi w:val="0"/>
        <w:jc w:val="left"/>
        <w:rPr/>
      </w:pPr>
      <w:r>
        <w:rPr/>
        <w:t>In conclusion, transparency and accountability are indispensable for effective corporate governance in Nigeria’s deposit money banking sector, yet they are consistently undermined by systemic issues in board oversight, disclosure practices, stakeholder communication, audit controls, and executive compensation. These deficiencies, rooted in historical legacies and exacerbated by regulatory multiplicity, have led to reduced investor trust, heightened regulatory scrutiny, and reputational damage, contributing to persistent default risk (Udo, 2020; Kafidipe, 2021). Cases like Oceanic Bank illustrate how these governance failures—lacking independent oversight, concealing financial distress, and misaligning incentives—threaten financial stability and stakeholder confidence. Implementing measures such as strengthening board independence, improving disclosure standards, enhancing internal controls, and aligning compensation with performance is critical to restoring trust and mitigating default risk. Ongoing monitoring and regulatory harmonization will ensure these reforms are sustainable, aligning Nigeria’s banking governance with global standards and supporting its role in economic growth (King &amp; Levine, 1993; Siyanbola, 2019). This analysis sets the stage for further empirical exploration, as outlined in the research questions.</w:t>
      </w:r>
    </w:p>
    <w:p>
      <w:pPr>
        <w:pStyle w:val="Normal"/>
        <w:bidi w:val="0"/>
        <w:jc w:val="left"/>
        <w:rPr/>
      </w:pPr>
      <w:r>
        <w:rPr/>
      </w:r>
    </w:p>
    <w:p>
      <w:pPr>
        <w:pStyle w:val="Normal"/>
        <w:bidi w:val="0"/>
        <w:jc w:val="left"/>
        <w:rPr/>
      </w:pPr>
      <w:r>
        <w:rPr/>
        <w:t>1.1.2 Default Risk and Nigerian Banks</w:t>
      </w:r>
    </w:p>
    <w:p>
      <w:pPr>
        <w:pStyle w:val="Normal"/>
        <w:bidi w:val="0"/>
        <w:jc w:val="left"/>
        <w:rPr/>
      </w:pPr>
      <w:r>
        <w:rPr/>
      </w:r>
    </w:p>
    <w:p>
      <w:pPr>
        <w:pStyle w:val="Normal"/>
        <w:bidi w:val="0"/>
        <w:jc w:val="left"/>
        <w:rPr/>
      </w:pPr>
      <w:r>
        <w:rPr/>
        <w:t>The Nigerian banking sector, particularly deposit money banks (DMBs), has faced recurrent defaults, exposing critical weaknesses in corporate governance, risk management, and regulatory oversight. These failures have destabilized the financial system, eroded stakeholder confidence, and required substantial government interventions. The causes of bank defaults in Nigeria are multifaceted, stemming from a complex interplay of institutional, economic, political, supervisory, and regulatory inadequacies, as identified by Ogunleye (2002). A primary driver is weak corporate governance, marked by inadequate board oversight, lack of transparency, and poor management practices. The Central Bank of Nigeria (CBN) has highlighted inefficient, incompetent, and unstable management as a key factor in collapses, such as that of Savannah Bank, once a top 10 financial institution. Governance failures often involve violations of best practices, including insider loans, unlawful credits, and transactions with shell companies controlled by bank insiders, amplifying moral hazard problems.</w:t>
      </w:r>
    </w:p>
    <w:p>
      <w:pPr>
        <w:pStyle w:val="Normal"/>
        <w:bidi w:val="0"/>
        <w:jc w:val="left"/>
        <w:rPr/>
      </w:pPr>
      <w:r>
        <w:rPr/>
      </w:r>
    </w:p>
    <w:p>
      <w:pPr>
        <w:pStyle w:val="Normal"/>
        <w:bidi w:val="0"/>
        <w:jc w:val="left"/>
        <w:rPr/>
      </w:pPr>
      <w:r>
        <w:rPr/>
        <w:t>Agency issues further heighten the risk of default. The principal-agent problem, first articulated by Adam Smith (1776), reveals how managers may prioritize self-interest over the institution’s survival, especially in banks with concentrated ownership structures. Fernando et al. (2019) note that companies with concentrated ownership show a higher correlation with default than those with distributed ownership, as managers misuse depositors’ funds through special purpose vehicles (SPVs) for unjust enrichment (Abubakar, 2011). This contributes to elevated non-performing loans (NPLs).</w:t>
      </w:r>
    </w:p>
    <w:p>
      <w:pPr>
        <w:pStyle w:val="Normal"/>
        <w:bidi w:val="0"/>
        <w:jc w:val="left"/>
        <w:rPr/>
      </w:pPr>
      <w:r>
        <w:rPr/>
      </w:r>
    </w:p>
    <w:p>
      <w:pPr>
        <w:pStyle w:val="Normal"/>
        <w:bidi w:val="0"/>
        <w:jc w:val="left"/>
        <w:rPr/>
      </w:pPr>
      <w:r>
        <w:rPr/>
        <w:t>Several high-profile cases illustrate the severity of bank defaults in Nigeria. Savannah Bank’s collapse, as noted by the CBN, was driven by managerial incompetence and instability, marking a significant loss for a once-prominent institution. In 2009, five major banks—Afribank, Finbank, Intercontinental Bank, Oceanic Bank, and Union Bank—holding 30% of the sector’s assets were declared insolvent due to excessive insider lending and poor governance, necessitating a ₦620 billion bailout (Sanusi, 2009). These events underscore how governance lapses, including weak board committees and unqualified directors, exacerbate default risks in a sector where regulatory multiplicity dilutes accountability.</w:t>
      </w:r>
    </w:p>
    <w:p>
      <w:pPr>
        <w:pStyle w:val="Normal"/>
        <w:bidi w:val="0"/>
        <w:jc w:val="left"/>
        <w:rPr/>
      </w:pPr>
      <w:r>
        <w:rPr/>
      </w:r>
    </w:p>
    <w:p>
      <w:pPr>
        <w:pStyle w:val="Normal"/>
        <w:bidi w:val="0"/>
        <w:jc w:val="left"/>
        <w:rPr/>
      </w:pPr>
      <w:r>
        <w:rPr/>
        <w:t>The repercussions of bank defaults in Nigeria extend beyond individual institutions, threatening financial stability and stakeholder interests. High levels of non-performing loans strain capital adequacy, leading to reduced lending, eroded depositor confidence, and systemic contagion (Sanusi, 2009). The 2009 crisis, for instance, triggered depositor runs and necessitated government interventions, highlighting how poor governance undermines economic growth in an oil-dependent economy (Fadare, 2011).</w:t>
      </w:r>
    </w:p>
    <w:p>
      <w:pPr>
        <w:pStyle w:val="Normal"/>
        <w:bidi w:val="0"/>
        <w:jc w:val="left"/>
        <w:rPr/>
      </w:pPr>
      <w:r>
        <w:rPr/>
      </w:r>
    </w:p>
    <w:p>
      <w:pPr>
        <w:pStyle w:val="Normal"/>
        <w:bidi w:val="0"/>
        <w:jc w:val="left"/>
        <w:rPr/>
      </w:pPr>
      <w:r>
        <w:rPr/>
        <w:t>In response to these crises, the Nigerian government and the CBN have implemented several measures to bolster stability and governance in deposit money banks. In 2006, a consolidation strategy aimed to strengthen banks by merging weaker institutions, while in 2009, the CBN mandated a minimum capital base of 25 billion naira (162 million) for insured banks (Onaolapo et al., 2019). These efforts sought to enhance resilience. The Asset Management Corporation of Nigeria (AMCON), established in 2010, absorbed toxic assets worth ₦4 trillion, injecting ₦620 billion into ten banks and dismissing eight managing directors, addressed immediate liquidity crises but also exposed deep-seated governance failures (Fadare, 2011). Regulatory actions extended to enforcement, with the CBN removing 178 bank executives and blacklisting 75 for weak governance practices tied to agency issues (Jimoh &amp; Iyoha, 2012). The NDIC played a critical role, managing insolvency, highlighting the scale of the challenge (Udo, 2020). Deposit insurance and prudential regulations, such as capital adequacy requirements and risk-based deposit insurance premiums, were introduced to protect depositors and curb risky behavior by bank owners reliant on government guarantees (Demirgüç-Kunt &amp; Huizinga, 2010; World Bank, 2019). Despite these measures, regulatory multiplicity and inconsistent enforcement remain obstacles. Post-consolidation, many banks grew in size but suffered from poor management, ill-functioning board committees, and a lack of expertise, undermining governance mechanisms (Abubakar, 2011). The CBN and scholars like Kasum (2014) stress that corporate governance and agency issues were leading contributors to the 2009 crisis, necessitating ongoing monitoring and evaluation to ensure the effectiveness of these reforms in protecting depositors and promoting sustainability.</w:t>
      </w:r>
    </w:p>
    <w:p>
      <w:pPr>
        <w:pStyle w:val="Normal"/>
        <w:bidi w:val="0"/>
        <w:jc w:val="left"/>
        <w:rPr/>
      </w:pPr>
      <w:r>
        <w:rPr/>
      </w:r>
    </w:p>
    <w:p>
      <w:pPr>
        <w:pStyle w:val="Normal"/>
        <w:bidi w:val="0"/>
        <w:jc w:val="left"/>
        <w:rPr/>
      </w:pPr>
      <w:r>
        <w:rPr/>
        <w:t>The recurring defaults in Nigerian deposit money banks highlight the urgent need for a comprehensive approach to corporate governance and regulation. Weak governance, agency conflicts, and inadequate risk management have fueled systemic instability, with high non-performing loans and moral hazard problems posing ongoing threats. While consolidation, capital requirements, and regulatory interventions have provided temporary relief, the persistence of supervisory gaps and the lack of board expertise demand further reform. Addressing these challenges requires strengthening board oversight, enhancing transparency, and aligning regulatory frameworks to mitigate risk, protect stakeholders, and ensure the long-term stability of Nigeria’s banking sector. This research contributes to these efforts by examining corporate governance practices to propose actionable reforms that enhance financial stability in Nigeria’s banking sector, directly informing RQ1 and RQ3 on governance indices and reform-induced shifts in NPL dynamics.</w:t>
      </w:r>
    </w:p>
    <w:p>
      <w:pPr>
        <w:pStyle w:val="Normal"/>
        <w:bidi w:val="0"/>
        <w:jc w:val="left"/>
        <w:rPr/>
      </w:pPr>
      <w:r>
        <w:rPr/>
      </w:r>
    </w:p>
    <w:p>
      <w:pPr>
        <w:pStyle w:val="Normal"/>
        <w:bidi w:val="0"/>
        <w:jc w:val="left"/>
        <w:rPr/>
      </w:pPr>
      <w:r>
        <w:rPr/>
        <w:t>1.1.3 Issues of Financial Regulatory Multiplicity in Nigeria</w:t>
      </w:r>
    </w:p>
    <w:p>
      <w:pPr>
        <w:pStyle w:val="Normal"/>
        <w:bidi w:val="0"/>
        <w:jc w:val="left"/>
        <w:rPr/>
      </w:pPr>
      <w:r>
        <w:rPr/>
      </w:r>
    </w:p>
    <w:p>
      <w:pPr>
        <w:pStyle w:val="Normal"/>
        <w:bidi w:val="0"/>
        <w:jc w:val="left"/>
        <w:rPr/>
      </w:pPr>
      <w:r>
        <w:rPr/>
        <w:t>Regulatory multiplicity in corporate governance pertains to the presence of various codes of conduct that govern the behaviors and responsibilities of stakeholders within an industry (John, 2023; Ofo, 2013; Adegbite, 2014). There is an imperative for enhanced clarity regarding the definition and implementation of corporate governance codes, which serve to delineate the expected conduct of employees in particular situations (Brooks, 1989). This issue is especially evident in Nigeria, where conflicting legal frameworks undermine the autonomy of the Board of Directors and the Audit Committee. Such conflict arises from the ownership structures of firms and contributes to inadequate accounting and internal governance practices, as well as overlapping and conflicting rules and responsibilities (Abdulmalik, 2020).</w:t>
      </w:r>
    </w:p>
    <w:p>
      <w:pPr>
        <w:pStyle w:val="Normal"/>
        <w:bidi w:val="0"/>
        <w:jc w:val="left"/>
        <w:rPr/>
      </w:pPr>
      <w:r>
        <w:rPr/>
      </w:r>
    </w:p>
    <w:p>
      <w:pPr>
        <w:pStyle w:val="Normal"/>
        <w:bidi w:val="0"/>
        <w:jc w:val="left"/>
        <w:rPr/>
      </w:pPr>
      <w:r>
        <w:rPr/>
        <w:t>Moreover, the state of corporate governance in Nigeria is still developing, given that the nation has been sovereign for only 65 years as of 2025. Approximately forty percent of listed companies demonstrate a lack of understanding regarding the principles of corporate governance, a situation that can be traced back to the pre-colonial period in Nigeria (Nwaukwa, 2024; Oromaraghako et al., 2021; Wilson, 2006). This highlights the critical need for comprehensive reforms in regulatory frameworks to enhance the effectiveness of corporate governance in the country.</w:t>
      </w:r>
    </w:p>
    <w:p>
      <w:pPr>
        <w:pStyle w:val="Normal"/>
        <w:bidi w:val="0"/>
        <w:jc w:val="left"/>
        <w:rPr/>
      </w:pPr>
      <w:r>
        <w:rPr/>
      </w:r>
    </w:p>
    <w:p>
      <w:pPr>
        <w:pStyle w:val="Normal"/>
        <w:bidi w:val="0"/>
        <w:jc w:val="left"/>
        <w:rPr/>
      </w:pPr>
      <w:r>
        <w:rPr/>
        <w:t>To effectively address the unique characteristics of a country, including cultural and political ideologies, it is important for countries to have corporate governance regulations that cater to their specific needs and reflect their colonial influences (Senaratne &amp; Gunaratne, 2008; Lu et al., 2009; Ahunwan, 2002; Adegbite &amp; Nakajima, 2011; Okike &amp; Adegbite, 2012). Governments regulate companies, and companies are held legally accountable through their directors to shareholders and stakeholders through the concept of the ’corporate social contract’ (Brooks, 1989). Cultural peculiarities and colonial influence have resulted in a lack of objective regulations in the Nigerian context, where banks are unable to facilitate the development of effective legislation in the banking industry (Ugochukwu, 2000).</w:t>
      </w:r>
    </w:p>
    <w:p>
      <w:pPr>
        <w:pStyle w:val="Normal"/>
        <w:bidi w:val="0"/>
        <w:jc w:val="left"/>
        <w:rPr/>
      </w:pPr>
      <w:r>
        <w:rPr/>
      </w:r>
    </w:p>
    <w:p>
      <w:pPr>
        <w:pStyle w:val="Normal"/>
        <w:bidi w:val="0"/>
        <w:jc w:val="left"/>
        <w:rPr/>
      </w:pPr>
      <w:r>
        <w:rPr/>
        <w:t>Despite the increasing recognition of the need for effective corporate governance regulations, there is a lack of literature on the implications of regulatory multiplicity at the national level (Adegbite, 2012, 2014). On one hand, soft law promotes autonomy by encouraging voluntary compliance with good governance practices, while on the other hand, statutes carry a legal burden of responsibility for non-compliance (Adegbite, 2012, 2014). The argument for a statutory system of corporate governance in Nigeria is reinforced by the frequent failures of listed companies, linked to inadequate enforcement of regulations by regulatory agencies in addition to the saturation of regulations (Nwoke et al., 2023; Tayo-Tiwo, 2020). This position is substantiated by Wilson (2006), emphasizing the crucial role of strict adherence to fundamental principles of corporate governance.</w:t>
      </w:r>
    </w:p>
    <w:p>
      <w:pPr>
        <w:pStyle w:val="Normal"/>
        <w:bidi w:val="0"/>
        <w:jc w:val="left"/>
        <w:rPr/>
      </w:pPr>
      <w:r>
        <w:rPr/>
      </w:r>
    </w:p>
    <w:p>
      <w:pPr>
        <w:pStyle w:val="Normal"/>
        <w:bidi w:val="0"/>
        <w:jc w:val="left"/>
        <w:rPr/>
      </w:pPr>
      <w:r>
        <w:rPr/>
        <w:t>The argument for an effective statutory system of corporate governance in Nigeria is further supported by the position of the Organization for Economic Cooperation and Development (OECD). The OECD posits that, in countries with weak judicial systems, such as Nigeria (Abdulmalik, 2020), independent regulatory enforcement may be more effective than judicial enforcement (Nwoke et al., 2023; Oman, 2001). This highlights the importance of regulatory agencies in promoting compliance with corporate governance principles and ensuring the accountability and transparency of listed companies. The issues of regulatory multiplicity continue to evolve with the development of new codes of conduct or revisions to existing regulations, exacerbating the proliferation of codes within Nigeria (Tayo-Tiwo, 2020; Abdulmalik, 2020; Adegbite, 2014).</w:t>
      </w:r>
    </w:p>
    <w:p>
      <w:pPr>
        <w:pStyle w:val="Normal"/>
        <w:bidi w:val="0"/>
        <w:jc w:val="left"/>
        <w:rPr/>
      </w:pPr>
      <w:r>
        <w:rPr/>
      </w:r>
    </w:p>
    <w:p>
      <w:pPr>
        <w:pStyle w:val="Normal"/>
        <w:bidi w:val="0"/>
        <w:jc w:val="left"/>
        <w:rPr/>
      </w:pPr>
      <w:r>
        <w:rPr/>
        <w:t>However, the existence of multiple codes within a single country can address the specific needs of different firms and industries (Engle, 2007; Moghalu, 2011). Despite its potential benefits, this approach to corporate governance is also met with controversy. Some argue that multiple self-regulatory codes increase investor confidence (Macey &amp; O’Hara, 2003; BCBS, 2005, 2006; Hoffmann, 1998), while others argue that it creates an environment of uncertainty and lack of cohesion among firms (Osemeke et al., 2016; Adegbite, 2014). Additionally, this uncertainty of applicable code can lead to weak enforcement and difficulty in distinguishing between firms that comply with good governance practices and those that do not, as is the case in Nigeria (Brooks, 1989; Abdulmalik, 2020; Wilson, 2006).</w:t>
      </w:r>
    </w:p>
    <w:p>
      <w:pPr>
        <w:pStyle w:val="Normal"/>
        <w:bidi w:val="0"/>
        <w:jc w:val="left"/>
        <w:rPr/>
      </w:pPr>
      <w:r>
        <w:rPr/>
      </w:r>
    </w:p>
    <w:p>
      <w:pPr>
        <w:sectPr>
          <w:type w:val="nextPage"/>
          <w:pgSz w:w="12240" w:h="15840"/>
          <w:pgMar w:left="1134" w:right="1134" w:gutter="0" w:header="0" w:top="1134" w:footer="0" w:bottom="1134"/>
          <w:pgNumType w:fmt="decimal"/>
          <w:formProt w:val="false"/>
          <w:textDirection w:val="lrTb"/>
          <w:docGrid w:type="default" w:linePitch="312" w:charSpace="0"/>
        </w:sectPr>
        <w:pStyle w:val="Normal"/>
        <w:bidi w:val="0"/>
        <w:jc w:val="left"/>
        <w:rPr/>
      </w:pPr>
      <w:r>
        <w:rPr/>
        <w:t xml:space="preserve">The Nigerian deposit money banking industry operates within a corporate governance framework that is both extensive and fragmented (Olojede et al., 2020). This landscape is characterized by the proliferation of multiple regulatory codes, which create a complex and often contradictory environment for financial institutions (Abdulmalik, 2020). The coexistence of various governance frameworks, each overseen by different regulatory bodies, has generated challenges that impinge on decision-making processes and the quality of corporate governance within the banking sector (Shaba, 2024). The Companies and Allied Matters Act (CAMA) 2020 serves as the cornerstone of corporate governance regulations in Nigeria, overseen by the Corporate Affairs Commission (CAC). As an overarching legal framework, CAMA governs company formation, board structures, shareholder rights, and compliance for registered entities. </w:t>
      </w:r>
    </w:p>
    <w:p>
      <w:pPr>
        <w:pStyle w:val="Normal"/>
        <w:bidi w:val="0"/>
        <w:jc w:val="left"/>
        <w:rPr/>
      </w:pPr>
      <w:r>
        <w:rPr/>
        <w:t>Table 1: Corporate Governance Codes for Money Deposit Banks in Nigeria (2025)</w:t>
      </w:r>
    </w:p>
    <w:p>
      <w:pPr>
        <w:pStyle w:val="Normal"/>
        <w:bidi w:val="0"/>
        <w:jc w:val="left"/>
        <w:rPr/>
      </w:pPr>
      <w:r>
        <w:rPr/>
      </w:r>
    </w:p>
    <w:p>
      <w:pPr>
        <w:pStyle w:val="Normal"/>
        <w:bidi w:val="0"/>
        <w:jc w:val="left"/>
        <w:rPr/>
      </w:pPr>
      <w:r>
        <w:rPr/>
      </w:r>
    </w:p>
    <w:tbl>
      <w:tblPr>
        <w:tblW w:w="13232" w:type="dxa"/>
        <w:jc w:val="left"/>
        <w:tblInd w:w="36" w:type="dxa"/>
        <w:tblLayout w:type="fixed"/>
        <w:tblCellMar>
          <w:top w:w="0" w:type="dxa"/>
          <w:left w:w="36" w:type="dxa"/>
          <w:bottom w:w="0" w:type="dxa"/>
          <w:right w:w="36" w:type="dxa"/>
        </w:tblCellMar>
      </w:tblPr>
      <w:tblGrid>
        <w:gridCol w:w="1286"/>
        <w:gridCol w:w="1131"/>
        <w:gridCol w:w="2028"/>
        <w:gridCol w:w="1522"/>
        <w:gridCol w:w="1982"/>
        <w:gridCol w:w="1865"/>
        <w:gridCol w:w="3418"/>
      </w:tblGrid>
      <w:tr>
        <w:trPr/>
        <w:tc>
          <w:tcPr>
            <w:tcW w:w="1286" w:type="dxa"/>
            <w:tcBorders/>
          </w:tcPr>
          <w:p>
            <w:pPr>
              <w:pStyle w:val="TableHeading"/>
              <w:tabs>
                <w:tab w:val="clear" w:pos="709"/>
              </w:tabs>
              <w:bidi w:val="0"/>
              <w:rPr>
                <w:lang w:val="en-US"/>
              </w:rPr>
            </w:pPr>
            <w:r>
              <w:rPr>
                <w:rFonts w:ascii="Liberation Serif" w:hAnsi="Liberation Serif"/>
                <w:sz w:val="24"/>
                <w:lang w:val="en-US"/>
              </w:rPr>
              <w:t>Code/Regulation</w:t>
            </w:r>
          </w:p>
        </w:tc>
        <w:tc>
          <w:tcPr>
            <w:tcW w:w="1131" w:type="dxa"/>
            <w:tcBorders/>
          </w:tcPr>
          <w:p>
            <w:pPr>
              <w:pStyle w:val="TableHeading"/>
              <w:tabs>
                <w:tab w:val="clear" w:pos="709"/>
              </w:tabs>
              <w:bidi w:val="0"/>
              <w:rPr>
                <w:lang w:val="en-US"/>
              </w:rPr>
            </w:pPr>
            <w:r>
              <w:rPr>
                <w:rFonts w:ascii="Liberation Serif" w:hAnsi="Liberation Serif"/>
                <w:sz w:val="24"/>
                <w:lang w:val="en-US"/>
              </w:rPr>
              <w:t>Regulator</w:t>
            </w:r>
          </w:p>
        </w:tc>
        <w:tc>
          <w:tcPr>
            <w:tcW w:w="2028" w:type="dxa"/>
            <w:tcBorders/>
          </w:tcPr>
          <w:p>
            <w:pPr>
              <w:pStyle w:val="TableHeading"/>
              <w:tabs>
                <w:tab w:val="clear" w:pos="709"/>
              </w:tabs>
              <w:bidi w:val="0"/>
              <w:rPr>
                <w:lang w:val="en-US"/>
              </w:rPr>
            </w:pPr>
            <w:r>
              <w:rPr>
                <w:rFonts w:ascii="Liberation Serif" w:hAnsi="Liberation Serif"/>
                <w:sz w:val="24"/>
                <w:lang w:val="en-US"/>
              </w:rPr>
              <w:t>Board Composition</w:t>
            </w:r>
          </w:p>
        </w:tc>
        <w:tc>
          <w:tcPr>
            <w:tcW w:w="1522" w:type="dxa"/>
            <w:tcBorders/>
          </w:tcPr>
          <w:p>
            <w:pPr>
              <w:pStyle w:val="TableHeading"/>
              <w:tabs>
                <w:tab w:val="clear" w:pos="709"/>
              </w:tabs>
              <w:bidi w:val="0"/>
              <w:rPr>
                <w:lang w:val="en-US"/>
              </w:rPr>
            </w:pPr>
            <w:r>
              <w:rPr>
                <w:rFonts w:ascii="Liberation Serif" w:hAnsi="Liberation Serif"/>
                <w:sz w:val="24"/>
                <w:lang w:val="en-US"/>
              </w:rPr>
              <w:t>CEO Tenure</w:t>
            </w:r>
          </w:p>
        </w:tc>
        <w:tc>
          <w:tcPr>
            <w:tcW w:w="1982" w:type="dxa"/>
            <w:tcBorders/>
          </w:tcPr>
          <w:p>
            <w:pPr>
              <w:pStyle w:val="TableHeading"/>
              <w:tabs>
                <w:tab w:val="clear" w:pos="709"/>
              </w:tabs>
              <w:bidi w:val="0"/>
              <w:rPr>
                <w:lang w:val="en-US"/>
              </w:rPr>
            </w:pPr>
            <w:r>
              <w:rPr>
                <w:rFonts w:ascii="Liberation Serif" w:hAnsi="Liberation Serif"/>
                <w:sz w:val="24"/>
                <w:lang w:val="en-US"/>
              </w:rPr>
              <w:t>Remuneration Policy</w:t>
            </w:r>
          </w:p>
        </w:tc>
        <w:tc>
          <w:tcPr>
            <w:tcW w:w="1865" w:type="dxa"/>
            <w:tcBorders/>
          </w:tcPr>
          <w:p>
            <w:pPr>
              <w:pStyle w:val="TableHeading"/>
              <w:tabs>
                <w:tab w:val="clear" w:pos="709"/>
              </w:tabs>
              <w:bidi w:val="0"/>
              <w:rPr>
                <w:lang w:val="en-US"/>
              </w:rPr>
            </w:pPr>
            <w:r>
              <w:rPr>
                <w:rFonts w:ascii="Liberation Serif" w:hAnsi="Liberation Serif"/>
                <w:sz w:val="24"/>
                <w:lang w:val="en-US"/>
              </w:rPr>
              <w:t>Board Committee Composition</w:t>
            </w:r>
          </w:p>
        </w:tc>
        <w:tc>
          <w:tcPr>
            <w:tcW w:w="3418" w:type="dxa"/>
            <w:tcBorders/>
          </w:tcPr>
          <w:p>
            <w:pPr>
              <w:pStyle w:val="TableHeading"/>
              <w:tabs>
                <w:tab w:val="clear" w:pos="709"/>
              </w:tabs>
              <w:bidi w:val="0"/>
              <w:rPr>
                <w:lang w:val="en-US"/>
              </w:rPr>
            </w:pPr>
            <w:r>
              <w:rPr>
                <w:rFonts w:ascii="Liberation Serif" w:hAnsi="Liberation Serif"/>
                <w:sz w:val="24"/>
                <w:lang w:val="en-US"/>
              </w:rPr>
              <w:t>Enforcement Approach</w:t>
            </w:r>
          </w:p>
        </w:tc>
      </w:tr>
      <w:tr>
        <w:trPr/>
        <w:tc>
          <w:tcPr>
            <w:tcW w:w="1286" w:type="dxa"/>
            <w:tcBorders/>
          </w:tcPr>
          <w:p>
            <w:pPr>
              <w:pStyle w:val="TableContents"/>
              <w:tabs>
                <w:tab w:val="clear" w:pos="709"/>
              </w:tabs>
              <w:bidi w:val="0"/>
              <w:jc w:val="left"/>
              <w:rPr>
                <w:lang w:val="en-US"/>
              </w:rPr>
            </w:pPr>
            <w:r>
              <w:rPr>
                <w:rFonts w:ascii="Liberation Serif" w:hAnsi="Liberation Serif"/>
                <w:sz w:val="24"/>
                <w:lang w:val="en-US"/>
              </w:rPr>
              <w:t>CAMA 2020</w:t>
            </w:r>
          </w:p>
        </w:tc>
        <w:tc>
          <w:tcPr>
            <w:tcW w:w="1131" w:type="dxa"/>
            <w:tcBorders/>
          </w:tcPr>
          <w:p>
            <w:pPr>
              <w:pStyle w:val="TableContents"/>
              <w:tabs>
                <w:tab w:val="clear" w:pos="709"/>
              </w:tabs>
              <w:bidi w:val="0"/>
              <w:jc w:val="left"/>
              <w:rPr>
                <w:lang w:val="en-US"/>
              </w:rPr>
            </w:pPr>
            <w:r>
              <w:rPr>
                <w:rFonts w:ascii="Liberation Serif" w:hAnsi="Liberation Serif"/>
                <w:sz w:val="24"/>
                <w:lang w:val="en-US"/>
              </w:rPr>
              <w:t>CAC</w:t>
            </w:r>
          </w:p>
        </w:tc>
        <w:tc>
          <w:tcPr>
            <w:tcW w:w="2028" w:type="dxa"/>
            <w:tcBorders/>
          </w:tcPr>
          <w:p>
            <w:pPr>
              <w:pStyle w:val="TableContents"/>
              <w:tabs>
                <w:tab w:val="clear" w:pos="709"/>
              </w:tabs>
              <w:bidi w:val="0"/>
              <w:jc w:val="left"/>
              <w:rPr>
                <w:lang w:val="en-US"/>
              </w:rPr>
            </w:pPr>
            <w:r>
              <w:rPr>
                <w:rFonts w:ascii="Liberation Serif" w:hAnsi="Liberation Serif"/>
                <w:sz w:val="24"/>
                <w:lang w:val="en-US"/>
              </w:rPr>
              <w:t>≥</w:t>
            </w:r>
            <w:r>
              <w:rPr>
                <w:rFonts w:ascii="Liberation Serif" w:hAnsi="Liberation Serif"/>
                <w:sz w:val="24"/>
                <w:lang w:val="en-US"/>
              </w:rPr>
              <w:t>2 directors; public companies need ≥1/3 INEDs (Sect. 275).</w:t>
            </w:r>
          </w:p>
        </w:tc>
        <w:tc>
          <w:tcPr>
            <w:tcW w:w="1522" w:type="dxa"/>
            <w:tcBorders/>
          </w:tcPr>
          <w:p>
            <w:pPr>
              <w:pStyle w:val="TableContents"/>
              <w:tabs>
                <w:tab w:val="clear" w:pos="709"/>
              </w:tabs>
              <w:bidi w:val="0"/>
              <w:jc w:val="left"/>
              <w:rPr>
                <w:lang w:val="en-US"/>
              </w:rPr>
            </w:pPr>
            <w:r>
              <w:rPr>
                <w:rFonts w:ascii="Liberation Serif" w:hAnsi="Liberation Serif"/>
                <w:sz w:val="24"/>
                <w:lang w:val="en-US"/>
              </w:rPr>
              <w:t>Not specified.</w:t>
            </w:r>
          </w:p>
        </w:tc>
        <w:tc>
          <w:tcPr>
            <w:tcW w:w="1982" w:type="dxa"/>
            <w:tcBorders/>
          </w:tcPr>
          <w:p>
            <w:pPr>
              <w:pStyle w:val="TableContents"/>
              <w:tabs>
                <w:tab w:val="clear" w:pos="709"/>
              </w:tabs>
              <w:bidi w:val="0"/>
              <w:jc w:val="left"/>
              <w:rPr>
                <w:lang w:val="en-US"/>
              </w:rPr>
            </w:pPr>
            <w:r>
              <w:rPr>
                <w:rFonts w:ascii="Liberation Serif" w:hAnsi="Liberation Serif"/>
                <w:sz w:val="24"/>
                <w:lang w:val="en-US"/>
              </w:rPr>
              <w:t>Set by shareholders at AGM (Sect. 267); disclosed in reports (Sect. 238).</w:t>
            </w:r>
          </w:p>
        </w:tc>
        <w:tc>
          <w:tcPr>
            <w:tcW w:w="1865" w:type="dxa"/>
            <w:tcBorders/>
          </w:tcPr>
          <w:p>
            <w:pPr>
              <w:pStyle w:val="TableContents"/>
              <w:tabs>
                <w:tab w:val="clear" w:pos="709"/>
              </w:tabs>
              <w:bidi w:val="0"/>
              <w:jc w:val="left"/>
              <w:rPr>
                <w:lang w:val="en-US"/>
              </w:rPr>
            </w:pPr>
            <w:r>
              <w:rPr>
                <w:rFonts w:ascii="Liberation Serif" w:hAnsi="Liberation Serif"/>
                <w:sz w:val="24"/>
                <w:lang w:val="en-US"/>
              </w:rPr>
              <w:t>Audit committee mandatory (dir. + shareholders) (Sect. 404).</w:t>
            </w:r>
          </w:p>
        </w:tc>
        <w:tc>
          <w:tcPr>
            <w:tcW w:w="3418" w:type="dxa"/>
            <w:tcBorders/>
          </w:tcPr>
          <w:p>
            <w:pPr>
              <w:pStyle w:val="TableContents"/>
              <w:tabs>
                <w:tab w:val="clear" w:pos="709"/>
              </w:tabs>
              <w:bidi w:val="0"/>
              <w:jc w:val="left"/>
              <w:rPr>
                <w:lang w:val="en-US"/>
              </w:rPr>
            </w:pPr>
            <w:r>
              <w:rPr>
                <w:rFonts w:ascii="Liberation Serif" w:hAnsi="Liberation Serif"/>
                <w:sz w:val="24"/>
                <w:lang w:val="en-US"/>
              </w:rPr>
              <w:t>Legal enforcement; fines (e.g., Sect. 417); court interventions (Sect. 344).</w:t>
            </w:r>
          </w:p>
        </w:tc>
      </w:tr>
      <w:tr>
        <w:trPr/>
        <w:tc>
          <w:tcPr>
            <w:tcW w:w="1286" w:type="dxa"/>
            <w:tcBorders/>
          </w:tcPr>
          <w:p>
            <w:pPr>
              <w:pStyle w:val="TableContents"/>
              <w:tabs>
                <w:tab w:val="clear" w:pos="709"/>
              </w:tabs>
              <w:bidi w:val="0"/>
              <w:jc w:val="left"/>
              <w:rPr>
                <w:lang w:val="en-US"/>
              </w:rPr>
            </w:pPr>
            <w:r>
              <w:rPr>
                <w:rFonts w:ascii="Liberation Serif" w:hAnsi="Liberation Serif"/>
                <w:sz w:val="24"/>
                <w:lang w:val="en-US"/>
              </w:rPr>
              <w:t>NCCG 2018</w:t>
            </w:r>
          </w:p>
        </w:tc>
        <w:tc>
          <w:tcPr>
            <w:tcW w:w="1131" w:type="dxa"/>
            <w:tcBorders/>
          </w:tcPr>
          <w:p>
            <w:pPr>
              <w:pStyle w:val="TableContents"/>
              <w:tabs>
                <w:tab w:val="clear" w:pos="709"/>
              </w:tabs>
              <w:bidi w:val="0"/>
              <w:jc w:val="left"/>
              <w:rPr>
                <w:lang w:val="en-US"/>
              </w:rPr>
            </w:pPr>
            <w:r>
              <w:rPr>
                <w:rFonts w:ascii="Liberation Serif" w:hAnsi="Liberation Serif"/>
                <w:sz w:val="24"/>
                <w:lang w:val="en-US"/>
              </w:rPr>
              <w:t>FRCN</w:t>
            </w:r>
          </w:p>
        </w:tc>
        <w:tc>
          <w:tcPr>
            <w:tcW w:w="2028" w:type="dxa"/>
            <w:tcBorders/>
          </w:tcPr>
          <w:p>
            <w:pPr>
              <w:pStyle w:val="TableContents"/>
              <w:tabs>
                <w:tab w:val="clear" w:pos="709"/>
              </w:tabs>
              <w:bidi w:val="0"/>
              <w:jc w:val="left"/>
              <w:rPr>
                <w:lang w:val="en-US"/>
              </w:rPr>
            </w:pPr>
            <w:r>
              <w:rPr>
                <w:rFonts w:ascii="Liberation Serif" w:hAnsi="Liberation Serif"/>
                <w:sz w:val="24"/>
                <w:lang w:val="en-US"/>
              </w:rPr>
              <w:t>Majority NEDs, most INEDs; diversity emphasized (Princ. 2-3).</w:t>
            </w:r>
          </w:p>
        </w:tc>
        <w:tc>
          <w:tcPr>
            <w:tcW w:w="1522" w:type="dxa"/>
            <w:tcBorders/>
          </w:tcPr>
          <w:p>
            <w:pPr>
              <w:pStyle w:val="TableContents"/>
              <w:tabs>
                <w:tab w:val="clear" w:pos="709"/>
              </w:tabs>
              <w:bidi w:val="0"/>
              <w:jc w:val="left"/>
              <w:rPr>
                <w:lang w:val="en-US"/>
              </w:rPr>
            </w:pPr>
            <w:r>
              <w:rPr>
                <w:rFonts w:ascii="Liberation Serif" w:hAnsi="Liberation Serif"/>
                <w:sz w:val="24"/>
                <w:lang w:val="en-US"/>
              </w:rPr>
              <w:t>Board discretion; INEDs max 3 terms (3 yrs each) (Princ. 7).</w:t>
            </w:r>
          </w:p>
        </w:tc>
        <w:tc>
          <w:tcPr>
            <w:tcW w:w="1982" w:type="dxa"/>
            <w:tcBorders/>
          </w:tcPr>
          <w:p>
            <w:pPr>
              <w:pStyle w:val="TableContents"/>
              <w:tabs>
                <w:tab w:val="clear" w:pos="709"/>
              </w:tabs>
              <w:bidi w:val="0"/>
              <w:jc w:val="left"/>
              <w:rPr>
                <w:lang w:val="en-US"/>
              </w:rPr>
            </w:pPr>
            <w:r>
              <w:rPr>
                <w:rFonts w:ascii="Liberation Serif" w:hAnsi="Liberation Serif"/>
                <w:sz w:val="24"/>
                <w:lang w:val="en-US"/>
              </w:rPr>
              <w:t>Long-term aligned; disclosed; Rem. committee (NED-chaired) (Princ. 17, 9).</w:t>
            </w:r>
          </w:p>
        </w:tc>
        <w:tc>
          <w:tcPr>
            <w:tcW w:w="1865" w:type="dxa"/>
            <w:tcBorders/>
          </w:tcPr>
          <w:p>
            <w:pPr>
              <w:pStyle w:val="TableContents"/>
              <w:tabs>
                <w:tab w:val="clear" w:pos="709"/>
              </w:tabs>
              <w:bidi w:val="0"/>
              <w:jc w:val="left"/>
              <w:rPr>
                <w:lang w:val="en-US"/>
              </w:rPr>
            </w:pPr>
            <w:r>
              <w:rPr>
                <w:rFonts w:ascii="Liberation Serif" w:hAnsi="Liberation Serif"/>
                <w:sz w:val="24"/>
                <w:lang w:val="en-US"/>
              </w:rPr>
              <w:t>Audit, Risk, Nom., Rem.; NED-chaired (Princ. 8).</w:t>
            </w:r>
          </w:p>
        </w:tc>
        <w:tc>
          <w:tcPr>
            <w:tcW w:w="3418" w:type="dxa"/>
            <w:tcBorders/>
          </w:tcPr>
          <w:p>
            <w:pPr>
              <w:pStyle w:val="TableContents"/>
              <w:tabs>
                <w:tab w:val="clear" w:pos="709"/>
              </w:tabs>
              <w:bidi w:val="0"/>
              <w:jc w:val="left"/>
              <w:rPr>
                <w:lang w:val="en-US"/>
              </w:rPr>
            </w:pPr>
            <w:r>
              <w:rPr>
                <w:rFonts w:ascii="Liberation Serif" w:hAnsi="Liberation Serif"/>
                <w:sz w:val="24"/>
                <w:lang w:val="en-US"/>
              </w:rPr>
              <w:t>“</w:t>
            </w:r>
            <w:r>
              <w:rPr>
                <w:rFonts w:ascii="Liberation Serif" w:hAnsi="Liberation Serif"/>
                <w:sz w:val="24"/>
                <w:lang w:val="en-US"/>
              </w:rPr>
              <w:t>Apply and Explain”; FRCN monitors; CBN enforces for banks (Princ. 28).</w:t>
            </w:r>
          </w:p>
        </w:tc>
      </w:tr>
      <w:tr>
        <w:trPr/>
        <w:tc>
          <w:tcPr>
            <w:tcW w:w="1286" w:type="dxa"/>
            <w:tcBorders/>
          </w:tcPr>
          <w:p>
            <w:pPr>
              <w:pStyle w:val="TableContents"/>
              <w:tabs>
                <w:tab w:val="clear" w:pos="709"/>
              </w:tabs>
              <w:bidi w:val="0"/>
              <w:jc w:val="left"/>
              <w:rPr>
                <w:lang w:val="en-US"/>
              </w:rPr>
            </w:pPr>
            <w:r>
              <w:rPr>
                <w:rFonts w:ascii="Liberation Serif" w:hAnsi="Liberation Serif"/>
                <w:sz w:val="24"/>
                <w:lang w:val="en-US"/>
              </w:rPr>
              <w:t>CBN CG Guidelines 2023</w:t>
            </w:r>
          </w:p>
        </w:tc>
        <w:tc>
          <w:tcPr>
            <w:tcW w:w="1131" w:type="dxa"/>
            <w:tcBorders/>
          </w:tcPr>
          <w:p>
            <w:pPr>
              <w:pStyle w:val="TableContents"/>
              <w:tabs>
                <w:tab w:val="clear" w:pos="709"/>
              </w:tabs>
              <w:bidi w:val="0"/>
              <w:jc w:val="left"/>
              <w:rPr>
                <w:lang w:val="en-US"/>
              </w:rPr>
            </w:pPr>
            <w:r>
              <w:rPr>
                <w:rFonts w:ascii="Liberation Serif" w:hAnsi="Liberation Serif"/>
                <w:sz w:val="24"/>
                <w:lang w:val="en-US"/>
              </w:rPr>
              <w:t>CBN</w:t>
            </w:r>
          </w:p>
        </w:tc>
        <w:tc>
          <w:tcPr>
            <w:tcW w:w="2028" w:type="dxa"/>
            <w:tcBorders/>
          </w:tcPr>
          <w:p>
            <w:pPr>
              <w:pStyle w:val="TableContents"/>
              <w:tabs>
                <w:tab w:val="clear" w:pos="709"/>
              </w:tabs>
              <w:bidi w:val="0"/>
              <w:jc w:val="left"/>
              <w:rPr>
                <w:lang w:val="en-US"/>
              </w:rPr>
            </w:pPr>
            <w:r>
              <w:rPr>
                <w:rFonts w:ascii="Liberation Serif" w:hAnsi="Liberation Serif"/>
                <w:sz w:val="24"/>
                <w:lang w:val="en-US"/>
              </w:rPr>
              <w:t>7-15 directors (CMNIBs), 7-13 (PSBs); NEDs &gt; EDs; ≥3 INEDs (intl./natl.); 2 fintech/ICT NEDs; ≤2 family members (Sect. 4).</w:t>
            </w:r>
          </w:p>
        </w:tc>
        <w:tc>
          <w:tcPr>
            <w:tcW w:w="1522" w:type="dxa"/>
            <w:tcBorders/>
          </w:tcPr>
          <w:p>
            <w:pPr>
              <w:pStyle w:val="TableContents"/>
              <w:tabs>
                <w:tab w:val="clear" w:pos="709"/>
              </w:tabs>
              <w:bidi w:val="0"/>
              <w:jc w:val="left"/>
              <w:rPr>
                <w:lang w:val="en-US"/>
              </w:rPr>
            </w:pPr>
            <w:r>
              <w:rPr>
                <w:rFonts w:ascii="Liberation Serif" w:hAnsi="Liberation Serif"/>
                <w:sz w:val="24"/>
                <w:lang w:val="en-US"/>
              </w:rPr>
              <w:t>MD/CEO max 12 yrs, 24-yr cap total; 2-yr cooling-off (Sect. 8.1, 7.1).</w:t>
            </w:r>
          </w:p>
        </w:tc>
        <w:tc>
          <w:tcPr>
            <w:tcW w:w="1982" w:type="dxa"/>
            <w:tcBorders/>
          </w:tcPr>
          <w:p>
            <w:pPr>
              <w:pStyle w:val="TableContents"/>
              <w:tabs>
                <w:tab w:val="clear" w:pos="709"/>
              </w:tabs>
              <w:bidi w:val="0"/>
              <w:jc w:val="left"/>
              <w:rPr>
                <w:lang w:val="en-US"/>
              </w:rPr>
            </w:pPr>
            <w:r>
              <w:rPr>
                <w:rFonts w:ascii="Liberation Serif" w:hAnsi="Liberation Serif"/>
                <w:sz w:val="24"/>
                <w:lang w:val="en-US"/>
              </w:rPr>
              <w:t>Perf.-linked for EDs; NEDs fees only; disclosed (Sect. 11).</w:t>
            </w:r>
          </w:p>
        </w:tc>
        <w:tc>
          <w:tcPr>
            <w:tcW w:w="1865" w:type="dxa"/>
            <w:tcBorders/>
          </w:tcPr>
          <w:p>
            <w:pPr>
              <w:pStyle w:val="TableContents"/>
              <w:tabs>
                <w:tab w:val="clear" w:pos="709"/>
              </w:tabs>
              <w:bidi w:val="0"/>
              <w:jc w:val="left"/>
              <w:rPr>
                <w:lang w:val="en-US"/>
              </w:rPr>
            </w:pPr>
            <w:r>
              <w:rPr>
                <w:rFonts w:ascii="Liberation Serif" w:hAnsi="Liberation Serif"/>
                <w:sz w:val="24"/>
                <w:lang w:val="en-US"/>
              </w:rPr>
              <w:t>Audit, Risk, Nom., Rem., Credit, ICT INED-chaired (Audit, Nom.) (Sect. 7).</w:t>
            </w:r>
          </w:p>
        </w:tc>
        <w:tc>
          <w:tcPr>
            <w:tcW w:w="3418" w:type="dxa"/>
            <w:tcBorders/>
          </w:tcPr>
          <w:p>
            <w:pPr>
              <w:pStyle w:val="TableContents"/>
              <w:tabs>
                <w:tab w:val="clear" w:pos="709"/>
              </w:tabs>
              <w:bidi w:val="0"/>
              <w:jc w:val="left"/>
              <w:rPr>
                <w:lang w:val="en-US"/>
              </w:rPr>
            </w:pPr>
            <w:r>
              <w:rPr>
                <w:rFonts w:ascii="Liberation Serif" w:hAnsi="Liberation Serif"/>
                <w:sz w:val="24"/>
                <w:lang w:val="en-US"/>
              </w:rPr>
              <w:t>Mandatory; fines, board dissolution (e.g., 2024 cases); risk-based supervision (BOFIA 2020).</w:t>
            </w:r>
          </w:p>
        </w:tc>
      </w:tr>
      <w:tr>
        <w:trPr/>
        <w:tc>
          <w:tcPr>
            <w:tcW w:w="1286" w:type="dxa"/>
            <w:tcBorders/>
          </w:tcPr>
          <w:p>
            <w:pPr>
              <w:pStyle w:val="TableContents"/>
              <w:tabs>
                <w:tab w:val="clear" w:pos="709"/>
              </w:tabs>
              <w:bidi w:val="0"/>
              <w:jc w:val="left"/>
              <w:rPr>
                <w:lang w:val="en-US"/>
              </w:rPr>
            </w:pPr>
            <w:r>
              <w:rPr>
                <w:rFonts w:ascii="Liberation Serif" w:hAnsi="Liberation Serif"/>
                <w:sz w:val="24"/>
                <w:lang w:val="en-US"/>
              </w:rPr>
              <w:t>SEC Code 2011</w:t>
            </w:r>
          </w:p>
        </w:tc>
        <w:tc>
          <w:tcPr>
            <w:tcW w:w="1131" w:type="dxa"/>
            <w:tcBorders/>
          </w:tcPr>
          <w:p>
            <w:pPr>
              <w:pStyle w:val="TableContents"/>
              <w:tabs>
                <w:tab w:val="clear" w:pos="709"/>
              </w:tabs>
              <w:bidi w:val="0"/>
              <w:jc w:val="left"/>
              <w:rPr>
                <w:lang w:val="en-US"/>
              </w:rPr>
            </w:pPr>
            <w:r>
              <w:rPr>
                <w:rFonts w:ascii="Liberation Serif" w:hAnsi="Liberation Serif"/>
                <w:sz w:val="24"/>
                <w:lang w:val="en-US"/>
              </w:rPr>
              <w:t>SEC</w:t>
            </w:r>
          </w:p>
        </w:tc>
        <w:tc>
          <w:tcPr>
            <w:tcW w:w="2028" w:type="dxa"/>
            <w:tcBorders/>
          </w:tcPr>
          <w:p>
            <w:pPr>
              <w:pStyle w:val="TableContents"/>
              <w:tabs>
                <w:tab w:val="clear" w:pos="709"/>
              </w:tabs>
              <w:bidi w:val="0"/>
              <w:jc w:val="left"/>
              <w:rPr>
                <w:lang w:val="en-US"/>
              </w:rPr>
            </w:pPr>
            <w:r>
              <w:rPr>
                <w:rFonts w:ascii="Liberation Serif" w:hAnsi="Liberation Serif"/>
                <w:sz w:val="24"/>
                <w:lang w:val="en-US"/>
              </w:rPr>
              <w:t>≥</w:t>
            </w:r>
            <w:r>
              <w:rPr>
                <w:rFonts w:ascii="Liberation Serif" w:hAnsi="Liberation Serif"/>
                <w:sz w:val="24"/>
                <w:lang w:val="en-US"/>
              </w:rPr>
              <w:t>1 INED; ≤2 family members; separate Chairman/CEO (Sect. 5).</w:t>
            </w:r>
          </w:p>
        </w:tc>
        <w:tc>
          <w:tcPr>
            <w:tcW w:w="1522" w:type="dxa"/>
            <w:tcBorders/>
          </w:tcPr>
          <w:p>
            <w:pPr>
              <w:pStyle w:val="TableContents"/>
              <w:tabs>
                <w:tab w:val="clear" w:pos="709"/>
              </w:tabs>
              <w:bidi w:val="0"/>
              <w:jc w:val="left"/>
              <w:rPr>
                <w:lang w:val="en-US"/>
              </w:rPr>
            </w:pPr>
            <w:r>
              <w:rPr>
                <w:rFonts w:ascii="Liberation Serif" w:hAnsi="Liberation Serif"/>
                <w:sz w:val="24"/>
                <w:lang w:val="en-US"/>
              </w:rPr>
              <w:t>Not specified; succession planning encouraged (Sect. 7).</w:t>
            </w:r>
          </w:p>
        </w:tc>
        <w:tc>
          <w:tcPr>
            <w:tcW w:w="1982" w:type="dxa"/>
            <w:tcBorders/>
          </w:tcPr>
          <w:p>
            <w:pPr>
              <w:pStyle w:val="TableContents"/>
              <w:tabs>
                <w:tab w:val="clear" w:pos="709"/>
              </w:tabs>
              <w:bidi w:val="0"/>
              <w:jc w:val="left"/>
              <w:rPr>
                <w:lang w:val="en-US"/>
              </w:rPr>
            </w:pPr>
            <w:r>
              <w:rPr>
                <w:rFonts w:ascii="Liberation Serif" w:hAnsi="Liberation Serif"/>
                <w:sz w:val="24"/>
                <w:lang w:val="en-US"/>
              </w:rPr>
              <w:t>Shareholder approval; Rem. committee (NEDs) (Sect. 14).</w:t>
            </w:r>
          </w:p>
        </w:tc>
        <w:tc>
          <w:tcPr>
            <w:tcW w:w="1865" w:type="dxa"/>
            <w:tcBorders/>
          </w:tcPr>
          <w:p>
            <w:pPr>
              <w:pStyle w:val="TableContents"/>
              <w:tabs>
                <w:tab w:val="clear" w:pos="709"/>
              </w:tabs>
              <w:bidi w:val="0"/>
              <w:jc w:val="left"/>
              <w:rPr>
                <w:lang w:val="en-US"/>
              </w:rPr>
            </w:pPr>
            <w:r>
              <w:rPr>
                <w:rFonts w:ascii="Liberation Serif" w:hAnsi="Liberation Serif"/>
                <w:sz w:val="24"/>
                <w:lang w:val="en-US"/>
              </w:rPr>
              <w:t>Audit (per CAMA), Nom., Rem.; NED-chaired (Sect. 9).</w:t>
            </w:r>
          </w:p>
        </w:tc>
        <w:tc>
          <w:tcPr>
            <w:tcW w:w="3418" w:type="dxa"/>
            <w:tcBorders/>
          </w:tcPr>
          <w:p>
            <w:pPr>
              <w:pStyle w:val="TableContents"/>
              <w:tabs>
                <w:tab w:val="clear" w:pos="709"/>
              </w:tabs>
              <w:bidi w:val="0"/>
              <w:jc w:val="left"/>
              <w:rPr>
                <w:lang w:val="en-US"/>
              </w:rPr>
            </w:pPr>
            <w:r>
              <w:rPr>
                <w:rFonts w:ascii="Liberation Serif" w:hAnsi="Liberation Serif"/>
                <w:sz w:val="24"/>
                <w:lang w:val="en-US"/>
              </w:rPr>
              <w:t>Fines, delisting; SEC monitors; overlaps with CBN.</w:t>
            </w:r>
          </w:p>
        </w:tc>
      </w:tr>
    </w:tbl>
    <w:p>
      <w:pPr>
        <w:pStyle w:val="Normal"/>
        <w:bidi w:val="0"/>
        <w:jc w:val="left"/>
        <w:rPr/>
      </w:pPr>
      <w:r>
        <w:rPr/>
      </w:r>
    </w:p>
    <w:p>
      <w:pPr>
        <w:sectPr>
          <w:type w:val="nextPage"/>
          <w:pgSz w:orient="landscape" w:w="15840" w:h="12240"/>
          <w:pgMar w:left="1134" w:right="1134" w:gutter="0" w:header="0" w:top="1134" w:footer="0" w:bottom="1134"/>
          <w:pgNumType w:fmt="decimal"/>
          <w:formProt w:val="false"/>
          <w:textDirection w:val="lrTb"/>
          <w:docGrid w:type="default" w:linePitch="600" w:charSpace="32768"/>
        </w:sectPr>
        <w:pStyle w:val="Normal"/>
        <w:bidi w:val="0"/>
        <w:jc w:val="left"/>
        <w:rPr/>
      </w:pPr>
      <w:r>
        <w:rPr/>
        <w:t>Note: Table summarizes mechanisms across four codes—Companies and Allied Matters Act 2020, Nigerian Code of Corporate Governance 2018, Central Bank of Nigeria Guidelines 2023, Securities and Exchange Commission Code 2011—highlighting CEO tenure and enforcement conflicts. Adapted from Central Bank of Nigeria 2023, Financial Reporting Council of Nigeria 2018, Companies and Allied Matters Act 2020, Securities and Exchange Commission 2011.</w:t>
      </w:r>
    </w:p>
    <w:p>
      <w:pPr>
        <w:pStyle w:val="Normal"/>
        <w:bidi w:val="0"/>
        <w:jc w:val="left"/>
        <w:rPr/>
      </w:pPr>
      <w:r>
        <w:rPr/>
        <w:t>For example, it mandates the appointment of at least two directors (except for small companies), the organization of shareholder meetings, and the filing of annual reports (Muse, 2024). However, its general application to all companies often causes conflicts when it intersects with sector-specific codes, such as its provisions on director remuneration, which might contradict more stringent guidelines issued by regulators in the banking sector.</w:t>
      </w:r>
    </w:p>
    <w:p>
      <w:pPr>
        <w:pStyle w:val="Normal"/>
        <w:bidi w:val="0"/>
        <w:jc w:val="left"/>
        <w:rPr/>
      </w:pPr>
      <w:r>
        <w:rPr/>
      </w:r>
    </w:p>
    <w:p>
      <w:pPr>
        <w:pStyle w:val="Normal"/>
        <w:bidi w:val="0"/>
        <w:jc w:val="left"/>
        <w:rPr/>
      </w:pPr>
      <w:r>
        <w:rPr/>
        <w:t>The Nigerian Code of Corporate Governance (NCCG) 2018, issued by the Financial Reporting Council of Nigeria (FRCN), is a principles-based framework. It adopts an "Apply and Explain" approach, requiring companies to either implement the code’s principles or explain their non-compliance (Osemeke et al., 2016; Abdulmalik, 2020). While this approach theoretically provides flexibility, it also introduces ambiguities. Firms in the deposit money banking industry may exploit this by circumventing certain principles, such as board diversity or whistleblowing frameworks, when explanations of inapplicability suffice. The result is inconsistent governance practices (Nwaukwa, 2024). Moreover, since the NCCG does not override sector-specific codes, such as those issued by the Central Bank of Nigeria (CBN), banks are often forced to navigate overlapping and sometimes conflicting governance requirements (Tayo-Tiwo, 2020).</w:t>
      </w:r>
    </w:p>
    <w:p>
      <w:pPr>
        <w:pStyle w:val="Normal"/>
        <w:bidi w:val="0"/>
        <w:jc w:val="left"/>
        <w:rPr/>
      </w:pPr>
      <w:r>
        <w:rPr/>
      </w:r>
    </w:p>
    <w:p>
      <w:pPr>
        <w:pStyle w:val="Normal"/>
        <w:bidi w:val="0"/>
        <w:jc w:val="left"/>
        <w:rPr/>
      </w:pPr>
      <w:r>
        <w:rPr/>
        <w:t>The CBN has issued strict and comprehensive codes to address governance in the financial sector, including the "Code of Corporate Governance for Banks and Discount Houses in Nigeria" (2014) and the "Code of Corporate Governance for Other Financial Institutions" (2019). These emphasize critical aspects such as board independence, risk management, and transparency—requirements tailored to address past challenges in the banking sector, such as the 2009 banking crisis (Iwedi et al., 2024). These codes are mandatory for banks and provide less room for flexibility compared to the NCCG (Tayo-Tiwo, 2020). However, conflicts arise because the CBN codes, while specific, may diverge from broader governance frameworks like the NCCG or other sectoral guidelines, for example, on risk management committee structures or diversity requirements (Odiase, 2024). Similarly, the Securities and Exchange Commission’s (SEC) Code of Corporate Governance for Public Companies (2011) introduces additional layers of governance aimed at protecting shareholder rights and ensuring board independence (Nwaukwa et al., 2024; Odiase, 2023). This code also conflicts at times with others, creating discrepancies that banks can exploit. For example, the SEC’s stricter limits on interlocking directorships may clash with the CBN’s relatively lenient provisions, leaving room for selective adherence based on convenience or management preference.</w:t>
      </w:r>
    </w:p>
    <w:p>
      <w:pPr>
        <w:pStyle w:val="Normal"/>
        <w:bidi w:val="0"/>
        <w:jc w:val="left"/>
        <w:rPr/>
      </w:pPr>
      <w:r>
        <w:rPr/>
      </w:r>
    </w:p>
    <w:p>
      <w:pPr>
        <w:pStyle w:val="Normal"/>
        <w:bidi w:val="0"/>
        <w:jc w:val="left"/>
        <w:rPr/>
      </w:pPr>
      <w:r>
        <w:rPr/>
        <w:t>Regulatory fragmentation has its roots in Nigeria’s attempts to strengthen corporate governance following major crises, notably the 2009 banking sector collapse caused by unethical practices and weak oversight (Egbunike, 2023). While the intention has been to improve governance through multiple regulations tailored to specific issues, the resultant framework is disjointed and lacking in coordination. This has not only increased compliance costs but also slowed down decision-making processes. Furthermore, managers and boards exploit the gaps and overlaps between different codes, contributing to what has been identified in the literature as the agency problem—the prioritizing of the interests of managers over those of shareholders and other stakeholders (Kafidipe et al., 2021). The legal and disciplinary ambiguity inherent in regulatory multiplicity exacerbates this issue (Nwaukwa et al., 2024; Egbunike, 2023).</w:t>
      </w:r>
    </w:p>
    <w:p>
      <w:pPr>
        <w:pStyle w:val="Normal"/>
        <w:bidi w:val="0"/>
        <w:jc w:val="left"/>
        <w:rPr/>
      </w:pPr>
      <w:r>
        <w:rPr/>
      </w:r>
    </w:p>
    <w:p>
      <w:pPr>
        <w:pStyle w:val="Normal"/>
        <w:bidi w:val="0"/>
        <w:jc w:val="left"/>
        <w:rPr/>
      </w:pPr>
      <w:r>
        <w:rPr/>
        <w:t>For instance, the NCCG’s discretionary "Apply and Explain" approach allows companies to justify non-compliance with principles, such as whistleblowing or risk management, which are crucial for protecting stakeholder interests (Agbo, 2023). By contrast, the CBN’s mandatory compliance requirements impose stricter standards, but these often encourage companies to prioritize less stringent codes to manage their compliance risks. This flexibility has significant implications in contexts such as board independence, internal audit functions, and transparency (Ogunbameru &amp; Alabi, 2023). For example, the lack of adequate whistleblowing mechanisms has been linked to the concealment of fraud and conflicts of interest, as highlighted during the 2009 crisis (Olojede et al., 2020; Nwoke et al., 2023). Weak enforcement compounds the problems associated with regulatory multiplicity. Despite the stringent provisions contained in CAMA, the NCCG, or the CBN codes, enforcement mechanisms remain inconsistent (Abdulmalik &amp; Ahmad, 2020). The FRCN, tasked with monitoring compliance with the NCCG, lacks the authority to override sectoral regulators like the CBN, while shareholder associations lack the legal backing to enforce governance rules. According to Adegbite (2012), inadequate enforcement, combined with the fragmented nature of Nigeria’s regulatory system, weakens the credibility of the country’s corporate governance framework.</w:t>
      </w:r>
    </w:p>
    <w:p>
      <w:pPr>
        <w:pStyle w:val="Normal"/>
        <w:bidi w:val="0"/>
        <w:jc w:val="left"/>
        <w:rPr/>
      </w:pPr>
      <w:r>
        <w:rPr/>
      </w:r>
    </w:p>
    <w:p>
      <w:pPr>
        <w:pStyle w:val="Normal"/>
        <w:bidi w:val="0"/>
        <w:jc w:val="left"/>
        <w:rPr/>
      </w:pPr>
      <w:r>
        <w:rPr/>
        <w:t>Another critical dimension to corporate governance in the Nigerian deposit money banking sector is the structure and independence of boards and audit committees (Osezua &amp; Ude, 2023). The composition of these governance bodies is heavily influenced by ownership structures, often leading to limited independence. Research indicates that approximately 61% of Nigerian banks exhibit concentrated ownership, which stifles board autonomy and perpetuates agency conflicts (Abdulmalik &amp; Ahmad, 2020).</w:t>
      </w:r>
    </w:p>
    <w:p>
      <w:pPr>
        <w:pStyle w:val="Normal"/>
        <w:bidi w:val="0"/>
        <w:jc w:val="left"/>
        <w:rPr/>
      </w:pPr>
      <w:r>
        <w:rPr/>
      </w:r>
    </w:p>
    <w:p>
      <w:pPr>
        <w:pStyle w:val="Normal"/>
        <w:bidi w:val="0"/>
        <w:jc w:val="left"/>
        <w:rPr/>
      </w:pPr>
      <w:r>
        <w:rPr/>
        <w:t>To facilitate the development of an effective corporate governance framework in Nigeria, it is crucial to address the structural challenges posed by regulatory multiplicity, weak enforcement mechanisms, and excessive ownership influence. Existing literature emphasizes the significance of transparent accounting practices and robust regulatory enforcement in mitigating information asymmetry between managers, shareholders, and other stakeholders (Efunniyi et al., 2024; Yahaya et al., 2023; Ayogu, 2023; Salehi &amp; Zimon, 2023; Karsono, 2023; Al-Shaer et al., 2022; Mason, 2020; Rezaee, 2003). These studies collectively argue that achieving a harmonized governance framework while empowering regulators to enforce uniform compliance is fundamental to aligning Nigeria’s corporate governance landscape with global best practices. In the absence of such reforms, systemic inefficiencies will persist, thereby undermining governance outcomes and the broader stability of the financial sector.</w:t>
      </w:r>
    </w:p>
    <w:p>
      <w:pPr>
        <w:pStyle w:val="Normal"/>
        <w:bidi w:val="0"/>
        <w:jc w:val="left"/>
        <w:rPr/>
      </w:pPr>
      <w:r>
        <w:rPr/>
      </w:r>
    </w:p>
    <w:p>
      <w:pPr>
        <w:pStyle w:val="Normal"/>
        <w:bidi w:val="0"/>
        <w:jc w:val="left"/>
        <w:rPr/>
      </w:pPr>
      <w:r>
        <w:rPr/>
        <w:t>In addressing Nigeria’s fragmented governance framework, a concerted effort is needed to streamline and harmonize conflicting regulatory codes governing the deposit money banking industry. Collaboration among regulatory agencies is essential to establish a unified framework that promotes accountability while reducing the economic burden of compliance. Key structural reforms, such as the mandatory adoption of nomination committees and strengthened independence for both board and audit committees, are also critical to fostering transparency and accountability in the banking sector. Failure to implement these measures risks perpetuating the current challenges arising from regulatory multiplicity and agency problems, which in turn threaten the operational stability and growth prospects of Nigerian banks.</w:t>
      </w:r>
    </w:p>
    <w:p>
      <w:pPr>
        <w:pStyle w:val="Normal"/>
        <w:bidi w:val="0"/>
        <w:jc w:val="left"/>
        <w:rPr/>
      </w:pPr>
      <w:r>
        <w:rPr/>
      </w:r>
    </w:p>
    <w:p>
      <w:pPr>
        <w:pStyle w:val="Normal"/>
        <w:bidi w:val="0"/>
        <w:jc w:val="left"/>
        <w:rPr/>
      </w:pPr>
      <w:r>
        <w:rPr/>
        <w:t>Conflicting regulatory codes remain a pressing issue for Nigerian deposit money banks, as they often present contradictions and create inconsistencies that have far-reaching consequences for stakeholders. This challenge emphasizes the urgent need for an in-depth review and proper implementation of governance codes to address these conflicts and reduce their potentially harmful impact on banking operations. For instance, Osemeke and Adegbite (2016) found that 67% of Nigerian banks selectively comply with the least stringent code, leading to inconsistent application of transparency and accountability standards.</w:t>
      </w:r>
    </w:p>
    <w:p>
      <w:pPr>
        <w:pStyle w:val="Normal"/>
        <w:bidi w:val="0"/>
        <w:jc w:val="left"/>
        <w:rPr/>
      </w:pPr>
      <w:r>
        <w:rPr/>
      </w:r>
    </w:p>
    <w:p>
      <w:pPr>
        <w:sectPr>
          <w:type w:val="nextPage"/>
          <w:pgSz w:w="12240" w:h="15840"/>
          <w:pgMar w:left="1134" w:right="1134" w:gutter="0" w:header="0" w:top="1134" w:footer="0" w:bottom="1134"/>
          <w:pgNumType w:fmt="decimal"/>
          <w:formProt w:val="false"/>
          <w:textDirection w:val="lrTb"/>
          <w:docGrid w:type="default" w:linePitch="312" w:charSpace="0"/>
        </w:sectPr>
        <w:pStyle w:val="Normal"/>
        <w:bidi w:val="0"/>
        <w:jc w:val="left"/>
        <w:rPr/>
      </w:pPr>
      <w:r>
        <w:rPr/>
        <w:t>The persistence of conflicting regulatory frameworks not only disrupts the day-to-day operations of Nigerian deposit money banks but also poses systemic risks to their long-term stability and resilience. Addressing these challenges forms a key focus of this research, particularly in exploring how governance mechanisms—such as audit committee independence and regulatory clarity and enforcement consistency—influence the risk of bank default within the context of regulatory multiplicity in the Nigerian deposit money banking industry. These governance structures are vital tools for mitigating agency problems and reinforcing internal controls, which remain crucial within a financial sector characterized by overlapping and occasionally contradictory regulatory requirements. This analysis directly informs RQ4 on perceived regulatory clarity improvements and their causal impact on NPL declines.</w:t>
      </w:r>
    </w:p>
    <w:p>
      <w:pPr>
        <w:pStyle w:val="TableContents"/>
        <w:bidi w:val="0"/>
        <w:jc w:val="left"/>
        <w:rPr>
          <w:color w:val="000000"/>
        </w:rPr>
      </w:pPr>
      <w:r>
        <w:rPr>
          <w:color w:val="000000"/>
        </w:rPr>
        <w:t>Figure 1.1 Regulatory multiplicity governing Money Deposit Banks (DMBs) in Nigeria: Corporate governance mechanisms 2025</w:t>
      </w:r>
    </w:p>
    <w:p>
      <w:pPr>
        <w:pStyle w:val="TableContents"/>
        <w:bidi w:val="0"/>
        <w:jc w:val="left"/>
        <w:rPr>
          <w:i/>
          <w:i/>
          <w:iCs/>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8618220" cy="4904105"/>
            <wp:effectExtent l="0" t="0" r="0" b="0"/>
            <wp:wrapSquare wrapText="largest"/>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2"/>
                    <a:stretch>
                      <a:fillRect/>
                    </a:stretch>
                  </pic:blipFill>
                  <pic:spPr bwMode="auto">
                    <a:xfrm>
                      <a:off x="0" y="0"/>
                      <a:ext cx="8618220" cy="4904105"/>
                    </a:xfrm>
                    <a:prstGeom prst="rect">
                      <a:avLst/>
                    </a:prstGeom>
                    <a:noFill/>
                  </pic:spPr>
                </pic:pic>
              </a:graphicData>
            </a:graphic>
          </wp:anchor>
        </w:drawing>
      </w:r>
      <w:r>
        <w:rPr>
          <w:i/>
          <w:iCs/>
          <w:color w:val="000000"/>
        </w:rPr>
        <w:t>Note: This flow chart illustrates the governance mechanisms (board composition, CEO Tenure, remuneration policy, board committee composition, enforcement approach) across four codes (CAMA 2020, NCCG 2018, CBM CG Guidelines 2023, SEC Code 2011), highlighting conflicts that contribute to Regulatory ambiguity. Adapted from Central Bank of Nigeria (2023), Financial Reporting Council of Nigeria (2018), Companies and allied matters act (2020), and Securities and Exchange Commission (2011)</w:t>
      </w:r>
    </w:p>
    <w:p>
      <w:pPr>
        <w:sectPr>
          <w:type w:val="nextPage"/>
          <w:pgSz w:orient="landscape" w:w="15840" w:h="12240"/>
          <w:pgMar w:left="1134" w:right="1134" w:gutter="0" w:header="0" w:top="1134" w:footer="0" w:bottom="1134"/>
          <w:pgNumType w:fmt="decimal"/>
          <w:formProt w:val="false"/>
          <w:textDirection w:val="lrTb"/>
          <w:docGrid w:type="default" w:linePitch="600" w:charSpace="32768"/>
        </w:sectPr>
        <w:pStyle w:val="Normal"/>
        <w:bidi w:val="0"/>
        <w:spacing w:before="0" w:after="0"/>
        <w:jc w:val="left"/>
        <w:rPr/>
      </w:pPr>
      <w:r>
        <w:rPr/>
      </w:r>
    </w:p>
    <w:p>
      <w:pPr>
        <w:pStyle w:val="Normal"/>
        <w:bidi w:val="0"/>
        <w:jc w:val="left"/>
        <w:rPr/>
      </w:pPr>
      <w:r>
        <w:rPr/>
      </w:r>
    </w:p>
    <w:p>
      <w:pPr>
        <w:pStyle w:val="Normal"/>
        <w:bidi w:val="0"/>
        <w:jc w:val="left"/>
        <w:rPr/>
      </w:pPr>
      <w:r>
        <w:rPr/>
        <w:t>1.1.4 Bank Governance Challenges in Nigeria</w:t>
      </w:r>
    </w:p>
    <w:p>
      <w:pPr>
        <w:pStyle w:val="Normal"/>
        <w:bidi w:val="0"/>
        <w:jc w:val="left"/>
        <w:rPr/>
      </w:pPr>
      <w:r>
        <w:rPr/>
      </w:r>
    </w:p>
    <w:p>
      <w:pPr>
        <w:pStyle w:val="Normal"/>
        <w:bidi w:val="0"/>
        <w:jc w:val="left"/>
        <w:rPr/>
      </w:pPr>
      <w:r>
        <w:rPr/>
        <w:t>The historical evolution of corporate governance in Nigeria, particularly within the deposit money banking sector, is deeply intertwined with its pre-colonial and colonial legacies, highlighting a complex legal and institutional heritage that continues to shape its current challenges (Brennan &amp; Solomon, 2008). Pre-colonial Nigeria consisted of distinct regional governance systems, such as those of the Hausa-Fulani, Yoruba, and Igbo, which operated through customary laws, monarchies, and communal structures. These frameworks, though informal by Western standards, were legitimate and effective systems for regulating trade, resolving disputes, and allocating resources (Altin, 2024; Elias, 2024). Businesses during this era were often family-owned or organized through community-based guilds, lacking the formal corporate governance structures seen today.</w:t>
      </w:r>
    </w:p>
    <w:p>
      <w:pPr>
        <w:pStyle w:val="Normal"/>
        <w:bidi w:val="0"/>
        <w:jc w:val="left"/>
        <w:rPr/>
      </w:pPr>
      <w:r>
        <w:rPr/>
      </w:r>
    </w:p>
    <w:p>
      <w:pPr>
        <w:pStyle w:val="Normal"/>
        <w:bidi w:val="0"/>
        <w:jc w:val="left"/>
        <w:rPr/>
      </w:pPr>
      <w:r>
        <w:rPr/>
        <w:t>The colonial period (1861–1960) marked significant changes to Nigeria’s governance systems. British colonial administrators imposed foreign legal frameworks, such as the Companies Ordinance of 1912, modeled on the UK Companies Act (Agamah, 2024). These provisions were tailored to serve colonial enterprises like the Royal Niger Company and were exploitative in intent, prioritizing the colonial government’s agenda over the developmental needs of local businesses (Elias, 2024). They introduced Western corporate concepts, including limited liability and boards, but failed to integrate the socio-economic realities of Nigeria, disregarding indigenous governance systems and embedding a rigid legal template that persisted post-independence (Adegbite et al., 2012).</w:t>
      </w:r>
    </w:p>
    <w:p>
      <w:pPr>
        <w:pStyle w:val="Normal"/>
        <w:bidi w:val="0"/>
        <w:jc w:val="left"/>
        <w:rPr/>
      </w:pPr>
      <w:r>
        <w:rPr/>
      </w:r>
    </w:p>
    <w:p>
      <w:pPr>
        <w:pStyle w:val="Normal"/>
        <w:bidi w:val="0"/>
        <w:jc w:val="left"/>
        <w:rPr/>
      </w:pPr>
      <w:r>
        <w:rPr/>
        <w:t>Following independence in 1960, Nigeria inherited this colonial legal infrastructure, which presented significant challenges in developing a governance system aligned with its economic and institutional realities (Elias, 2024). Instead of replacing colonial laws entirely, policymakers amended and expanded the existing framework, as seen in the Companies Act of 1968 (later replaced by the Companies and Allied Matters Act, 2020, or CAMA). These adaptations aimed to modernize the governance structure to support a growing economy and attract foreign investment. However, gaps in institutional capacity and the necessity for legal continuity limited progress, impeding the creation of a cohesive governance model suited to the Nigerian context (Udo, 2020). As Nigeria’s economy grew, particularly in sectors like oil, telecommunications, and banking, regulatory bodies such as the Central Bank of Nigeria (CBN), the Securities and Exchange Commission (SEC), and the Nigerian Communications Commission (NCC) emerged. These institutions sought to address sector-specific issues by introducing additional governance codes. However, rather than replacing the colonial legal foundation, newer frameworks were layered on top, resulting in conflicting and overlapping regulations. For example, Section 279 of CAMA outlines general director duties, which can conflict with the more detailed governance requirements of the CBN Code, creating ambiguity for banks operating under these intersecting guidelines (Osemeke &amp; Adegbite, 2016).</w:t>
      </w:r>
    </w:p>
    <w:p>
      <w:pPr>
        <w:pStyle w:val="Normal"/>
        <w:bidi w:val="0"/>
        <w:jc w:val="left"/>
        <w:rPr/>
      </w:pPr>
      <w:r>
        <w:rPr/>
      </w:r>
    </w:p>
    <w:p>
      <w:pPr>
        <w:pStyle w:val="Normal"/>
        <w:bidi w:val="0"/>
        <w:jc w:val="left"/>
        <w:rPr/>
      </w:pPr>
      <w:r>
        <w:rPr/>
        <w:t>This history of regulatory multiplicity contributes to ongoing governance challenges in the Nigerian deposit money banking system (Babajide et al., 2020). Cases of fraud and mismanagement have highlighted the inadequacies of current governance structures. Despite regulatory instruments such as the CBN Act, the Banks and Other Financial Institutions Act (BOFIA), and the Nigeria Deposit Insurance Corporation (NDIC) Act, enforcement remains weak (Nwoke et al., 2023). The CBN Act of 2007 grants the Central Bank autonomy to oversee financial institutions, while BOFIA ensures regulatory powers over banking operations (Obadire et al., 2022). However, enforcement of these laws is undermined by institutional weaknesses, such as outdated sanctions and resource constraints, as noted in the ROSC (2004) report (Azoro et al., 2022). The conflicts between regulatory frameworks exacerbate governance challenges for Nigerian deposit money banks. For example, while the CBN Code explicitly prohibits family members from simultaneously occupying key board positions such as Chairman and CEO, the SEC Code (2011) does not impose similar limitations, creating regulatory inconsistencies. This misalignment fosters opportunities for regulatory arbitrage, enabling banks to selectively comply with mandatory codes like the CBN’s while neglecting voluntary recommendations from the SEC. Consequently, such contradictions weaken the impact of governance reforms and foster institutional accountability within the banking sector (Osemeke &amp; Adegbite, 2016).</w:t>
      </w:r>
    </w:p>
    <w:p>
      <w:pPr>
        <w:sectPr>
          <w:type w:val="nextPage"/>
          <w:pgSz w:w="12240" w:h="15840"/>
          <w:pgMar w:left="1134" w:right="1134" w:gutter="0" w:header="0" w:top="1134" w:footer="0" w:bottom="1134"/>
          <w:pgNumType w:fmt="decimal"/>
          <w:formProt w:val="false"/>
          <w:textDirection w:val="lrTb"/>
          <w:docGrid w:type="default" w:linePitch="312" w:charSpace="0"/>
        </w:sectPr>
        <w:pStyle w:val="Normal"/>
        <w:bidi w:val="0"/>
        <w:spacing w:before="0" w:after="0"/>
        <w:jc w:val="left"/>
        <w:rPr/>
      </w:pPr>
      <w:r>
        <w:rPr/>
      </w:r>
    </w:p>
    <w:tbl>
      <w:tblPr>
        <w:tblpPr w:vertAnchor="text" w:horzAnchor="margin" w:leftFromText="180" w:rightFromText="180" w:tblpX="28" w:tblpY="457"/>
        <w:tblW w:w="13556" w:type="dxa"/>
        <w:jc w:val="left"/>
        <w:tblInd w:w="28" w:type="dxa"/>
        <w:tblLayout w:type="fixed"/>
        <w:tblCellMar>
          <w:top w:w="28" w:type="dxa"/>
          <w:left w:w="28" w:type="dxa"/>
          <w:bottom w:w="28" w:type="dxa"/>
          <w:right w:w="28" w:type="dxa"/>
        </w:tblCellMar>
      </w:tblPr>
      <w:tblGrid>
        <w:gridCol w:w="1858"/>
        <w:gridCol w:w="1109"/>
        <w:gridCol w:w="2607"/>
        <w:gridCol w:w="1728"/>
        <w:gridCol w:w="2131"/>
        <w:gridCol w:w="1974"/>
        <w:gridCol w:w="2149"/>
      </w:tblGrid>
      <w:tr>
        <w:trPr/>
        <w:tc>
          <w:tcPr>
            <w:tcW w:w="1858" w:type="dxa"/>
            <w:tcBorders>
              <w:top w:val="single" w:sz="6" w:space="0" w:color="333639"/>
              <w:left w:val="single" w:sz="6" w:space="0" w:color="333639"/>
              <w:bottom w:val="single" w:sz="6" w:space="0" w:color="333639"/>
              <w:right w:val="single" w:sz="6" w:space="0" w:color="333639"/>
            </w:tcBorders>
            <w:vAlign w:val="center"/>
          </w:tcPr>
          <w:p>
            <w:pPr>
              <w:pStyle w:val="TableContents"/>
              <w:bidi w:val="0"/>
              <w:jc w:val="left"/>
              <w:rPr>
                <w:sz w:val="22"/>
                <w:szCs w:val="22"/>
              </w:rPr>
            </w:pPr>
            <w:r>
              <w:rPr>
                <w:sz w:val="22"/>
                <w:szCs w:val="22"/>
              </w:rPr>
              <w:t>Code/Regulation</w:t>
            </w:r>
          </w:p>
        </w:tc>
        <w:tc>
          <w:tcPr>
            <w:tcW w:w="1109" w:type="dxa"/>
            <w:tcBorders>
              <w:top w:val="single" w:sz="6" w:space="0" w:color="333639"/>
              <w:left w:val="single" w:sz="6" w:space="0" w:color="333639"/>
              <w:bottom w:val="single" w:sz="6" w:space="0" w:color="333639"/>
              <w:right w:val="single" w:sz="6" w:space="0" w:color="333639"/>
            </w:tcBorders>
            <w:vAlign w:val="center"/>
          </w:tcPr>
          <w:p>
            <w:pPr>
              <w:pStyle w:val="TableContents"/>
              <w:bidi w:val="0"/>
              <w:jc w:val="left"/>
              <w:rPr>
                <w:sz w:val="22"/>
                <w:szCs w:val="22"/>
              </w:rPr>
            </w:pPr>
            <w:r>
              <w:rPr>
                <w:sz w:val="22"/>
                <w:szCs w:val="22"/>
              </w:rPr>
              <w:t>Regulator</w:t>
            </w:r>
          </w:p>
        </w:tc>
        <w:tc>
          <w:tcPr>
            <w:tcW w:w="2607" w:type="dxa"/>
            <w:tcBorders>
              <w:top w:val="single" w:sz="6" w:space="0" w:color="333639"/>
              <w:left w:val="single" w:sz="6" w:space="0" w:color="333639"/>
              <w:bottom w:val="single" w:sz="6" w:space="0" w:color="333639"/>
              <w:right w:val="single" w:sz="6" w:space="0" w:color="333639"/>
            </w:tcBorders>
            <w:vAlign w:val="center"/>
          </w:tcPr>
          <w:p>
            <w:pPr>
              <w:pStyle w:val="TableContents"/>
              <w:bidi w:val="0"/>
              <w:jc w:val="left"/>
              <w:rPr>
                <w:sz w:val="22"/>
                <w:szCs w:val="22"/>
              </w:rPr>
            </w:pPr>
            <w:r>
              <w:rPr>
                <w:sz w:val="22"/>
                <w:szCs w:val="22"/>
              </w:rPr>
              <w:t>Board Composition</w:t>
            </w:r>
          </w:p>
        </w:tc>
        <w:tc>
          <w:tcPr>
            <w:tcW w:w="1728" w:type="dxa"/>
            <w:tcBorders>
              <w:top w:val="single" w:sz="6" w:space="0" w:color="333639"/>
              <w:left w:val="single" w:sz="6" w:space="0" w:color="333639"/>
              <w:bottom w:val="single" w:sz="6" w:space="0" w:color="333639"/>
              <w:right w:val="single" w:sz="6" w:space="0" w:color="333639"/>
            </w:tcBorders>
            <w:vAlign w:val="center"/>
          </w:tcPr>
          <w:p>
            <w:pPr>
              <w:pStyle w:val="TableContents"/>
              <w:bidi w:val="0"/>
              <w:jc w:val="left"/>
              <w:rPr>
                <w:sz w:val="22"/>
                <w:szCs w:val="22"/>
              </w:rPr>
            </w:pPr>
            <w:r>
              <w:rPr>
                <w:sz w:val="22"/>
                <w:szCs w:val="22"/>
              </w:rPr>
              <w:t>CEO Tenure</w:t>
            </w:r>
          </w:p>
        </w:tc>
        <w:tc>
          <w:tcPr>
            <w:tcW w:w="2131" w:type="dxa"/>
            <w:tcBorders>
              <w:top w:val="single" w:sz="6" w:space="0" w:color="333639"/>
              <w:left w:val="single" w:sz="6" w:space="0" w:color="333639"/>
              <w:bottom w:val="single" w:sz="6" w:space="0" w:color="333639"/>
              <w:right w:val="single" w:sz="6" w:space="0" w:color="333639"/>
            </w:tcBorders>
            <w:vAlign w:val="center"/>
          </w:tcPr>
          <w:p>
            <w:pPr>
              <w:pStyle w:val="TableContents"/>
              <w:bidi w:val="0"/>
              <w:jc w:val="left"/>
              <w:rPr>
                <w:sz w:val="22"/>
                <w:szCs w:val="22"/>
              </w:rPr>
            </w:pPr>
            <w:r>
              <w:rPr>
                <w:sz w:val="22"/>
                <w:szCs w:val="22"/>
              </w:rPr>
              <w:t>Remuneration Policy</w:t>
            </w:r>
          </w:p>
        </w:tc>
        <w:tc>
          <w:tcPr>
            <w:tcW w:w="1974" w:type="dxa"/>
            <w:tcBorders>
              <w:top w:val="single" w:sz="6" w:space="0" w:color="333639"/>
              <w:left w:val="single" w:sz="6" w:space="0" w:color="333639"/>
              <w:bottom w:val="single" w:sz="6" w:space="0" w:color="333639"/>
              <w:right w:val="single" w:sz="6" w:space="0" w:color="333639"/>
            </w:tcBorders>
            <w:vAlign w:val="center"/>
          </w:tcPr>
          <w:p>
            <w:pPr>
              <w:pStyle w:val="TableContents"/>
              <w:bidi w:val="0"/>
              <w:jc w:val="left"/>
              <w:rPr>
                <w:sz w:val="22"/>
                <w:szCs w:val="22"/>
              </w:rPr>
            </w:pPr>
            <w:r>
              <w:rPr>
                <w:sz w:val="22"/>
                <w:szCs w:val="22"/>
              </w:rPr>
              <w:t>Board Committee Composition</w:t>
            </w:r>
          </w:p>
        </w:tc>
        <w:tc>
          <w:tcPr>
            <w:tcW w:w="2149" w:type="dxa"/>
            <w:tcBorders>
              <w:top w:val="single" w:sz="6" w:space="0" w:color="333639"/>
              <w:left w:val="single" w:sz="6" w:space="0" w:color="333639"/>
              <w:bottom w:val="single" w:sz="6" w:space="0" w:color="333639"/>
              <w:right w:val="single" w:sz="6" w:space="0" w:color="333639"/>
            </w:tcBorders>
            <w:vAlign w:val="center"/>
          </w:tcPr>
          <w:p>
            <w:pPr>
              <w:pStyle w:val="TableContents"/>
              <w:bidi w:val="0"/>
              <w:jc w:val="left"/>
              <w:rPr>
                <w:sz w:val="22"/>
                <w:szCs w:val="22"/>
              </w:rPr>
            </w:pPr>
            <w:r>
              <w:rPr>
                <w:sz w:val="22"/>
                <w:szCs w:val="22"/>
              </w:rPr>
              <w:t>Enforcement Approach</w:t>
            </w:r>
          </w:p>
        </w:tc>
      </w:tr>
      <w:tr>
        <w:trPr/>
        <w:tc>
          <w:tcPr>
            <w:tcW w:w="1858" w:type="dxa"/>
            <w:tcBorders>
              <w:top w:val="single" w:sz="6" w:space="0" w:color="333639"/>
              <w:left w:val="single" w:sz="6" w:space="0" w:color="333639"/>
              <w:bottom w:val="single" w:sz="6" w:space="0" w:color="333639"/>
              <w:right w:val="single" w:sz="6" w:space="0" w:color="333639"/>
            </w:tcBorders>
            <w:vAlign w:val="center"/>
          </w:tcPr>
          <w:p>
            <w:pPr>
              <w:pStyle w:val="TableContents"/>
              <w:bidi w:val="0"/>
              <w:jc w:val="left"/>
              <w:rPr>
                <w:sz w:val="22"/>
                <w:szCs w:val="22"/>
              </w:rPr>
            </w:pPr>
            <w:r>
              <w:rPr>
                <w:sz w:val="22"/>
                <w:szCs w:val="22"/>
              </w:rPr>
              <w:t>CAMA 2020</w:t>
            </w:r>
          </w:p>
        </w:tc>
        <w:tc>
          <w:tcPr>
            <w:tcW w:w="1109" w:type="dxa"/>
            <w:tcBorders>
              <w:top w:val="single" w:sz="6" w:space="0" w:color="333639"/>
              <w:left w:val="single" w:sz="6" w:space="0" w:color="333639"/>
              <w:bottom w:val="single" w:sz="6" w:space="0" w:color="333639"/>
              <w:right w:val="single" w:sz="6" w:space="0" w:color="333639"/>
            </w:tcBorders>
            <w:vAlign w:val="center"/>
          </w:tcPr>
          <w:p>
            <w:pPr>
              <w:pStyle w:val="TableContents"/>
              <w:bidi w:val="0"/>
              <w:jc w:val="left"/>
              <w:rPr>
                <w:sz w:val="22"/>
                <w:szCs w:val="22"/>
              </w:rPr>
            </w:pPr>
            <w:r>
              <w:rPr>
                <w:sz w:val="22"/>
                <w:szCs w:val="22"/>
              </w:rPr>
              <w:t>CAC</w:t>
            </w:r>
          </w:p>
        </w:tc>
        <w:tc>
          <w:tcPr>
            <w:tcW w:w="2607" w:type="dxa"/>
            <w:tcBorders>
              <w:top w:val="single" w:sz="6" w:space="0" w:color="333639"/>
              <w:left w:val="single" w:sz="6" w:space="0" w:color="333639"/>
              <w:bottom w:val="single" w:sz="6" w:space="0" w:color="333639"/>
              <w:right w:val="single" w:sz="6" w:space="0" w:color="333639"/>
            </w:tcBorders>
            <w:vAlign w:val="center"/>
          </w:tcPr>
          <w:p>
            <w:pPr>
              <w:pStyle w:val="TableContents"/>
              <w:bidi w:val="0"/>
              <w:jc w:val="left"/>
              <w:rPr>
                <w:sz w:val="22"/>
                <w:szCs w:val="22"/>
              </w:rPr>
            </w:pPr>
            <w:r>
              <w:rPr>
                <w:sz w:val="22"/>
                <w:szCs w:val="22"/>
              </w:rPr>
              <w:t>≥</w:t>
            </w:r>
            <w:r>
              <w:rPr>
                <w:sz w:val="22"/>
                <w:szCs w:val="22"/>
              </w:rPr>
              <w:t>2 directors; public companies need ≥1/3 INEDs (Sect. 275).</w:t>
            </w:r>
          </w:p>
        </w:tc>
        <w:tc>
          <w:tcPr>
            <w:tcW w:w="1728" w:type="dxa"/>
            <w:tcBorders>
              <w:top w:val="single" w:sz="6" w:space="0" w:color="333639"/>
              <w:left w:val="single" w:sz="6" w:space="0" w:color="333639"/>
              <w:bottom w:val="single" w:sz="6" w:space="0" w:color="333639"/>
              <w:right w:val="single" w:sz="6" w:space="0" w:color="333639"/>
            </w:tcBorders>
            <w:vAlign w:val="center"/>
          </w:tcPr>
          <w:p>
            <w:pPr>
              <w:pStyle w:val="TableContents"/>
              <w:bidi w:val="0"/>
              <w:jc w:val="left"/>
              <w:rPr>
                <w:sz w:val="22"/>
                <w:szCs w:val="22"/>
              </w:rPr>
            </w:pPr>
            <w:r>
              <w:rPr>
                <w:sz w:val="22"/>
                <w:szCs w:val="22"/>
              </w:rPr>
              <w:t>Not specified.</w:t>
            </w:r>
          </w:p>
        </w:tc>
        <w:tc>
          <w:tcPr>
            <w:tcW w:w="2131" w:type="dxa"/>
            <w:tcBorders>
              <w:top w:val="single" w:sz="6" w:space="0" w:color="333639"/>
              <w:left w:val="single" w:sz="6" w:space="0" w:color="333639"/>
              <w:bottom w:val="single" w:sz="6" w:space="0" w:color="333639"/>
              <w:right w:val="single" w:sz="6" w:space="0" w:color="333639"/>
            </w:tcBorders>
            <w:vAlign w:val="center"/>
          </w:tcPr>
          <w:p>
            <w:pPr>
              <w:pStyle w:val="TableContents"/>
              <w:bidi w:val="0"/>
              <w:jc w:val="left"/>
              <w:rPr>
                <w:sz w:val="22"/>
                <w:szCs w:val="22"/>
              </w:rPr>
            </w:pPr>
            <w:r>
              <w:rPr>
                <w:sz w:val="22"/>
                <w:szCs w:val="22"/>
              </w:rPr>
              <w:t>Set by shareholders at AGM (Sect. 267); disclosed in reports (Sect. 238).</w:t>
            </w:r>
          </w:p>
        </w:tc>
        <w:tc>
          <w:tcPr>
            <w:tcW w:w="1974" w:type="dxa"/>
            <w:tcBorders>
              <w:top w:val="single" w:sz="6" w:space="0" w:color="333639"/>
              <w:left w:val="single" w:sz="6" w:space="0" w:color="333639"/>
              <w:bottom w:val="single" w:sz="6" w:space="0" w:color="333639"/>
              <w:right w:val="single" w:sz="6" w:space="0" w:color="333639"/>
            </w:tcBorders>
            <w:vAlign w:val="center"/>
          </w:tcPr>
          <w:p>
            <w:pPr>
              <w:pStyle w:val="TableContents"/>
              <w:bidi w:val="0"/>
              <w:jc w:val="left"/>
              <w:rPr>
                <w:sz w:val="22"/>
                <w:szCs w:val="22"/>
              </w:rPr>
            </w:pPr>
            <w:r>
              <w:rPr>
                <w:sz w:val="22"/>
                <w:szCs w:val="22"/>
              </w:rPr>
              <w:t>Audit committee mandatory (dir. + shareholders) (Sect. 404).</w:t>
            </w:r>
          </w:p>
        </w:tc>
        <w:tc>
          <w:tcPr>
            <w:tcW w:w="2149" w:type="dxa"/>
            <w:tcBorders>
              <w:top w:val="single" w:sz="6" w:space="0" w:color="333639"/>
              <w:left w:val="single" w:sz="6" w:space="0" w:color="333639"/>
              <w:bottom w:val="single" w:sz="6" w:space="0" w:color="333639"/>
              <w:right w:val="single" w:sz="6" w:space="0" w:color="333639"/>
            </w:tcBorders>
            <w:vAlign w:val="center"/>
          </w:tcPr>
          <w:p>
            <w:pPr>
              <w:pStyle w:val="TableContents"/>
              <w:bidi w:val="0"/>
              <w:jc w:val="left"/>
              <w:rPr>
                <w:sz w:val="22"/>
                <w:szCs w:val="22"/>
              </w:rPr>
            </w:pPr>
            <w:r>
              <w:rPr>
                <w:sz w:val="22"/>
                <w:szCs w:val="22"/>
              </w:rPr>
              <w:t>Legal enforcement; fines (e.g., Sect. 417); court interventions (Sect. 344).</w:t>
            </w:r>
          </w:p>
        </w:tc>
      </w:tr>
      <w:tr>
        <w:trPr>
          <w:trHeight w:val="1317" w:hRule="atLeast"/>
        </w:trPr>
        <w:tc>
          <w:tcPr>
            <w:tcW w:w="1858" w:type="dxa"/>
            <w:tcBorders>
              <w:top w:val="single" w:sz="6" w:space="0" w:color="333639"/>
              <w:left w:val="single" w:sz="6" w:space="0" w:color="333639"/>
              <w:bottom w:val="single" w:sz="6" w:space="0" w:color="333639"/>
              <w:right w:val="single" w:sz="6" w:space="0" w:color="333639"/>
            </w:tcBorders>
            <w:vAlign w:val="center"/>
          </w:tcPr>
          <w:p>
            <w:pPr>
              <w:pStyle w:val="TableContents"/>
              <w:bidi w:val="0"/>
              <w:jc w:val="left"/>
              <w:rPr>
                <w:sz w:val="22"/>
                <w:szCs w:val="22"/>
              </w:rPr>
            </w:pPr>
            <w:r>
              <w:rPr>
                <w:sz w:val="22"/>
                <w:szCs w:val="22"/>
              </w:rPr>
              <w:t>NCCG 2018</w:t>
            </w:r>
          </w:p>
        </w:tc>
        <w:tc>
          <w:tcPr>
            <w:tcW w:w="1109" w:type="dxa"/>
            <w:tcBorders>
              <w:top w:val="single" w:sz="6" w:space="0" w:color="333639"/>
              <w:left w:val="single" w:sz="6" w:space="0" w:color="333639"/>
              <w:bottom w:val="single" w:sz="6" w:space="0" w:color="333639"/>
              <w:right w:val="single" w:sz="6" w:space="0" w:color="333639"/>
            </w:tcBorders>
            <w:vAlign w:val="center"/>
          </w:tcPr>
          <w:p>
            <w:pPr>
              <w:pStyle w:val="TableContents"/>
              <w:bidi w:val="0"/>
              <w:jc w:val="left"/>
              <w:rPr>
                <w:sz w:val="22"/>
                <w:szCs w:val="22"/>
              </w:rPr>
            </w:pPr>
            <w:r>
              <w:rPr>
                <w:sz w:val="22"/>
                <w:szCs w:val="22"/>
              </w:rPr>
              <w:t>FRCN</w:t>
            </w:r>
          </w:p>
        </w:tc>
        <w:tc>
          <w:tcPr>
            <w:tcW w:w="2607" w:type="dxa"/>
            <w:tcBorders>
              <w:top w:val="single" w:sz="6" w:space="0" w:color="333639"/>
              <w:left w:val="single" w:sz="6" w:space="0" w:color="333639"/>
              <w:bottom w:val="single" w:sz="6" w:space="0" w:color="333639"/>
              <w:right w:val="single" w:sz="6" w:space="0" w:color="333639"/>
            </w:tcBorders>
            <w:vAlign w:val="center"/>
          </w:tcPr>
          <w:p>
            <w:pPr>
              <w:pStyle w:val="TableContents"/>
              <w:bidi w:val="0"/>
              <w:jc w:val="left"/>
              <w:rPr>
                <w:sz w:val="22"/>
                <w:szCs w:val="22"/>
              </w:rPr>
            </w:pPr>
            <w:r>
              <w:rPr>
                <w:sz w:val="22"/>
                <w:szCs w:val="22"/>
              </w:rPr>
              <w:t>Majority NEDs, most INEDs; diversity emphasized (Princ. 2-3).</w:t>
            </w:r>
          </w:p>
        </w:tc>
        <w:tc>
          <w:tcPr>
            <w:tcW w:w="1728" w:type="dxa"/>
            <w:tcBorders>
              <w:top w:val="single" w:sz="6" w:space="0" w:color="333639"/>
              <w:left w:val="single" w:sz="6" w:space="0" w:color="333639"/>
              <w:bottom w:val="single" w:sz="6" w:space="0" w:color="333639"/>
              <w:right w:val="single" w:sz="6" w:space="0" w:color="333639"/>
            </w:tcBorders>
            <w:vAlign w:val="center"/>
          </w:tcPr>
          <w:p>
            <w:pPr>
              <w:pStyle w:val="TableContents"/>
              <w:bidi w:val="0"/>
              <w:jc w:val="left"/>
              <w:rPr>
                <w:sz w:val="22"/>
                <w:szCs w:val="22"/>
              </w:rPr>
            </w:pPr>
            <w:r>
              <w:rPr>
                <w:sz w:val="22"/>
                <w:szCs w:val="22"/>
              </w:rPr>
              <w:t>Board discretion; INEDs max 3 terms (3 yrs each) (Princ. 7).</w:t>
            </w:r>
          </w:p>
        </w:tc>
        <w:tc>
          <w:tcPr>
            <w:tcW w:w="2131" w:type="dxa"/>
            <w:tcBorders>
              <w:top w:val="single" w:sz="6" w:space="0" w:color="333639"/>
              <w:left w:val="single" w:sz="6" w:space="0" w:color="333639"/>
              <w:bottom w:val="single" w:sz="6" w:space="0" w:color="333639"/>
              <w:right w:val="single" w:sz="6" w:space="0" w:color="333639"/>
            </w:tcBorders>
            <w:vAlign w:val="center"/>
          </w:tcPr>
          <w:p>
            <w:pPr>
              <w:pStyle w:val="TableContents"/>
              <w:bidi w:val="0"/>
              <w:jc w:val="left"/>
              <w:rPr>
                <w:sz w:val="22"/>
                <w:szCs w:val="22"/>
              </w:rPr>
            </w:pPr>
            <w:r>
              <w:rPr>
                <w:sz w:val="22"/>
                <w:szCs w:val="22"/>
              </w:rPr>
              <w:t>Long-term aligned; disclosed; Rem. committee (NED-chaired) (Princ. 17, 9).</w:t>
            </w:r>
          </w:p>
        </w:tc>
        <w:tc>
          <w:tcPr>
            <w:tcW w:w="1974" w:type="dxa"/>
            <w:tcBorders>
              <w:top w:val="single" w:sz="6" w:space="0" w:color="333639"/>
              <w:left w:val="single" w:sz="6" w:space="0" w:color="333639"/>
              <w:bottom w:val="single" w:sz="6" w:space="0" w:color="333639"/>
              <w:right w:val="single" w:sz="6" w:space="0" w:color="333639"/>
            </w:tcBorders>
            <w:vAlign w:val="center"/>
          </w:tcPr>
          <w:p>
            <w:pPr>
              <w:pStyle w:val="TableContents"/>
              <w:bidi w:val="0"/>
              <w:jc w:val="left"/>
              <w:rPr>
                <w:sz w:val="22"/>
                <w:szCs w:val="22"/>
              </w:rPr>
            </w:pPr>
            <w:r>
              <w:rPr>
                <w:sz w:val="22"/>
                <w:szCs w:val="22"/>
              </w:rPr>
              <w:t>Audit, Risk, Nom., Rem.; NED-chaired (Princ. 8).</w:t>
            </w:r>
          </w:p>
        </w:tc>
        <w:tc>
          <w:tcPr>
            <w:tcW w:w="2149" w:type="dxa"/>
            <w:tcBorders>
              <w:top w:val="single" w:sz="6" w:space="0" w:color="333639"/>
              <w:left w:val="single" w:sz="6" w:space="0" w:color="333639"/>
              <w:bottom w:val="single" w:sz="6" w:space="0" w:color="333639"/>
              <w:right w:val="single" w:sz="6" w:space="0" w:color="333639"/>
            </w:tcBorders>
            <w:vAlign w:val="center"/>
          </w:tcPr>
          <w:p>
            <w:pPr>
              <w:pStyle w:val="TableContents"/>
              <w:bidi w:val="0"/>
              <w:jc w:val="left"/>
              <w:rPr>
                <w:sz w:val="22"/>
                <w:szCs w:val="22"/>
              </w:rPr>
            </w:pPr>
            <w:r>
              <w:rPr>
                <w:sz w:val="22"/>
                <w:szCs w:val="22"/>
              </w:rPr>
              <w:t>“</w:t>
            </w:r>
            <w:r>
              <w:rPr>
                <w:sz w:val="22"/>
                <w:szCs w:val="22"/>
              </w:rPr>
              <w:t>Apply and Explain”; FRCN monitors; CBN enforces for banks (Princ. 28).</w:t>
            </w:r>
          </w:p>
        </w:tc>
      </w:tr>
      <w:tr>
        <w:trPr/>
        <w:tc>
          <w:tcPr>
            <w:tcW w:w="1858" w:type="dxa"/>
            <w:tcBorders>
              <w:top w:val="single" w:sz="6" w:space="0" w:color="333639"/>
              <w:left w:val="single" w:sz="6" w:space="0" w:color="333639"/>
              <w:bottom w:val="single" w:sz="6" w:space="0" w:color="333639"/>
              <w:right w:val="single" w:sz="6" w:space="0" w:color="333639"/>
            </w:tcBorders>
            <w:vAlign w:val="center"/>
          </w:tcPr>
          <w:p>
            <w:pPr>
              <w:pStyle w:val="TableContents"/>
              <w:bidi w:val="0"/>
              <w:jc w:val="left"/>
              <w:rPr>
                <w:sz w:val="22"/>
                <w:szCs w:val="22"/>
              </w:rPr>
            </w:pPr>
            <w:r>
              <w:rPr>
                <w:sz w:val="22"/>
                <w:szCs w:val="22"/>
              </w:rPr>
              <w:t>CBN CG Guidelines 2023</w:t>
            </w:r>
          </w:p>
        </w:tc>
        <w:tc>
          <w:tcPr>
            <w:tcW w:w="1109" w:type="dxa"/>
            <w:tcBorders>
              <w:top w:val="single" w:sz="6" w:space="0" w:color="333639"/>
              <w:left w:val="single" w:sz="6" w:space="0" w:color="333639"/>
              <w:bottom w:val="single" w:sz="6" w:space="0" w:color="333639"/>
              <w:right w:val="single" w:sz="6" w:space="0" w:color="333639"/>
            </w:tcBorders>
            <w:vAlign w:val="center"/>
          </w:tcPr>
          <w:p>
            <w:pPr>
              <w:pStyle w:val="TableContents"/>
              <w:bidi w:val="0"/>
              <w:jc w:val="left"/>
              <w:rPr>
                <w:sz w:val="22"/>
                <w:szCs w:val="22"/>
              </w:rPr>
            </w:pPr>
            <w:r>
              <w:rPr>
                <w:sz w:val="22"/>
                <w:szCs w:val="22"/>
              </w:rPr>
              <w:t>CBN</w:t>
            </w:r>
          </w:p>
        </w:tc>
        <w:tc>
          <w:tcPr>
            <w:tcW w:w="2607" w:type="dxa"/>
            <w:tcBorders>
              <w:top w:val="single" w:sz="6" w:space="0" w:color="333639"/>
              <w:left w:val="single" w:sz="6" w:space="0" w:color="333639"/>
              <w:bottom w:val="single" w:sz="6" w:space="0" w:color="333639"/>
              <w:right w:val="single" w:sz="6" w:space="0" w:color="333639"/>
            </w:tcBorders>
            <w:vAlign w:val="center"/>
          </w:tcPr>
          <w:p>
            <w:pPr>
              <w:pStyle w:val="TableContents"/>
              <w:bidi w:val="0"/>
              <w:jc w:val="left"/>
              <w:rPr>
                <w:sz w:val="22"/>
                <w:szCs w:val="22"/>
              </w:rPr>
            </w:pPr>
            <w:r>
              <w:rPr>
                <w:sz w:val="22"/>
                <w:szCs w:val="22"/>
              </w:rPr>
              <w:t>7-15 directors (CMNIBs), 7-13 (PSBs); NEDs &gt; EDs; ≥3 INEDs (intl./natl.); 2 fintech/ICT NEDs; ≤2 family members (Sect. 4).</w:t>
            </w:r>
          </w:p>
        </w:tc>
        <w:tc>
          <w:tcPr>
            <w:tcW w:w="1728" w:type="dxa"/>
            <w:tcBorders>
              <w:top w:val="single" w:sz="6" w:space="0" w:color="333639"/>
              <w:left w:val="single" w:sz="6" w:space="0" w:color="333639"/>
              <w:bottom w:val="single" w:sz="6" w:space="0" w:color="333639"/>
              <w:right w:val="single" w:sz="6" w:space="0" w:color="333639"/>
            </w:tcBorders>
            <w:vAlign w:val="center"/>
          </w:tcPr>
          <w:p>
            <w:pPr>
              <w:pStyle w:val="TableContents"/>
              <w:bidi w:val="0"/>
              <w:jc w:val="left"/>
              <w:rPr>
                <w:sz w:val="22"/>
                <w:szCs w:val="22"/>
              </w:rPr>
            </w:pPr>
            <w:r>
              <w:rPr>
                <w:sz w:val="22"/>
                <w:szCs w:val="22"/>
              </w:rPr>
              <w:t>MD/CEO max 12 yrs, 24-yr cap total; 2-yr cooling-off (Sect. 8.1, 7.1).</w:t>
            </w:r>
          </w:p>
        </w:tc>
        <w:tc>
          <w:tcPr>
            <w:tcW w:w="2131" w:type="dxa"/>
            <w:tcBorders>
              <w:top w:val="single" w:sz="6" w:space="0" w:color="333639"/>
              <w:left w:val="single" w:sz="6" w:space="0" w:color="333639"/>
              <w:bottom w:val="single" w:sz="6" w:space="0" w:color="333639"/>
              <w:right w:val="single" w:sz="6" w:space="0" w:color="333639"/>
            </w:tcBorders>
            <w:vAlign w:val="center"/>
          </w:tcPr>
          <w:p>
            <w:pPr>
              <w:pStyle w:val="TableContents"/>
              <w:bidi w:val="0"/>
              <w:jc w:val="left"/>
              <w:rPr>
                <w:sz w:val="22"/>
                <w:szCs w:val="22"/>
              </w:rPr>
            </w:pPr>
            <w:r>
              <w:rPr>
                <w:sz w:val="22"/>
                <w:szCs w:val="22"/>
              </w:rPr>
              <w:t>Perf.-linked for EDs; NEDs fees only; disclosed (Sect. 11).</w:t>
            </w:r>
          </w:p>
        </w:tc>
        <w:tc>
          <w:tcPr>
            <w:tcW w:w="1974" w:type="dxa"/>
            <w:tcBorders>
              <w:top w:val="single" w:sz="6" w:space="0" w:color="333639"/>
              <w:left w:val="single" w:sz="6" w:space="0" w:color="333639"/>
              <w:bottom w:val="single" w:sz="6" w:space="0" w:color="333639"/>
              <w:right w:val="single" w:sz="6" w:space="0" w:color="333639"/>
            </w:tcBorders>
            <w:vAlign w:val="center"/>
          </w:tcPr>
          <w:p>
            <w:pPr>
              <w:pStyle w:val="TableContents"/>
              <w:bidi w:val="0"/>
              <w:jc w:val="left"/>
              <w:rPr>
                <w:sz w:val="22"/>
                <w:szCs w:val="22"/>
              </w:rPr>
            </w:pPr>
            <w:r>
              <w:rPr>
                <w:sz w:val="22"/>
                <w:szCs w:val="22"/>
              </w:rPr>
              <w:t>Audit, Risk, Nom., Rem., Credit, ICT INED-chaired (Audit, Nom.) (Sect. 7).</w:t>
            </w:r>
          </w:p>
        </w:tc>
        <w:tc>
          <w:tcPr>
            <w:tcW w:w="2149" w:type="dxa"/>
            <w:tcBorders>
              <w:top w:val="single" w:sz="6" w:space="0" w:color="333639"/>
              <w:left w:val="single" w:sz="6" w:space="0" w:color="333639"/>
              <w:bottom w:val="single" w:sz="6" w:space="0" w:color="333639"/>
              <w:right w:val="single" w:sz="6" w:space="0" w:color="333639"/>
            </w:tcBorders>
            <w:vAlign w:val="center"/>
          </w:tcPr>
          <w:p>
            <w:pPr>
              <w:pStyle w:val="TableContents"/>
              <w:bidi w:val="0"/>
              <w:jc w:val="left"/>
              <w:rPr>
                <w:sz w:val="22"/>
                <w:szCs w:val="22"/>
              </w:rPr>
            </w:pPr>
            <w:r>
              <w:rPr>
                <w:sz w:val="22"/>
                <w:szCs w:val="22"/>
              </w:rPr>
              <w:t>Mandatory; fines, board dissolution (e.g., 2024 cases); risk-based supervision (BOFIA 2020).</w:t>
            </w:r>
          </w:p>
        </w:tc>
      </w:tr>
      <w:tr>
        <w:trPr>
          <w:trHeight w:val="1305" w:hRule="atLeast"/>
        </w:trPr>
        <w:tc>
          <w:tcPr>
            <w:tcW w:w="1858" w:type="dxa"/>
            <w:tcBorders>
              <w:top w:val="single" w:sz="6" w:space="0" w:color="333639"/>
              <w:left w:val="single" w:sz="6" w:space="0" w:color="333639"/>
              <w:bottom w:val="single" w:sz="6" w:space="0" w:color="333639"/>
              <w:right w:val="single" w:sz="6" w:space="0" w:color="333639"/>
            </w:tcBorders>
            <w:vAlign w:val="center"/>
          </w:tcPr>
          <w:p>
            <w:pPr>
              <w:pStyle w:val="TableContents"/>
              <w:bidi w:val="0"/>
              <w:jc w:val="left"/>
              <w:rPr>
                <w:sz w:val="22"/>
                <w:szCs w:val="22"/>
              </w:rPr>
            </w:pPr>
            <w:r>
              <w:rPr>
                <w:sz w:val="22"/>
                <w:szCs w:val="22"/>
              </w:rPr>
              <w:t>SEC Code 2011</w:t>
            </w:r>
          </w:p>
        </w:tc>
        <w:tc>
          <w:tcPr>
            <w:tcW w:w="1109" w:type="dxa"/>
            <w:tcBorders>
              <w:top w:val="single" w:sz="6" w:space="0" w:color="333639"/>
              <w:left w:val="single" w:sz="6" w:space="0" w:color="333639"/>
              <w:bottom w:val="single" w:sz="6" w:space="0" w:color="333639"/>
              <w:right w:val="single" w:sz="6" w:space="0" w:color="333639"/>
            </w:tcBorders>
            <w:vAlign w:val="center"/>
          </w:tcPr>
          <w:p>
            <w:pPr>
              <w:pStyle w:val="TableContents"/>
              <w:bidi w:val="0"/>
              <w:jc w:val="left"/>
              <w:rPr>
                <w:sz w:val="22"/>
                <w:szCs w:val="22"/>
              </w:rPr>
            </w:pPr>
            <w:r>
              <w:rPr>
                <w:sz w:val="22"/>
                <w:szCs w:val="22"/>
              </w:rPr>
              <w:t>SEC</w:t>
            </w:r>
          </w:p>
        </w:tc>
        <w:tc>
          <w:tcPr>
            <w:tcW w:w="2607" w:type="dxa"/>
            <w:tcBorders>
              <w:top w:val="single" w:sz="6" w:space="0" w:color="333639"/>
              <w:left w:val="single" w:sz="6" w:space="0" w:color="333639"/>
              <w:bottom w:val="single" w:sz="6" w:space="0" w:color="333639"/>
              <w:right w:val="single" w:sz="6" w:space="0" w:color="333639"/>
            </w:tcBorders>
            <w:vAlign w:val="center"/>
          </w:tcPr>
          <w:p>
            <w:pPr>
              <w:pStyle w:val="TableContents"/>
              <w:bidi w:val="0"/>
              <w:jc w:val="left"/>
              <w:rPr>
                <w:sz w:val="22"/>
                <w:szCs w:val="22"/>
              </w:rPr>
            </w:pPr>
            <w:r>
              <w:rPr>
                <w:sz w:val="22"/>
                <w:szCs w:val="22"/>
              </w:rPr>
              <w:t>≥</w:t>
            </w:r>
            <w:r>
              <w:rPr>
                <w:sz w:val="22"/>
                <w:szCs w:val="22"/>
              </w:rPr>
              <w:t>1 INED; ≤2 family members; separate Chairman/CEO (Sect. 5).</w:t>
            </w:r>
          </w:p>
        </w:tc>
        <w:tc>
          <w:tcPr>
            <w:tcW w:w="1728" w:type="dxa"/>
            <w:tcBorders>
              <w:top w:val="single" w:sz="6" w:space="0" w:color="333639"/>
              <w:left w:val="single" w:sz="6" w:space="0" w:color="333639"/>
              <w:bottom w:val="single" w:sz="6" w:space="0" w:color="333639"/>
              <w:right w:val="single" w:sz="6" w:space="0" w:color="333639"/>
            </w:tcBorders>
            <w:vAlign w:val="center"/>
          </w:tcPr>
          <w:p>
            <w:pPr>
              <w:pStyle w:val="TableContents"/>
              <w:bidi w:val="0"/>
              <w:jc w:val="left"/>
              <w:rPr>
                <w:sz w:val="22"/>
                <w:szCs w:val="22"/>
              </w:rPr>
            </w:pPr>
            <w:r>
              <w:rPr>
                <w:sz w:val="22"/>
                <w:szCs w:val="22"/>
              </w:rPr>
              <w:t>Not specified; succession planning encouraged (Sect. 7).</w:t>
            </w:r>
          </w:p>
        </w:tc>
        <w:tc>
          <w:tcPr>
            <w:tcW w:w="2131" w:type="dxa"/>
            <w:tcBorders>
              <w:top w:val="single" w:sz="6" w:space="0" w:color="333639"/>
              <w:left w:val="single" w:sz="6" w:space="0" w:color="333639"/>
              <w:bottom w:val="single" w:sz="6" w:space="0" w:color="333639"/>
              <w:right w:val="single" w:sz="6" w:space="0" w:color="333639"/>
            </w:tcBorders>
            <w:vAlign w:val="center"/>
          </w:tcPr>
          <w:p>
            <w:pPr>
              <w:pStyle w:val="TableContents"/>
              <w:bidi w:val="0"/>
              <w:jc w:val="left"/>
              <w:rPr>
                <w:sz w:val="22"/>
                <w:szCs w:val="22"/>
              </w:rPr>
            </w:pPr>
            <w:r>
              <w:rPr>
                <w:sz w:val="22"/>
                <w:szCs w:val="22"/>
              </w:rPr>
              <w:t>Shareholder approval; Rem. committee (NEDs) (Sect. 14).</w:t>
            </w:r>
          </w:p>
        </w:tc>
        <w:tc>
          <w:tcPr>
            <w:tcW w:w="1974" w:type="dxa"/>
            <w:tcBorders>
              <w:top w:val="single" w:sz="6" w:space="0" w:color="333639"/>
              <w:left w:val="single" w:sz="6" w:space="0" w:color="333639"/>
              <w:bottom w:val="single" w:sz="6" w:space="0" w:color="333639"/>
              <w:right w:val="single" w:sz="6" w:space="0" w:color="333639"/>
            </w:tcBorders>
            <w:vAlign w:val="center"/>
          </w:tcPr>
          <w:p>
            <w:pPr>
              <w:pStyle w:val="TableContents"/>
              <w:bidi w:val="0"/>
              <w:jc w:val="left"/>
              <w:rPr>
                <w:sz w:val="22"/>
                <w:szCs w:val="22"/>
              </w:rPr>
            </w:pPr>
            <w:r>
              <w:rPr>
                <w:sz w:val="22"/>
                <w:szCs w:val="22"/>
              </w:rPr>
              <w:t>Audit (per CAMA), Nom., Rem.; NED-chaired (Sect. 9).</w:t>
            </w:r>
          </w:p>
        </w:tc>
        <w:tc>
          <w:tcPr>
            <w:tcW w:w="2149" w:type="dxa"/>
            <w:tcBorders>
              <w:top w:val="single" w:sz="6" w:space="0" w:color="333639"/>
              <w:left w:val="single" w:sz="6" w:space="0" w:color="333639"/>
              <w:bottom w:val="single" w:sz="6" w:space="0" w:color="333639"/>
              <w:right w:val="single" w:sz="6" w:space="0" w:color="333639"/>
            </w:tcBorders>
            <w:vAlign w:val="center"/>
          </w:tcPr>
          <w:p>
            <w:pPr>
              <w:pStyle w:val="TableContents"/>
              <w:bidi w:val="0"/>
              <w:jc w:val="left"/>
              <w:rPr>
                <w:sz w:val="22"/>
                <w:szCs w:val="22"/>
              </w:rPr>
            </w:pPr>
            <w:r>
              <w:rPr>
                <w:sz w:val="22"/>
                <w:szCs w:val="22"/>
              </w:rPr>
              <w:t>Fines, delisting; SEC monitors; overlaps with CBN.</w:t>
            </w:r>
          </w:p>
        </w:tc>
      </w:tr>
    </w:tbl>
    <w:p>
      <w:pPr>
        <w:pStyle w:val="Caption"/>
        <w:bidi w:val="0"/>
        <w:jc w:val="left"/>
        <w:rPr>
          <w:rFonts w:ascii="Arial" w:hAnsi="Arial" w:cs="Arial"/>
        </w:rPr>
      </w:pPr>
      <w:bookmarkStart w:id="0" w:name="_Toc203668383"/>
      <w:r/>
      <w:r>
        <w:rPr/>
        <w:t>Table</w:t>
      </w:r>
      <w:r>
        <w:rPr>
          <w:shd w:fill="auto" w:val="clear"/>
        </w:rPr>
        <w:t xml:space="preserve"> </w:t>
      </w:r>
      <w:r>
        <w:rPr>
          <w:shd w:fill="auto" w:val="clear"/>
        </w:rPr>
        <w:t>1.1</w:t>
      </w:r>
      <w:r>
        <w:rPr/>
        <w:t>: Corporate Governance Codes for Money Deposit Banks in Nigeria (2025)</w:t>
      </w:r>
      <w:bookmarkEnd w:id="0"/>
    </w:p>
    <w:p>
      <w:pPr>
        <w:pStyle w:val="Normal"/>
        <w:bidi w:val="0"/>
        <w:jc w:val="left"/>
        <w:rPr>
          <w:rFonts w:ascii="Arial" w:hAnsi="Arial" w:cs="Arial"/>
        </w:rPr>
      </w:pPr>
      <w:r>
        <w:rPr>
          <w:rFonts w:cs="Arial" w:ascii="Arial" w:hAnsi="Arial"/>
        </w:rPr>
      </w:r>
    </w:p>
    <w:p>
      <w:pPr>
        <w:sectPr>
          <w:footerReference w:type="even" r:id="rId3"/>
          <w:footerReference w:type="default" r:id="rId4"/>
          <w:footerReference w:type="first" r:id="rId5"/>
          <w:type w:val="nextPage"/>
          <w:pgSz w:orient="landscape" w:w="15840" w:h="12240"/>
          <w:pgMar w:left="1134" w:right="1134" w:gutter="0" w:header="0" w:top="1134" w:footer="0" w:bottom="1134"/>
          <w:pgNumType w:fmt="decimal"/>
          <w:formProt w:val="false"/>
          <w:textDirection w:val="lrTb"/>
          <w:docGrid w:type="default" w:linePitch="326" w:charSpace="0"/>
        </w:sectPr>
        <w:pStyle w:val="Normal"/>
        <w:bidi w:val="0"/>
        <w:jc w:val="left"/>
        <w:rPr>
          <w:rFonts w:ascii="Arial" w:hAnsi="Arial" w:cs="Arial"/>
        </w:rPr>
      </w:pPr>
      <w:r>
        <w:rPr>
          <w:rFonts w:cs="Arial" w:ascii="Arial" w:hAnsi="Arial"/>
        </w:rPr>
        <w:t>Note: This table summarizes governance mechanisms across four codes (CAMA 2020, NCCG 2018, CBN CG Guidelines 2023, SEC Code 2011), highlighting conflicts in CEO tenure and enforcement approaches. Adapted from Central Bank of Nigeria (2023), Financial Reporting Council of Nigeria (2018), Companies and Allied Matters Act (2020), and Securities and Exchange Commission (2011)</w:t>
      </w:r>
    </w:p>
    <w:p>
      <w:pPr>
        <w:pStyle w:val="Normal"/>
        <w:bidi w:val="0"/>
        <w:jc w:val="left"/>
        <w:rPr/>
      </w:pPr>
      <w:r>
        <w:rPr/>
        <w:t>The relationship between board structure and organizational performance in the Nigerian deposit money banking industry further complicates reform efforts. Globally, empirical studies have yielded mixed findings on whether board size and complexity correlate with organizational performance. While some studies indicate no significant relationship (Romano et al., 2012; Al Hawary, 2011), others suggest varying outcomes based on institutional and cultural contexts (Adams &amp; Mehran, 2003; Trabelsi, 2010). In Nigeria, governance obstacles such as concentrated ownership and unqualified board members further undermine the potential for effective oversight, even when formal governance frameworks are in place.</w:t>
      </w:r>
    </w:p>
    <w:p>
      <w:pPr>
        <w:pStyle w:val="Normal"/>
        <w:bidi w:val="0"/>
        <w:jc w:val="left"/>
        <w:rPr/>
      </w:pPr>
      <w:r>
        <w:rPr/>
      </w:r>
    </w:p>
    <w:p>
      <w:pPr>
        <w:pStyle w:val="Normal"/>
        <w:bidi w:val="0"/>
        <w:jc w:val="left"/>
        <w:rPr/>
      </w:pPr>
      <w:r>
        <w:rPr/>
        <w:t>Enforcement gaps across regulatory institutions amplify these challenges. Reports such as the ROSC (2004) indicate that the CBN lacks sufficient capacity to ensure compliance with financial reporting standards, while the SEC struggles with effective oversight within the capital markets. These structural deficiencies have allowed instances of governance failure, such as mismanagement and financial impropriety, to persist in the banking sector, eroding trust and stability (Nwoke, 2023).</w:t>
      </w:r>
    </w:p>
    <w:p>
      <w:pPr>
        <w:pStyle w:val="Normal"/>
        <w:bidi w:val="0"/>
        <w:jc w:val="left"/>
        <w:rPr/>
      </w:pPr>
      <w:r>
        <w:rPr/>
      </w:r>
    </w:p>
    <w:p>
      <w:pPr>
        <w:pStyle w:val="Normal"/>
        <w:bidi w:val="0"/>
        <w:jc w:val="left"/>
        <w:rPr/>
      </w:pPr>
      <w:r>
        <w:rPr/>
        <w:t>To address these critical issues, it is imperative to unify and harmonize Nigeria’s regulatory frameworks while bolstering enforcement capabilities. Streamlining governance codes would reduce ambiguities and foster coherence in regulatory oversight (Osemeke &amp; Adegbite, 2016). Furthermore, research into the connection between board composition and performance in Nigerian deposit money banks could offer evidence-based insights into effective governance practices. Strengthening institutional capacity and aligning governance practices with the local context are essential to improving transparency, accountability, and overall governance outcomes in the financial sector. Corporate governance challenges in Nigeria’s deposit money banking industry are deeply rooted in the historical legacy of colonial legal systems, compounded by regulatory overlaps and institutional inefficiencies. While reforms have been introduced to improve governance structures, the persistence of conflicting regulations and weak enforcement undermines their effectiveness. A consistent and localized approach to governance, coupled with stronger regulatory enforcement, is vital to ensuring the long-term sustainability and resilience of Nigerian deposit money banks. This research particularly examines how governance mechanisms, such as audit committee independence and management qualifications, interact with regulatory clarity to influence non-performing loan (NPL) ratios, providing insights into mitigating default risk in the context of Nigeria’s fragmented regulatory environment, thereby advancing RQ2 and RQ4.</w:t>
      </w:r>
    </w:p>
    <w:p>
      <w:pPr>
        <w:pStyle w:val="Normal"/>
        <w:bidi w:val="0"/>
        <w:jc w:val="left"/>
        <w:rPr/>
      </w:pPr>
      <w:r>
        <w:rPr/>
      </w:r>
    </w:p>
    <w:p>
      <w:pPr>
        <w:pStyle w:val="Normal"/>
        <w:bidi w:val="0"/>
        <w:jc w:val="left"/>
        <w:rPr/>
      </w:pPr>
      <w:r>
        <w:rPr/>
        <w:t>This backdrop necessitates a methodical investigation into the interdependencies between corporate governance mechanisms and NPL dynamics, as articulated in the research questions that guide this thesis. By examining these elements through a mixed-methods lens—encompassing panel fixed-effects on 160 bank-years and bootstrapped mediation on 234 stakeholder perceptions—the study aims to yield practicable insights for enhancing governance efficacy in Nigeria’s DMB sector.</w:t>
      </w:r>
    </w:p>
    <w:p>
      <w:pPr>
        <w:pStyle w:val="Normal"/>
        <w:bidi w:val="0"/>
        <w:jc w:val="left"/>
        <w:rPr/>
      </w:pPr>
      <w:r>
        <w:rPr/>
      </w:r>
    </w:p>
    <w:p>
      <w:pPr>
        <w:pStyle w:val="Normal"/>
        <w:bidi w:val="0"/>
        <w:jc w:val="left"/>
        <w:rPr/>
      </w:pPr>
      <w:r>
        <w:rPr/>
        <w:t>1.2 Problem Statement</w:t>
      </w:r>
    </w:p>
    <w:p>
      <w:pPr>
        <w:pStyle w:val="Normal"/>
        <w:bidi w:val="0"/>
        <w:jc w:val="left"/>
        <w:rPr/>
      </w:pPr>
      <w:r>
        <w:rPr/>
      </w:r>
    </w:p>
    <w:p>
      <w:pPr>
        <w:pStyle w:val="Normal"/>
        <w:bidi w:val="0"/>
        <w:jc w:val="left"/>
        <w:rPr/>
      </w:pPr>
      <w:r>
        <w:rPr/>
        <w:t>Despite successive regulatory interventions in Nigeria’s deposit money banking (DMB) sector, including the Central Bank of Nigeria’s (CBN) 2014 Code of Corporate Governance, the Nigerian Code of Corporate Governance (NCCG) 2018, the Companies and Allied Matters Act (CAMA) 2020, and the CBN’s 2023 Guidelines on Board Composition and Tenure, non-performing loan (NPL) ratios persist at elevated levels, underscoring a critical empirical gap. Historical data reveal recurrent crises.</w:t>
      </w:r>
    </w:p>
    <w:p>
      <w:pPr>
        <w:pStyle w:val="Normal"/>
        <w:bidi w:val="0"/>
        <w:jc w:val="left"/>
        <w:rPr/>
      </w:pPr>
      <w:r>
        <w:rPr/>
      </w:r>
    </w:p>
    <w:p>
      <w:pPr>
        <w:pStyle w:val="Normal"/>
        <w:bidi w:val="0"/>
        <w:jc w:val="left"/>
        <w:rPr/>
      </w:pPr>
      <w:r>
        <w:rPr/>
        <w:t>On the practical front, while governance frameworks mandate robust board structures and disclosure protocols, enforcement remains fragmented and ineffective, particularly in ensuring audit committee independence and operational adherence. Audit committees, intended to safeguard financial reporting integrity, often lack genuine autonomy due to insider dominance and familial entanglements, which perpetuate opacity and enable asset misclassification (Adegbite, 2014; Abdulmalik &amp; Ahmad, 2020). Consequently, practices such as whistleblowing and risk oversight falter, allowing non-performing assets to accumulate unchecked amid weak internal controls. This gap is exacerbated in an environment where compliance indices, though formally adopted, are undermined by cultural norms favoring relational networks over meritocratic accountability, thereby hindering the translation of policy intent into tangible risk mitigation (Kafidipe, 2021).</w:t>
      </w:r>
    </w:p>
    <w:p>
      <w:pPr>
        <w:pStyle w:val="Normal"/>
        <w:bidi w:val="0"/>
        <w:jc w:val="left"/>
        <w:rPr/>
      </w:pPr>
      <w:r>
        <w:rPr/>
      </w:r>
    </w:p>
    <w:p>
      <w:pPr>
        <w:pStyle w:val="Normal"/>
        <w:bidi w:val="0"/>
        <w:jc w:val="left"/>
        <w:rPr/>
      </w:pPr>
      <w:r>
        <w:rPr/>
        <w:t>Theoretically, extant literature predominantly isolates singular governance elements—such as board composition or ownership structures—without synthesizing the interplay among disclosure, practice, and compliance indices, thus overlooking their collective modulation of NPL dynamics. Agency theory posits that misaligned incentives precipitate moral hazards, yet few studies integrate stewardship theory’s emphasis on intrinsic motivations or institutional theory’s focus on regulatory embeddedness to explain governance failures in emerging markets (Jensen &amp; Meckling, 1976; Davis et al., 1997; Scott, 2014). Signalling theory further suggests that enhanced disclosures could convey credibility to stakeholders, but empirical validations in Nigeria remain sparse, particularly post-2014, where reforms aligned with Basel III and OECD principles have theoretically bolstered transparency without commensurate theoretical reconciliation (OECD, 2023; BCBS, 2010). This fragmentation limits a holistic understanding of how governance apparatuses attenuate default risks in oil-dependent economies.</w:t>
      </w:r>
    </w:p>
    <w:p>
      <w:pPr>
        <w:pStyle w:val="Normal"/>
        <w:bidi w:val="0"/>
        <w:jc w:val="left"/>
        <w:rPr/>
      </w:pPr>
      <w:r>
        <w:rPr/>
      </w:r>
    </w:p>
    <w:p>
      <w:pPr>
        <w:pStyle w:val="Normal"/>
        <w:bidi w:val="0"/>
        <w:jc w:val="left"/>
        <w:rPr/>
      </w:pPr>
      <w:r>
        <w:rPr/>
        <w:t>Methodologically, while quantitative analyses dominate, they often rely on cross-sectional designs or simple regressions, neglecting mixed-methods approaches that combine longitudinal panel data with perceptual surveys and bootstrapped mediation models to unpack causal pathways. For instance, prior research employs ordinary least squares without fixed effects to control for unobserved heterogeneities, thereby inflating spurious correlations amid Nigeria’s volatile macroeconomic context (Osita et al., 2019; Natufe &amp; Evbayiro-Osagie, 2023). The scarcity of studies incorporating Hayes’ Process Model 4 for mediation or difference-in-differences frameworks to assess reform impacts further constrains inferences on governance’s temporal evolution, especially in integrating stakeholder perceptions from 234 respondents across 10 DMBs with 160 bank-year observations (Hayes, 2018; Baltagi, 2021).</w:t>
      </w:r>
    </w:p>
    <w:p>
      <w:pPr>
        <w:pStyle w:val="Normal"/>
        <w:bidi w:val="0"/>
        <w:jc w:val="left"/>
        <w:rPr/>
      </w:pPr>
      <w:r>
        <w:rPr/>
      </w:r>
    </w:p>
    <w:p>
      <w:pPr>
        <w:pStyle w:val="Normal"/>
        <w:bidi w:val="0"/>
        <w:jc w:val="left"/>
        <w:rPr/>
      </w:pPr>
      <w:r>
        <w:rPr/>
        <w:t>Regulatory multiplicity compounds these issues, as overlapping mandates from the CBN, Nigeria Deposit Insurance Corporation (NDIC), Securities and Exchange Commission (SEC), and Financial Reporting Council of Nigeria (FRCN) engender compliance ambiguities and enforcement inconsistencies. This fragmentation, rooted in institutional silos, dilutes accountability and enforcement, fostering arbitrage opportunities, where banks navigate divergent guidelines—such as CBN’s executive vetting versus SEC’s disclosure requirements—leading to suboptimal governance outcomes (Adegboye, 2020; Udo, 2020). Comparative insights from Ghana and South Africa highlight that harmonized regimes enhance clarity, yet Nigeria’s post-2020 efforts remain nascent, perpetuating inefficiencies amid economic shocks.</w:t>
      </w:r>
    </w:p>
    <w:p>
      <w:pPr>
        <w:pStyle w:val="Normal"/>
        <w:bidi w:val="0"/>
        <w:jc w:val="left"/>
        <w:rPr/>
      </w:pPr>
      <w:r>
        <w:rPr/>
      </w:r>
    </w:p>
    <w:p>
      <w:pPr>
        <w:pStyle w:val="Normal"/>
        <w:bidi w:val="0"/>
        <w:jc w:val="left"/>
        <w:rPr/>
      </w:pPr>
      <w:r>
        <w:rPr/>
        <w:t>Collectively, these gaps culminate in persistent credit fragility, eroding stakeholder confidence, constraining lending activities, and impeding broader economic growth in a sector pivotal to Nigeria’s GDP. These gaps collectively necessitate an integrated inquiry into how governance mechanisms and regulatory coherence shape NPL ratios in Nigerian DMBs.</w:t>
      </w:r>
    </w:p>
    <w:p>
      <w:pPr>
        <w:pStyle w:val="Normal"/>
        <w:bidi w:val="0"/>
        <w:jc w:val="left"/>
        <w:rPr/>
      </w:pPr>
      <w:r>
        <w:rPr/>
      </w:r>
    </w:p>
    <w:p>
      <w:pPr>
        <w:pStyle w:val="Normal"/>
        <w:bidi w:val="0"/>
        <w:jc w:val="left"/>
        <w:rPr/>
      </w:pPr>
      <w:r>
        <w:rPr/>
        <w:t>These objectives collectively operationalize the thesis’s mixed-methods architecture, integrating longitudinal quantitative analysis with cross-sectional perceptual insights to yield robust, practicable recommendations for governance unification and reform efficacy in Nigeria’s banking sector.</w:t>
      </w:r>
    </w:p>
    <w:p>
      <w:pPr>
        <w:pStyle w:val="Normal"/>
        <w:bidi w:val="0"/>
        <w:jc w:val="left"/>
        <w:rPr/>
      </w:pPr>
      <w:r>
        <w:rPr/>
      </w:r>
    </w:p>
    <w:p>
      <w:pPr>
        <w:pStyle w:val="Normal"/>
        <w:bidi w:val="0"/>
        <w:jc w:val="left"/>
        <w:rPr/>
      </w:pPr>
      <w:r>
        <w:rPr/>
        <w:t>1.3 Research Aim and Objectives</w:t>
      </w:r>
    </w:p>
    <w:p>
      <w:pPr>
        <w:pStyle w:val="Normal"/>
        <w:bidi w:val="0"/>
        <w:jc w:val="left"/>
        <w:rPr/>
      </w:pPr>
      <w:r>
        <w:rPr/>
      </w:r>
    </w:p>
    <w:p>
      <w:pPr>
        <w:pStyle w:val="Normal"/>
        <w:bidi w:val="0"/>
        <w:jc w:val="left"/>
        <w:rPr/>
      </w:pPr>
      <w:r>
        <w:rPr/>
        <w:t>1.3.1 Aim</w:t>
      </w:r>
    </w:p>
    <w:p>
      <w:pPr>
        <w:pStyle w:val="Normal"/>
        <w:bidi w:val="0"/>
        <w:jc w:val="left"/>
        <w:rPr/>
      </w:pPr>
      <w:r>
        <w:rPr/>
      </w:r>
    </w:p>
    <w:p>
      <w:pPr>
        <w:pStyle w:val="Normal"/>
        <w:bidi w:val="0"/>
        <w:jc w:val="left"/>
        <w:rPr/>
      </w:pPr>
      <w:r>
        <w:rPr/>
        <w:t>The overarching aim of this thesis is to examine how corporate governance indices and regulatory clarity affect non-performing loan ratios in Nigerian deposit money banks between 2009 and 2025, thereby disentangling the interdependencies between governance mechanisms, institutional reforms, and default risk amid persistent sectoral vulnerabilities.</w:t>
      </w:r>
    </w:p>
    <w:p>
      <w:pPr>
        <w:pStyle w:val="Normal"/>
        <w:bidi w:val="0"/>
        <w:jc w:val="left"/>
        <w:rPr/>
      </w:pPr>
      <w:r>
        <w:rPr/>
      </w:r>
    </w:p>
    <w:p>
      <w:pPr>
        <w:pStyle w:val="Normal"/>
        <w:bidi w:val="0"/>
        <w:jc w:val="left"/>
        <w:rPr/>
      </w:pPr>
      <w:r>
        <w:rPr/>
        <w:t>1.3.2 Objectives</w:t>
      </w:r>
    </w:p>
    <w:p>
      <w:pPr>
        <w:pStyle w:val="Normal"/>
        <w:bidi w:val="0"/>
        <w:jc w:val="left"/>
        <w:rPr/>
      </w:pPr>
      <w:r>
        <w:rPr/>
      </w:r>
    </w:p>
    <w:p>
      <w:pPr>
        <w:pStyle w:val="Normal"/>
        <w:bidi w:val="0"/>
        <w:jc w:val="left"/>
        <w:rPr/>
      </w:pPr>
      <w:r>
        <w:rPr/>
        <w:t>1. To examine the extent to which corporate governance indices—encompassing disclosure via the Corporate Governance Disclosure Index, practice through the Practice Index, and compliance with the Compliance Index—modulate non-performing loan ratios in Nigerian deposit money banks from 2009 to 2024, while controlling for bank size, capital adequacy, and macroeconomic factors such as GDP growth, inflation, and oil prices.</w:t>
      </w:r>
    </w:p>
    <w:p>
      <w:pPr>
        <w:pStyle w:val="Normal"/>
        <w:bidi w:val="0"/>
        <w:jc w:val="left"/>
        <w:rPr/>
      </w:pPr>
      <w:r>
        <w:rPr/>
      </w:r>
    </w:p>
    <w:p>
      <w:pPr>
        <w:pStyle w:val="Normal"/>
        <w:bidi w:val="0"/>
        <w:jc w:val="left"/>
        <w:rPr/>
      </w:pPr>
      <w:r>
        <w:rPr/>
        <w:t>2. To evaluate the degree to which audit committee independence reduces 2024 non-performing loan ratios in Nigerian deposit money banks, and to assess whether this relationship is partially mediated by enhanced financial reporting integrity as perceived by bank insiders.</w:t>
      </w:r>
    </w:p>
    <w:p>
      <w:pPr>
        <w:pStyle w:val="Normal"/>
        <w:bidi w:val="0"/>
        <w:jc w:val="left"/>
        <w:rPr/>
      </w:pPr>
      <w:r>
        <w:rPr/>
      </w:r>
    </w:p>
    <w:p>
      <w:pPr>
        <w:pStyle w:val="Normal"/>
        <w:bidi w:val="0"/>
        <w:jc w:val="left"/>
        <w:rPr/>
      </w:pPr>
      <w:r>
        <w:rPr/>
        <w:t>3. To determine whether the linkage between corporate governance disclosure and non-performing loan ratios shifts from statistically insignificant in the pre-reform period (2009–2014) to significantly negative in the post-reform period (2016–2024), attributable to Central Bank of Nigeria mandates that enhance disclosure credibility through board tenure limits, at least 50% independent directors, and executive vetting.</w:t>
      </w:r>
    </w:p>
    <w:p>
      <w:pPr>
        <w:pStyle w:val="Normal"/>
        <w:bidi w:val="0"/>
        <w:jc w:val="left"/>
        <w:rPr/>
      </w:pPr>
      <w:r>
        <w:rPr/>
      </w:r>
    </w:p>
    <w:p>
      <w:pPr>
        <w:pStyle w:val="Normal"/>
        <w:bidi w:val="0"/>
        <w:jc w:val="left"/>
        <w:rPr/>
      </w:pPr>
      <w:r>
        <w:rPr/>
        <w:t>4. To assess the extent to which perceived regulatory clarity improvements from Central Bank of Nigeria and Securities and Exchange Commission harmonization (2020–2025) cause declines in non-performing loan ratios (β &lt; 0, p &lt; .05), while controlling for economic shocks such as devaluation and inflation.</w:t>
      </w:r>
    </w:p>
    <w:p>
      <w:pPr>
        <w:pStyle w:val="Normal"/>
        <w:bidi w:val="0"/>
        <w:jc w:val="left"/>
        <w:rPr/>
      </w:pPr>
      <w:r>
        <w:rPr/>
      </w:r>
    </w:p>
    <w:p>
      <w:pPr>
        <w:pStyle w:val="Normal"/>
        <w:bidi w:val="0"/>
        <w:jc w:val="left"/>
        <w:rPr/>
      </w:pPr>
      <w:r>
        <w:rPr/>
        <w:t>1.4 Research Questions</w:t>
      </w:r>
    </w:p>
    <w:p>
      <w:pPr>
        <w:pStyle w:val="Normal"/>
        <w:bidi w:val="0"/>
        <w:jc w:val="left"/>
        <w:rPr/>
      </w:pPr>
      <w:r>
        <w:rPr/>
      </w:r>
    </w:p>
    <w:p>
      <w:pPr>
        <w:pStyle w:val="Normal"/>
        <w:bidi w:val="0"/>
        <w:jc w:val="left"/>
        <w:rPr/>
      </w:pPr>
      <w:r>
        <w:rPr/>
        <w:t xml:space="preserve">1.3 Research Questions  </w:t>
      </w:r>
    </w:p>
    <w:p>
      <w:pPr>
        <w:pStyle w:val="Normal"/>
        <w:bidi w:val="0"/>
        <w:jc w:val="left"/>
        <w:rPr/>
      </w:pPr>
      <w:r>
        <w:rPr/>
        <w:t>This thesis articulates four research questions to methodically disentangle the interdependencies between corporate governance apparatuses and default risk in Nigeria's deposit money banking (DMB) sector, operationalized via non-performing loan (NPL) ratios. These inquiries emanate from enduring governance erosions that have instigated recurrent crises, while incorporating methodological innovations such as bootstrapped mediation on 234 stakeholder perceptions across 10 DMBs and panel fixed-effects across 160 bank-years. Each question corresponds to hypotheses and objectives, utilizing a mixed-methods architecture—longitudinal quantitative for questions one and three, cross-sectional blended for two and four—to yield practicable insights amid regulatory fragmentation and reform evolutions.</w:t>
      </w:r>
    </w:p>
    <w:p>
      <w:pPr>
        <w:pStyle w:val="Normal"/>
        <w:bidi w:val="0"/>
        <w:jc w:val="left"/>
        <w:rPr/>
      </w:pPr>
      <w:r>
        <w:rPr/>
      </w:r>
    </w:p>
    <w:p>
      <w:pPr>
        <w:pStyle w:val="Normal"/>
        <w:bidi w:val="0"/>
        <w:jc w:val="left"/>
        <w:rPr/>
      </w:pPr>
      <w:r>
        <w:rPr/>
        <w:t xml:space="preserve">RQ1: To what extent do corporate governance indices—encompassing disclosure via the Corporate Governance Disclosure Index, practice through the Practice Index, and compliance with the Compliance Index—modulate NPL ratios in Nigerian DMBs from 2009 to 2024, controlling for bank size, capital adequacy, and macroeconomic factors like GDP growth, inflation, and oil prices?  </w:t>
      </w:r>
    </w:p>
    <w:p>
      <w:pPr>
        <w:pStyle w:val="Normal"/>
        <w:bidi w:val="0"/>
        <w:jc w:val="left"/>
        <w:rPr/>
      </w:pPr>
      <w:r>
        <w:rPr/>
        <w:t xml:space="preserve">RQ2: To what degree does audit committee independence reduce 2024 NPL ratios in Nigerian DMBs, and is this relationship partially mediated by enhanced financial reporting integrity as perceived by bank insiders?  </w:t>
      </w:r>
    </w:p>
    <w:p>
      <w:pPr>
        <w:pStyle w:val="Normal"/>
        <w:bidi w:val="0"/>
        <w:jc w:val="left"/>
        <w:rPr/>
      </w:pPr>
      <w:r>
        <w:rPr/>
        <w:t xml:space="preserve">RQ3: Does the linkage between corporate governance disclosure and NPL ratios shift from statistically insignificant pre-reform (2009–2014) to significantly negative post-reform (2016–2024), attributable to CBN mandates that enhance disclosure credibility through board tenure limits, ≥50% independent directors, and executive vetting?  </w:t>
      </w:r>
    </w:p>
    <w:p>
      <w:pPr>
        <w:pStyle w:val="Normal"/>
        <w:bidi w:val="0"/>
        <w:jc w:val="left"/>
        <w:rPr/>
      </w:pPr>
      <w:r>
        <w:rPr/>
        <w:t>RQ4: To what extent do perceived regulatory clarity improvements from CBN and SEC harmonization (2020–2025) cause NPL ratio declines (β &lt; 0, p &lt; .05), controlling for economic shocks such as devaluation and inflation?</w:t>
      </w:r>
    </w:p>
    <w:p>
      <w:pPr>
        <w:pStyle w:val="Normal"/>
        <w:bidi w:val="0"/>
        <w:jc w:val="left"/>
        <w:rPr/>
      </w:pPr>
      <w:r>
        <w:rPr/>
      </w:r>
    </w:p>
    <w:p>
      <w:pPr>
        <w:pStyle w:val="Normal"/>
        <w:bidi w:val="0"/>
        <w:jc w:val="left"/>
        <w:rPr/>
      </w:pPr>
      <w:r>
        <w:rPr/>
        <w:t>1.5 Hypothesis Development</w:t>
      </w:r>
    </w:p>
    <w:p>
      <w:pPr>
        <w:pStyle w:val="Normal"/>
        <w:bidi w:val="0"/>
        <w:jc w:val="left"/>
        <w:rPr/>
      </w:pPr>
      <w:r>
        <w:rPr/>
      </w:r>
    </w:p>
    <w:p>
      <w:pPr>
        <w:pStyle w:val="Normal"/>
        <w:bidi w:val="0"/>
        <w:jc w:val="left"/>
        <w:rPr/>
      </w:pPr>
      <w:r>
        <w:rPr/>
        <w:t>This section formulates testable hypotheses grounded in the theoretical synthesis of agency, stewardship, institutional, and signalling theories, as delineated in Section 1.5. These propositions emanate from the empirical voids and contextual imperatives in Nigeria's deposit money banking (DMB) sector, where governance erosions—manifested through opaque disclosures, weak operational practices, and compliance lapses—have perpetuated elevated non-performing loan (NPL) ratios amid regulatory fragmentation. By mapping each hypothesis to the corresponding research question, this framework operationalizes the interdependencies between governance mechanisms and default risk, controlling for confounding factors such as bank size, capital adequacy, and macroeconomic volatilities. The hypotheses are posited to guide the mixed-methods inquiry, with longitudinal panel regressions testing directional associations for RQ1 and RQ3, and bootstrapped mediation models elucidating pathways for RQ2 and RQ4. This approach not only corroborates theoretical tenets but extends them to emerging market contexts, where institutional pressures intersect with agency conflicts to shape risk outcomes.</w:t>
      </w:r>
    </w:p>
    <w:p>
      <w:pPr>
        <w:pStyle w:val="Normal"/>
        <w:bidi w:val="0"/>
        <w:jc w:val="left"/>
        <w:rPr/>
      </w:pPr>
      <w:r>
        <w:rPr/>
      </w:r>
    </w:p>
    <w:p>
      <w:pPr>
        <w:pStyle w:val="Normal"/>
        <w:bidi w:val="0"/>
        <w:jc w:val="left"/>
        <w:rPr/>
      </w:pPr>
      <w:r>
        <w:rPr/>
        <w:t>1.5.1 Hypothesis for RQ1</w:t>
      </w:r>
    </w:p>
    <w:p>
      <w:pPr>
        <w:pStyle w:val="Normal"/>
        <w:bidi w:val="0"/>
        <w:jc w:val="left"/>
        <w:rPr/>
      </w:pPr>
      <w:r>
        <w:rPr/>
      </w:r>
    </w:p>
    <w:p>
      <w:pPr>
        <w:pStyle w:val="Normal"/>
        <w:bidi w:val="0"/>
        <w:jc w:val="left"/>
        <w:rPr/>
      </w:pPr>
      <w:r>
        <w:rPr/>
        <w:t>Agency theory underscores that governance mechanisms attenuate moral hazards by aligning managerial incentives with stakeholder interests, thereby curbing opportunistic behaviors that inflate NPL ratios through insider lending and risk misallocation (Jensen &amp; Meckling, 1976). Complementarily, institutional theory posits that regulatory isomorphism—driven by coercive mandates like the CBN Code of 2014 and NCCG 2018—propels disclosure, practice, and compliance enhancements, fostering legitimacy and operational resilience in fragile environments (DiMaggio &amp; Powell, 1983; Scott, 2014). Empirical evidence from post-2009 Nigerian studies corroborates this, revealing negative associations between fortified governance indices and default risks, albeit moderated by macroeconomic confounders such as oil price fluctuations and GDP contractions (Abdulmalik &amp; Ahmad, 2020; Olojede et al., 2020). In contrast, stewardship theory suggests that intrinsic motivations amplify these effects when practices emphasize ethical oversight, yet agency frictions dominate in opaque markets like Nigeria's, where compliance trails disclosure advancements (Donaldson &amp; Davis, 1991). Synthesizing these lenses, we anticipate that aggregate governance indices exert a mitigating influence on NPL ratios, with practice assuming primacy amid institutional voids.</w:t>
      </w:r>
    </w:p>
    <w:p>
      <w:pPr>
        <w:pStyle w:val="Normal"/>
        <w:bidi w:val="0"/>
        <w:jc w:val="left"/>
        <w:rPr/>
      </w:pPr>
      <w:r>
        <w:rPr/>
      </w:r>
    </w:p>
    <w:p>
      <w:pPr>
        <w:pStyle w:val="Normal"/>
        <w:bidi w:val="0"/>
        <w:jc w:val="left"/>
        <w:rPr/>
      </w:pPr>
      <w:r>
        <w:rPr/>
        <w:t>H1: Corporate governance indices—encompassing the Corporate Governance Disclosure Index (CGDI), Practice Index (OPEFF), and Compliance Index (COMID)—are negatively associated with NPL ratios in Nigerian DMBs from 2009 to 2024, controlling for bank size, capital adequacy, and macroeconomic factors such as GDP growth, inflation, and oil prices.</w:t>
      </w:r>
    </w:p>
    <w:p>
      <w:pPr>
        <w:pStyle w:val="Normal"/>
        <w:bidi w:val="0"/>
        <w:jc w:val="left"/>
        <w:rPr/>
      </w:pPr>
      <w:r>
        <w:rPr/>
      </w:r>
    </w:p>
    <w:p>
      <w:pPr>
        <w:pStyle w:val="Normal"/>
        <w:bidi w:val="0"/>
        <w:jc w:val="left"/>
        <w:rPr/>
      </w:pPr>
      <w:r>
        <w:rPr/>
        <w:t>1.5.2 Hypotheses for RQ2</w:t>
      </w:r>
    </w:p>
    <w:p>
      <w:pPr>
        <w:pStyle w:val="Normal"/>
        <w:bidi w:val="0"/>
        <w:jc w:val="left"/>
        <w:rPr/>
      </w:pPr>
      <w:r>
        <w:rPr/>
      </w:r>
    </w:p>
    <w:p>
      <w:pPr>
        <w:pStyle w:val="Normal"/>
        <w:bidi w:val="0"/>
        <w:jc w:val="left"/>
        <w:rPr/>
      </w:pPr>
      <w:r>
        <w:rPr/>
        <w:t>Agency theory illuminates how independent audit committees mitigate information asymmetries by enforcing vigilant monitoring, thereby attenuating NPL escalations through disciplined credit assessments and fraud detection (Jensen &amp; Meckling, 1976). Stewardship theory augments this by framing independence as a facilitator of intrinsic ethical commitments, where empowered committees cultivate reporting integrity that aligns managerial actions with organizational welfare (Davis et al., 1997). In Nigerian DMBs, post-reform mandates under the CBN Code of 2014 prescribe ≥50% independent directors on audit committees to bolster credibility, yet familial entanglements often undermine this, perpetuating opacity (Adegbite, 2014; Natufe &amp; Evbayiro-Osagie, 2023). Literature from emerging economies evidences partial mediation via financial reporting integrity, as perceptual enhancements in whistleblowing and controls bridge independence to risk abatement (Liu &amp; Anandarajan, 2019; Abdulmalik &amp; Ahmad, 2020). Thus, we hypothesize a direct negative effect, partially mediated by insiders' perceptions of reporting quality.</w:t>
      </w:r>
    </w:p>
    <w:p>
      <w:pPr>
        <w:pStyle w:val="Normal"/>
        <w:bidi w:val="0"/>
        <w:jc w:val="left"/>
        <w:rPr/>
      </w:pPr>
      <w:r>
        <w:rPr/>
      </w:r>
    </w:p>
    <w:p>
      <w:pPr>
        <w:pStyle w:val="Normal"/>
        <w:bidi w:val="0"/>
        <w:jc w:val="left"/>
        <w:rPr/>
      </w:pPr>
      <w:r>
        <w:rPr/>
        <w:t>H2a: Audit committee independence is negatively associated with 2024 NPL ratios in Nigerian DMBs.</w:t>
      </w:r>
    </w:p>
    <w:p>
      <w:pPr>
        <w:pStyle w:val="Normal"/>
        <w:bidi w:val="0"/>
        <w:jc w:val="left"/>
        <w:rPr/>
      </w:pPr>
      <w:r>
        <w:rPr/>
      </w:r>
    </w:p>
    <w:p>
      <w:pPr>
        <w:pStyle w:val="Normal"/>
        <w:bidi w:val="0"/>
        <w:jc w:val="left"/>
        <w:rPr/>
      </w:pPr>
      <w:r>
        <w:rPr/>
        <w:t>H2b: The negative relationship between audit committee independence and 2024 NPL ratios is partially mediated by enhanced financial reporting integrity as perceived by bank insiders.</w:t>
      </w:r>
    </w:p>
    <w:p>
      <w:pPr>
        <w:pStyle w:val="Normal"/>
        <w:bidi w:val="0"/>
        <w:jc w:val="left"/>
        <w:rPr/>
      </w:pPr>
      <w:r>
        <w:rPr/>
      </w:r>
    </w:p>
    <w:p>
      <w:pPr>
        <w:pStyle w:val="Normal"/>
        <w:bidi w:val="0"/>
        <w:jc w:val="left"/>
        <w:rPr/>
      </w:pPr>
      <w:r>
        <w:rPr/>
        <w:t>1.5.3 Hypothesis for RQ3</w:t>
      </w:r>
    </w:p>
    <w:p>
      <w:pPr>
        <w:pStyle w:val="Normal"/>
        <w:bidi w:val="0"/>
        <w:jc w:val="left"/>
        <w:rPr/>
      </w:pPr>
      <w:r>
        <w:rPr/>
      </w:r>
    </w:p>
    <w:p>
      <w:pPr>
        <w:pStyle w:val="Normal"/>
        <w:bidi w:val="0"/>
        <w:jc w:val="left"/>
        <w:rPr/>
      </w:pPr>
      <w:r>
        <w:rPr/>
        <w:t>Institutional theory's activation thesis contends that reforms engender normative isomorphism, transforming disclosure from nominal to instrumental in curbing asymmetries and signalling credibility (DiMaggio &amp; Powell, 1983; OECD, 2023). Signalling theory reinforces this by positing that enhanced disclosures—activated through CBN mandates for board tenure limits, ≥50% independent directors, and executive vetting—convey reduced agency risks, shifting insignificant pre-reform linkages to negative post-reform associations (Spence, 1973; Adegboye, 2020). In Nigeria, pre-2014 laxity yielded inert disclosure effects amid enforcement vacuums, while post-2016 evolutions aligned with Basel III convergence have amplified efficacy, contrasting slower progress in African peers like Ghana (Agyemang &amp; Castellini, 2015; BCBS, 2010). Agency theory contextualizes this pivot, as reforms attenuate moral hazards in institutionally frail settings (Jensen &amp; Meckling, 1976). We thus predict a regime-specific transformation.</w:t>
      </w:r>
    </w:p>
    <w:p>
      <w:pPr>
        <w:pStyle w:val="Normal"/>
        <w:bidi w:val="0"/>
        <w:jc w:val="left"/>
        <w:rPr/>
      </w:pPr>
      <w:r>
        <w:rPr/>
      </w:r>
    </w:p>
    <w:p>
      <w:pPr>
        <w:pStyle w:val="Normal"/>
        <w:bidi w:val="0"/>
        <w:jc w:val="left"/>
        <w:rPr/>
      </w:pPr>
      <w:r>
        <w:rPr/>
        <w:t>H3: The relationship between corporate governance disclosure (CGDI) and NPL ratios shifts from statistically insignificant in the pre-reform period (2009–2014) to significantly negative in the post-reform period (2016–2024), attributable to CBN mandates that enhance disclosure credibility.</w:t>
      </w:r>
    </w:p>
    <w:p>
      <w:pPr>
        <w:pStyle w:val="Normal"/>
        <w:bidi w:val="0"/>
        <w:jc w:val="left"/>
        <w:rPr/>
      </w:pPr>
      <w:r>
        <w:rPr/>
      </w:r>
    </w:p>
    <w:p>
      <w:pPr>
        <w:pStyle w:val="Normal"/>
        <w:bidi w:val="0"/>
        <w:jc w:val="left"/>
        <w:rPr/>
      </w:pPr>
      <w:r>
        <w:rPr/>
        <w:t>1.5.4 Hypothesis for RQ4</w:t>
      </w:r>
    </w:p>
    <w:p>
      <w:pPr>
        <w:pStyle w:val="Normal"/>
        <w:bidi w:val="0"/>
        <w:jc w:val="left"/>
        <w:rPr/>
      </w:pPr>
      <w:r>
        <w:rPr/>
      </w:r>
    </w:p>
    <w:p>
      <w:pPr>
        <w:pStyle w:val="Normal"/>
        <w:bidi w:val="0"/>
        <w:jc w:val="left"/>
        <w:rPr/>
      </w:pPr>
      <w:r>
        <w:rPr/>
        <w:t>Institutional theory elucidates how harmonization mitigates fragmentation, fostering coercive clarity that legitimizes compliance and attenuates NPLs through unified enforcement (DiMaggio &amp; Powell, 1983; Nwoke et al., 2023). Agency theory complements this by framing clarity improvements—from CBN-SEC alignments under CAMA 2020—as reducers of arbitrage opportunities, aligning interests amid economic shocks like devaluation and inflation (Jensen &amp; Meckling, 1976; Abdulmalik &amp; Ahmad, 2020). Perceptual studies in emerging markets affirm negative causal impacts, as stakeholder views of regulatory coherence enhance stewardship dynamics and risk mitigation (Olojede et al., 2020; Kafidipe, 2021). In Nigeria's post-2020 context, these evolutions counter historical silos, yielding practicable declines. We hypothesize a significant negative effect.</w:t>
      </w:r>
    </w:p>
    <w:p>
      <w:pPr>
        <w:pStyle w:val="Normal"/>
        <w:bidi w:val="0"/>
        <w:jc w:val="left"/>
        <w:rPr/>
      </w:pPr>
      <w:r>
        <w:rPr/>
      </w:r>
    </w:p>
    <w:p>
      <w:pPr>
        <w:pStyle w:val="Normal"/>
        <w:bidi w:val="0"/>
        <w:jc w:val="left"/>
        <w:rPr/>
      </w:pPr>
      <w:r>
        <w:rPr/>
        <w:t>H4: Perceived regulatory clarity improvements from CBN and SEC harmonization (2020–2025) are negatively associated with NPL ratio declines (β &lt; 0, p &lt; .05) in Nigerian DMBs, controlling for economic shocks such as devaluation and inflation.</w:t>
      </w:r>
    </w:p>
    <w:p>
      <w:pPr>
        <w:pStyle w:val="Normal"/>
        <w:bidi w:val="0"/>
        <w:jc w:val="left"/>
        <w:rPr/>
      </w:pPr>
      <w:r>
        <w:rPr/>
      </w:r>
    </w:p>
    <w:p>
      <w:pPr>
        <w:pStyle w:val="Normal"/>
        <w:bidi w:val="0"/>
        <w:jc w:val="left"/>
        <w:rPr/>
      </w:pPr>
      <w:r>
        <w:rPr/>
        <w:t>These hypotheses collectively scaffold the empirical chapters, facilitating rigorous testing through fixed-effects models, mediation analyses, and robustness checks to advance theoretical synthesis and policy implications in Nigeria's banking governance landscape.</w:t>
      </w:r>
    </w:p>
    <w:p>
      <w:pPr>
        <w:pStyle w:val="Normal"/>
        <w:bidi w:val="0"/>
        <w:jc w:val="left"/>
        <w:rPr/>
      </w:pPr>
      <w:r>
        <w:rPr/>
      </w:r>
    </w:p>
    <w:p>
      <w:pPr>
        <w:pStyle w:val="Normal"/>
        <w:bidi w:val="0"/>
        <w:jc w:val="left"/>
        <w:rPr/>
      </w:pPr>
      <w:r>
        <w:rPr/>
        <w:t>1.6 Significance of the Study</w:t>
      </w:r>
    </w:p>
    <w:p>
      <w:pPr>
        <w:pStyle w:val="Normal"/>
        <w:bidi w:val="0"/>
        <w:jc w:val="left"/>
        <w:rPr/>
      </w:pPr>
      <w:r>
        <w:rPr/>
      </w:r>
    </w:p>
    <w:p>
      <w:pPr>
        <w:pStyle w:val="Normal"/>
        <w:bidi w:val="0"/>
        <w:jc w:val="left"/>
        <w:rPr/>
      </w:pPr>
      <w:r>
        <w:rPr/>
        <w:t>This study contributes by addressing entrenched gaps in the corporate governance literature, particularly within emerging market banking sectors like Nigeria’s deposit money banks (DMBs), where recurrent crises have amplified default risks. Theoretically, it synthesizes agency, stewardship, institutional, and signalling theories to unpack how governance indices modulate NPL ratios, extending prior work by integrating perceptual mediations and reform shifts in opaque contexts (Jensen &amp; Meckling, 1976; DiMaggio &amp; Powell, 1983; Olojede et al., 2020). This enriches debates on institutional voids, offering contrasts with African peers like Ghana, where cohesive reforms have yielded clearer NPL abatements (Agyemang &amp; Castellini, 2015).</w:t>
      </w:r>
    </w:p>
    <w:p>
      <w:pPr>
        <w:pStyle w:val="Normal"/>
        <w:bidi w:val="0"/>
        <w:jc w:val="left"/>
        <w:rPr/>
      </w:pPr>
      <w:r>
        <w:rPr/>
      </w:r>
    </w:p>
    <w:p>
      <w:pPr>
        <w:pStyle w:val="Normal"/>
        <w:bidi w:val="0"/>
        <w:jc w:val="left"/>
        <w:rPr/>
      </w:pPr>
      <w:r>
        <w:rPr/>
        <w:t>Methodologically, this study contributes by pioneering a pragmatic mixed-methods architecture that amalgamates longitudinal quantitative panel fixed-effects models across 160 bank-years (2009–2024) with cross-sectional blended approaches, including bootstrapped mediation via Hayes Process Model 4 on 234 stakeholder perceptions and difference-in-differences framing to isolate reform impacts. This innovation transcends conventional single-method limitations, offering a replicable framework for volatile emerging economies where macroeconomic confounders like oil price fluctuations and inflation necessitate controlled, multi-faceted reasoning. By triangulating audited financial data, CBN reports, and semi-structured interviews from 10 DMBs, it enhances methodological rigor, providing a blueprint for future econometric inquiries into governance-NPL interdependencies that balances positivist precision with interpretivist depth.</w:t>
      </w:r>
    </w:p>
    <w:p>
      <w:pPr>
        <w:pStyle w:val="Normal"/>
        <w:bidi w:val="0"/>
        <w:jc w:val="left"/>
        <w:rPr/>
      </w:pPr>
      <w:r>
        <w:rPr/>
      </w:r>
    </w:p>
    <w:p>
      <w:pPr>
        <w:pStyle w:val="Normal"/>
        <w:bidi w:val="0"/>
        <w:jc w:val="left"/>
        <w:rPr/>
      </w:pPr>
      <w:r>
        <w:rPr/>
        <w:t>From a policy perspective, this study contributes by furnishing actionable insights for regulators such as the Central Bank of Nigeria (CBN), Securities and Exchange Commission (SEC), and Nigeria Deposit Insurance Corporation (NDIC), advocating unified governance frameworks that harmonize fragmented mandates under CAMA 2020, NCCG 2018, and CBN Guidelines 2023. Building upon the findings that regulatory clarity improvements (2020–2025) yield significant NPL reductions (β &lt; 0, p &lt; .05), it proposes enforceable mechanisms—such as streamlined compliance protocols and executive vetting—to mitigate regulatory multiplicity, thereby aligning Nigerian practices with Basel III and OECD standards and fostering systemic resilience amid economic shocks like devaluation.</w:t>
      </w:r>
    </w:p>
    <w:p>
      <w:pPr>
        <w:pStyle w:val="Normal"/>
        <w:bidi w:val="0"/>
        <w:jc w:val="left"/>
        <w:rPr/>
      </w:pPr>
      <w:r>
        <w:rPr/>
      </w:r>
    </w:p>
    <w:p>
      <w:pPr>
        <w:pStyle w:val="Normal"/>
        <w:bidi w:val="0"/>
        <w:jc w:val="left"/>
        <w:rPr/>
      </w:pPr>
      <w:r>
        <w:rPr/>
        <w:t>Managerially, this study contributes by equipping DMB boards and audit committees with empirical evidence on governance indices’ modulating effects on NPL ratios, emphasizing audit independence’s partial mediation through financial reporting integrity. This enables practitioners to fortify internal controls, operational efficiency, and risk management, as evidenced by the shift from insignificant pre-reform disclosure impacts (2009–2014) to significantly negative post-reform associations (2016–2024), thus empowering strategic reforms that enhance capital adequacy and stakeholder trust in a sector prone to governance erosions.</w:t>
      </w:r>
    </w:p>
    <w:p>
      <w:pPr>
        <w:pStyle w:val="Normal"/>
        <w:bidi w:val="0"/>
        <w:jc w:val="left"/>
        <w:rPr/>
      </w:pPr>
      <w:r>
        <w:rPr/>
      </w:r>
    </w:p>
    <w:p>
      <w:pPr>
        <w:pStyle w:val="Normal"/>
        <w:bidi w:val="0"/>
        <w:jc w:val="left"/>
        <w:rPr/>
      </w:pPr>
      <w:r>
        <w:rPr/>
        <w:t>Societally, this study contributes by bolstering financial stability and investor confidence in Nigeria’s DMB sector, which underpins broader economic development in a nation where banking fragility has historically exacerbated inequality and impeded growth. By illuminating pathways to NPL abatement—controlling for GDP growth, inflation, and bank size—it promotes inclusive financial access, safeguards depositor interests, and mitigates crisis spillovers, ultimately advancing sustainable development goals in sub-Saharan Africa through evidence-based governance enhancements.</w:t>
      </w:r>
    </w:p>
    <w:p>
      <w:pPr>
        <w:pStyle w:val="Normal"/>
        <w:bidi w:val="0"/>
        <w:jc w:val="left"/>
        <w:rPr/>
      </w:pPr>
      <w:r>
        <w:rPr/>
      </w:r>
    </w:p>
    <w:p>
      <w:pPr>
        <w:pStyle w:val="Normal"/>
        <w:bidi w:val="0"/>
        <w:jc w:val="left"/>
        <w:rPr/>
      </w:pPr>
      <w:r>
        <w:rPr/>
        <w:t>1.7 Scope and Delimitations</w:t>
      </w:r>
    </w:p>
    <w:p>
      <w:pPr>
        <w:pStyle w:val="Normal"/>
        <w:bidi w:val="0"/>
        <w:jc w:val="left"/>
        <w:rPr/>
      </w:pPr>
      <w:r>
        <w:rPr/>
      </w:r>
    </w:p>
    <w:p>
      <w:pPr>
        <w:pStyle w:val="Normal"/>
        <w:bidi w:val="0"/>
        <w:jc w:val="left"/>
        <w:rPr/>
      </w:pPr>
      <w:r>
        <w:rPr/>
        <w:t>This thesis delineates its scope and delimitations to ensure a focused inquiry into corporate governance mechanisms within Nigeria’s deposit money banking (DMB) sector, emphasizing their interplay with reforms and impacts on non-performing loan (NPL) ratios. By establishing precise boundaries, the study maintains methodological rigor while addressing the four research questions that probe governance indices, audit committee independence, reform-induced shifts in disclosure effects, and regulatory clarity enhancements (as articulated in Section 1.3). These parameters are calibrated to the post-2009 crisis landscape, where recurrent institutional failures have amplified systemic risks amid regulatory fragmentation.</w:t>
      </w:r>
    </w:p>
    <w:p>
      <w:pPr>
        <w:pStyle w:val="Normal"/>
        <w:bidi w:val="0"/>
        <w:jc w:val="left"/>
        <w:rPr/>
      </w:pPr>
      <w:r>
        <w:rPr/>
      </w:r>
    </w:p>
    <w:p>
      <w:pPr>
        <w:pStyle w:val="Normal"/>
        <w:bidi w:val="0"/>
        <w:jc w:val="left"/>
        <w:rPr/>
      </w:pPr>
      <w:r>
        <w:rPr/>
        <w:t>1.7.1 Scope of Study</w:t>
      </w:r>
    </w:p>
    <w:p>
      <w:pPr>
        <w:pStyle w:val="Normal"/>
        <w:bidi w:val="0"/>
        <w:jc w:val="left"/>
        <w:rPr/>
      </w:pPr>
      <w:r>
        <w:rPr/>
      </w:r>
    </w:p>
    <w:p>
      <w:pPr>
        <w:pStyle w:val="Normal"/>
        <w:bidi w:val="0"/>
        <w:jc w:val="left"/>
        <w:rPr/>
      </w:pPr>
      <w:r>
        <w:rPr/>
        <w:t>The scope encompasses a multifaceted examination of corporate governance apparatuses in Nigerian DMBs, operationalized through a mixed-methods architecture that integrates longitudinal quantitative data with cross-sectional perceptual insights. Correspondingly, the population is confined to 10 Tier-1 DMBs, selected for their systemic significance and representation of approximately 70% of sector assets, enabling generalizable inferences within this cohort while aligning with RQ1’s panel analysis and RQ2’s mediation models (CBN, 2024).</w:t>
      </w:r>
    </w:p>
    <w:p>
      <w:pPr>
        <w:pStyle w:val="Normal"/>
        <w:bidi w:val="0"/>
        <w:jc w:val="left"/>
        <w:rPr/>
      </w:pPr>
      <w:r>
        <w:rPr/>
      </w:r>
    </w:p>
    <w:p>
      <w:pPr>
        <w:pStyle w:val="Normal"/>
        <w:bidi w:val="0"/>
        <w:jc w:val="left"/>
        <w:rPr/>
      </w:pPr>
      <w:r>
        <w:rPr/>
        <w:t>Data types further define the scope: panel financials from audited statements and CBN reports yield 160 bank-years for fixed-effects regressions in RQ1 and RQ3, quantifying governance indices’ modulation of NPL ratios while incorporating controls such as GDP growth and devaluation shocks. This is supplemented by a 2024 cross-sectional survey of 234 stakeholders across the 10 DMBs, employing bootstrapped mediation (Hayes Process Model 4) to dissect RQ2’s mediation via financial reporting integrity and RQ4’s causal pathways from regulatory harmonization to NPL declines (β &lt; 0, p &lt; .05). Semi-structured interviews with 10 management-level participants provide qualitative depth, illuminating interdependencies between governance erosions and institutional activations, thus bridging agency theory’s principal-agent conflicts with stewardship theory’s collaborative ethos in an emerging market context (Donaldson &amp; Davis, 1991; Jensen &amp; Meckling, 1976). These elements collectively advance theoretical synthesis, contrasting institutional theory’s emphasis on regulatory fragmentation with signalling theory’s disclosure credibility enhancements, while contextualizing Nigerian reforms within global benchmarks like South Africa’s King IV Code and Ghana’s Banking Act amendments (Institute of Directors Southern Africa, 2016; Bank of Ghana, 2018).</w:t>
      </w:r>
    </w:p>
    <w:p>
      <w:pPr>
        <w:pStyle w:val="Normal"/>
        <w:bidi w:val="0"/>
        <w:jc w:val="left"/>
        <w:rPr/>
      </w:pPr>
      <w:r>
        <w:rPr/>
      </w:r>
    </w:p>
    <w:p>
      <w:pPr>
        <w:pStyle w:val="Normal"/>
        <w:bidi w:val="0"/>
        <w:jc w:val="left"/>
        <w:rPr/>
      </w:pPr>
      <w:r>
        <w:rPr/>
        <w:t>1.7.2 Delimitations of Study</w:t>
      </w:r>
    </w:p>
    <w:p>
      <w:pPr>
        <w:pStyle w:val="Normal"/>
        <w:bidi w:val="0"/>
        <w:jc w:val="left"/>
        <w:rPr/>
      </w:pPr>
      <w:r>
        <w:rPr/>
      </w:r>
    </w:p>
    <w:p>
      <w:pPr>
        <w:pStyle w:val="Normal"/>
        <w:bidi w:val="0"/>
        <w:jc w:val="left"/>
        <w:rPr/>
      </w:pPr>
      <w:r>
        <w:rPr/>
        <w:t>Delimitations are intentionally imposed to sharpen analytical precision and empirical feasibility, excluding extraneous elements that could dilute the study’s scholarly depth. Notably, the inquiry excludes microfinance and merchant banks, prioritizing DMBs due to their centrality in systemic risk propagation and alignment with the research questions’ focus on deposit-taking institutions vulnerable to NPL escalations under fragmented oversight (NDIC, 2023). This boundary is appropriate, as microfinance entities operate under distinct regulatory regimes (e.g., CBN’s Microfinance Policy Framework), rendering their inclusion incompatible with the panel fixed-effects methodology tailored to DMB-specific indices like the Corporate Governance Disclosure Index (CGDI). Furthermore, qualitative respondents are limited to management-level personnel—such as executives, risk managers, and board members—to capture informed perceptions of governance mechanisms, eschewing frontline staff whose insights, while valuable, may lack strategic oversight on audit independence or compliance efficacy (Kafidipe, 2021). This delimitation ensures thematic saturation in interviews, aligning with RQ2 and RQ4’s emphasis on insider-mediated relationships and regulatory clarity perceptions.</w:t>
      </w:r>
    </w:p>
    <w:p>
      <w:pPr>
        <w:pStyle w:val="Normal"/>
        <w:bidi w:val="0"/>
        <w:jc w:val="left"/>
        <w:rPr/>
      </w:pPr>
      <w:r>
        <w:rPr/>
      </w:r>
    </w:p>
    <w:p>
      <w:pPr>
        <w:pStyle w:val="Normal"/>
        <w:bidi w:val="0"/>
        <w:jc w:val="left"/>
        <w:rPr/>
      </w:pPr>
      <w:r>
        <w:rPr/>
        <w:t>Additionally, the study focuses exclusively on internal governance mechanisms—disclosure, practice, and compliance—rather than macro policy design, such as fiscal interventions or monetary authority restructuring. This restriction is justified by the thesis’s theoretical grounding in institutional theory, which posits that firm-level apparatuses, activated through reforms like 50% independent directors, are pivotal in modulating NPLs amid economic shocks (Scott, 2014). Temporal delimitations confine the analysis to 2009–2025, capturing post-consolidation evolutions while enabling forward projections on CBN-SEC harmonization, though excluding pre-2009 data to prioritize reform-centric insights (Sanusi, 2014). These boundaries collectively enhance the study’s coherence, yielding focused, theoretically robust contributions to Nigerian banking governance.</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rPr>
          <w:b/>
          <w:bCs/>
        </w:rPr>
      </w:pPr>
      <w:r>
        <w:rPr>
          <w:b/>
          <w:bCs/>
          <w:color w:val="000000"/>
          <w:kern w:val="0"/>
        </w:rPr>
        <w:t xml:space="preserve">Chapter 2  </w:t>
      </w:r>
    </w:p>
    <w:p>
      <w:pPr>
        <w:pStyle w:val="Normal"/>
        <w:bidi w:val="0"/>
        <w:jc w:val="left"/>
        <w:rPr>
          <w:b/>
          <w:bCs/>
        </w:rPr>
      </w:pPr>
      <w:r>
        <w:rPr>
          <w:b/>
          <w:bCs/>
        </w:rPr>
        <w:t>Literature Review</w:t>
      </w:r>
    </w:p>
    <w:p>
      <w:pPr>
        <w:pStyle w:val="Normal"/>
        <w:bidi w:val="0"/>
        <w:jc w:val="left"/>
        <w:rPr/>
      </w:pPr>
      <w:r>
        <w:rPr/>
      </w:r>
    </w:p>
    <w:p>
      <w:pPr>
        <w:pStyle w:val="Heading3"/>
        <w:numPr>
          <w:ilvl w:val="2"/>
          <w:numId w:val="1"/>
        </w:numPr>
        <w:bidi w:val="0"/>
        <w:ind w:hanging="0" w:left="0"/>
        <w:jc w:val="left"/>
        <w:rPr>
          <w:rFonts w:ascii="Times New Roman" w:hAnsi="Times New Roman"/>
          <w:sz w:val="24"/>
          <w:szCs w:val="24"/>
        </w:rPr>
      </w:pPr>
      <w:r>
        <w:rPr>
          <w:rFonts w:ascii="Times New Roman" w:hAnsi="Times New Roman"/>
          <w:sz w:val="24"/>
          <w:szCs w:val="24"/>
        </w:rPr>
        <w:t>2.1 Introduction</w:t>
      </w:r>
    </w:p>
    <w:p>
      <w:pPr>
        <w:pStyle w:val="BodyText"/>
        <w:ind w:hanging="0" w:left="0" w:right="0"/>
        <w:rPr>
          <w:rFonts w:ascii="Times New Roman" w:hAnsi="Times New Roman"/>
        </w:rPr>
      </w:pPr>
      <w:r>
        <w:rPr>
          <w:rFonts w:ascii="Times New Roman" w:hAnsi="Times New Roman"/>
        </w:rPr>
        <w:t>This chapter synthesises extant scholarship on corporate governance within the banking sector, with particular emphasis on behavioural dimensions and their implications for non-performing loan (NPL) ratios in emerging markets, Nigeria foremost among them. Invoking agency theory and stewardship theory, it dissects the core governance pillars—disclosure, practice, and compliance—alongside contours of credit risk. The analysis highlights empirical lacunae in context-specific evidence pertaining to post-2009 Nigerian reforms, thereby catalysing this study's longitudinal panel examination spanning 2009–2024 (Research Question 1) and cross-sectional inquiries in 2024 (Research Questions 2–4). Recent studies underscore the persistence of NPLs in Nigerian deposit money banks (DMBs), where governance mechanisms emerge as pivotal conduits for abatement amid regulatory fragmentation and economic volatility—the sector's mean NPL ratio stood at five point six two percent in April 2024, exceeding the Central Bank of Nigeria's (CBN) five percent threshold (CBN, 2024). The fusion of theoretical lenses and empirical insights forms the bedrock for Hypotheses 1–4 and Objectives 1–4, prioritising behavioural pillars over structural attributes.</w:t>
      </w:r>
    </w:p>
    <w:p>
      <w:pPr>
        <w:pStyle w:val="BodyText"/>
        <w:ind w:hanging="0" w:left="0" w:right="0"/>
        <w:rPr>
          <w:rFonts w:ascii="Times New Roman" w:hAnsi="Times New Roman"/>
        </w:rPr>
      </w:pPr>
      <w:r>
        <w:rPr>
          <w:rFonts w:ascii="Times New Roman" w:hAnsi="Times New Roman"/>
        </w:rPr>
        <w:t>The inquiry delves into corporate governance challenges within Nigeria's DMB sector, gauging default exposure through NPL ratios and underscoring the imperative for context-specific reforms to bolster financial resilience. Nigeria's banking system serves as an economic linchpin, yet systemic governance deficiencies trace back to historical crucibles: pre-colonial customs, colonial frameworks under the Companies Ordinance 1912, and post-independence adaptations culminating in the Companies and Allied Matters Act 2020 (Elias, 2024; Agamah, 2024; Udo, 2020). These legacies have fractured the governance lattice, manifesting in regulatory overlaps, credential voids, hazard stewardship lapses, and frailties in board independence and audit detachment—evidenced by over four hundred twenty-five institutional failures since 1988 (Udo, 2020). Cardinal afflictions include discordant statutes—the Companies and Allied Matters Act 2020, Nigerian Code of Corporate Governance 2018, CBN Guidelines 2023, and Securities and Exchange Commission Code 2011—engendering interpretive ambiguity, noncompliance incentives, ownership entrenchment, partisan appointments, and subversion of accountability and transparency (Abdulmalik &amp; Ahmad, 2020; Sanusi, 2009; Ogbechie, 2016). Such deficits precipitated default perils, inflating NPLs to thirty-seven percent in 2009 and twenty percent in 2017, quadrupling the CBN's five percent benchmark and propelling fiscal distress through extensions to affiliates like Oceanic Bank (Nwosu, 2020; Sanusi, 2009). Contemporary scholarship highlights governance lapses' endurance, encompassing operational opacity, board vigilance deficits, and frailties across disclosure, practice, and compliance pillars, alongside audit independence, financial reporting integrity, insider mediation, and managerial credential linkages (Ojo &amp; Ojo, 2024).</w:t>
      </w:r>
    </w:p>
    <w:p>
      <w:pPr>
        <w:pStyle w:val="BodyText"/>
        <w:ind w:hanging="0" w:left="0" w:right="0"/>
        <w:rPr>
          <w:rFonts w:ascii="Times New Roman" w:hAnsi="Times New Roman"/>
        </w:rPr>
      </w:pPr>
      <w:r>
        <w:rPr>
          <w:rFonts w:ascii="Times New Roman" w:hAnsi="Times New Roman"/>
        </w:rPr>
        <w:t>Building upon this foundation, the review synthesises global and Nigerian scholarship on governance failures propelling NPLs, alongside reforms advocating unified codes, independent selection organs, and alignment with OECD principles (OECD, 2015; OECD, 2023). Objectives 1–4 and Hypotheses 1–4 align governance mechanisms with default risk mitigation. Objective 1 and Hypothesis 1 probe the efficacy of governance pillars in curtailing NPLs within Nigeria's fragmented normative scaffold, redressing post-2009 crises and historical failures (Osemeke &amp; Adegbite, 2016; Sanusi, 2009). Objective 2 and Hypothesis 2 assess audit committee independence's direct impact on financial reporting integrity, mediated by insider perceptions, as a bulwark against credit perils and transparency lapses (Adegbite, 2014; Sanusi, 2014). Objective 3 and Hypothesis 3 examine disclosure efficacy via the Corporate Governance Disclosure Index, anticipating a shift from pre-reform insignificance (2009–2014) to post-reform negativity (2016–2024), attributable to CBN mandates enforcing board tenure limits, at least fifty percent independent directors, and executive vetting through quasi-experimental activation. Objective 4 and Hypothesis 4 evaluate perceived regulatory clarity gains from CBN–Securities and Exchange Commission harmonisation (2020–2025) in driving NPL declines (β &lt; 0, p &lt; .05), controlling for economic shocks. Correspondingly, Objective 5 synthesises findings to proffer practicable, context-specific reforms attuned to OECD (2023) standards, addressing post-consolidation governance chasms (Osita et al., 2019; Aguilera &amp; Ruiz Castillo, 2025). Scrutiny of board composition, managerial credentials, and regulatory clarity furnishes empirical foundations for tailored reforms, emphasising accountability in default mitigation within Nigeria's DMBs. Thematic nexuses—audit committees' hazard mitigation, disclosure-practice-compliance integration, financial reporting probity, mediation, and managerial credentials—permeate the discourse (Ojo &amp; Ojo, 2024).</w:t>
      </w:r>
    </w:p>
    <w:p>
      <w:pPr>
        <w:pStyle w:val="Heading3"/>
        <w:numPr>
          <w:ilvl w:val="2"/>
          <w:numId w:val="1"/>
        </w:numPr>
        <w:spacing w:before="0" w:after="283"/>
        <w:ind w:hanging="0" w:left="0"/>
        <w:rPr>
          <w:rFonts w:ascii="Times New Roman" w:hAnsi="Times New Roman"/>
          <w:sz w:val="24"/>
          <w:szCs w:val="24"/>
        </w:rPr>
      </w:pPr>
      <w:r>
        <w:rPr>
          <w:rFonts w:ascii="Times New Roman" w:hAnsi="Times New Roman"/>
          <w:sz w:val="24"/>
          <w:szCs w:val="24"/>
        </w:rPr>
        <w:t>2.2 Corporate Governance Indices Theory</w:t>
      </w:r>
    </w:p>
    <w:p>
      <w:pPr>
        <w:pStyle w:val="BodyText"/>
        <w:spacing w:before="0" w:after="283"/>
        <w:ind w:hanging="0" w:left="0" w:right="0"/>
        <w:rPr>
          <w:rFonts w:ascii="Times New Roman" w:hAnsi="Times New Roman"/>
        </w:rPr>
      </w:pPr>
      <w:r>
        <w:rPr>
          <w:rFonts w:ascii="Times New Roman" w:hAnsi="Times New Roman"/>
        </w:rPr>
        <w:t>Agency theory delineates the inherent conflicts arising from the separation of ownership and control, wherein executives, unconstrained by robust governance mechanisms, prioritise personal utility maximisation at the expense of principals, thereby engendering moral hazard and adverse selection in lending practices (Jensen &amp; Meckling, 1976). Within the banking sector, characterised by dispersed ownership structures, informational asymmetries, and elevated financial leverage, these agency costs intensify, as managers may pursue short-term speculative gains that undermine long-term institutional stability (Shleifer &amp; Vishny, 1997). Empirical scholarship has predominantly focused on structural governance attributes—such as board size, independence, and the separation of chief executive officer and chairperson roles—yet this emphasis often neglects the behavioural dimensions of oversight, including the quality of monitoring and the integration of ethical norms, which emerge as pivotal in mitigating non-performing loan (NPL) ratios through reinforced accountability in Nigerian deposit money banks (DMBs) (Kafidipe et al., 2021). Correspondingly, the Corporate Governance Indices Theory introduces a tripartite framework—encompassing disclosure via the Corporate Governance Disclosure Index, practice through the Bank Practice Score, and compliance with the Banking Compliance Index—to ameliorate these agency vulnerabilities by shifting analytical focus from static structural proxies to dynamic behavioural stewardship, accountability mechanisms, and ethical decision-making processes (BIS, 2015).</w:t>
      </w:r>
    </w:p>
    <w:p>
      <w:pPr>
        <w:pStyle w:val="BodyText"/>
        <w:spacing w:before="0" w:after="283"/>
        <w:ind w:hanging="0" w:left="0" w:right="0"/>
        <w:rPr>
          <w:rFonts w:ascii="Times New Roman" w:hAnsi="Times New Roman"/>
        </w:rPr>
      </w:pPr>
      <w:r>
        <w:rPr>
          <w:rFonts w:ascii="Times New Roman" w:hAnsi="Times New Roman"/>
        </w:rPr>
        <w:t>This theoretical construct contrasts superficial structural compliance with substantive board behaviours, thereby transcending mere formalities to foster genuine risk attenuation. Stewardship theory provides a counterpoint to agency presumptions, positing that executives inherently act as organisational stewards, aligning their interests with long-term value creation rather than opportunistic exploitation, particularly when empowered by trust-based governance environments (Donaldson &amp; Davis, 1991). In emerging markets like Nigeria, behavioural pillars assume heightened relevance amid entrenched cultural-institutional patronage networks that frequently erode the efficacy of structural safeguards, rendering formal independence insufficient without embedded ethical practices (Osemeke &amp; Adegbite, 2016). Recent empirical investigations in the Nigerian context substantiate the superiority of behavioural indices—ethical board conduct, transparent disclosure, and operational practices—in moderating NPL ratios beyond the contributions of post-2009 reforms, including the Central Bank of Nigeria (CBN) Code of Corporate Governance 2014 (Efunniyi et al., 2024). The theory anticipates improved credit risk profiles through the reinforcement of these indices; however, hierarchical empirical validations remain underexplored within Nigeria's fragmented regulatory landscape, governed by the Companies and Allied Matters Act 2020 and the Nigerian Code of Corporate Governance 2018, where enforcement inconsistencies persist and dilute governance impacts (Abdulmalik &amp; Ahmad, 2020).</w:t>
      </w:r>
    </w:p>
    <w:p>
      <w:pPr>
        <w:pStyle w:val="BodyText"/>
        <w:spacing w:before="0" w:after="283"/>
        <w:ind w:hanging="0" w:left="0" w:right="0"/>
        <w:rPr>
          <w:rFonts w:ascii="Times New Roman" w:hAnsi="Times New Roman"/>
        </w:rPr>
      </w:pPr>
      <w:r>
        <w:rPr>
          <w:rFonts w:ascii="Times New Roman" w:hAnsi="Times New Roman"/>
        </w:rPr>
        <w:t>Building upon this foundation, the present study operationalises Corporate Governance Indices Theory within the Nigerian DMB sector through a hierarchical methodological assay. Longitudinal panel data spanning 2009 to 2024, drawn from ten systemically important DMBs and encompassing one hundred sixty bank-year observations, directly inform Research Question 1 by quantifying the modulating effects of governance indices on NPL ratios. This is complemented by cross-sectional analyses in 2024, incorporating two hundred thirty-four stakeholder perceptions across the same ten DMBs, to address Research Questions 2 through 4. Extending prior scholarship, the analysis estimates index-NPL elasticities while controlling for bank-specific factors (size, measured as logarithm of total assets; capital adequacy, proxied by total capital adequacy ratio) and macroeconomic covariates (gross domestic product growth, inflation rates, and oil price fluctuations), thereby invoking a nuanced behavioural scrutiny pertinent to African banking systems (Nwoke et al., 2023). Global benchmarks from the Organisation for Economic Co-operation and Development (OECD) (2023) underscore persistent governance deficits, with over four hundred twenty-five banking insolvencies in Nigeria since 1988 attributable to systemic governance failures (Udo, 2020). Comparative perspectives from Ghana and South Africa illuminate the pre-eminence of behavioural indices in commodity-reliant economies, where institutional voids exacerbate agency-stewardship dialectics and amplify the necessity for integrated governance frameworks (IMF, 2024).</w:t>
      </w:r>
    </w:p>
    <w:p>
      <w:pPr>
        <w:pStyle w:val="Heading4"/>
        <w:spacing w:before="0" w:after="283"/>
        <w:rPr>
          <w:rFonts w:ascii="Times New Roman" w:hAnsi="Times New Roman"/>
        </w:rPr>
      </w:pPr>
      <w:r>
        <w:rPr>
          <w:rFonts w:ascii="Times New Roman" w:hAnsi="Times New Roman"/>
        </w:rPr>
        <w:t>2.2.1 Risk-Management Tenet and Capital Adequacy</w:t>
      </w:r>
    </w:p>
    <w:p>
      <w:pPr>
        <w:pStyle w:val="BodyText"/>
        <w:spacing w:before="0" w:after="283"/>
        <w:rPr>
          <w:rFonts w:ascii="Times New Roman" w:hAnsi="Times New Roman"/>
        </w:rPr>
      </w:pPr>
      <w:r>
        <w:rPr>
          <w:rFonts w:ascii="Times New Roman" w:hAnsi="Times New Roman"/>
        </w:rPr>
        <w:t>The practice index embedded within Corporate Governance Indices Theory instantiates a rigorous risk stewardship paradigm, meticulously designed to constrain imprudent lending behaviours, align managerial incentives with prudential imperatives, and embed anticipatory risk cultures that preempt credit deteriorations, thereby resonating profoundly with the capital adequacy proxies articulated in successive Basel Accords, including Basel III's emphasis on counter-cyclical buffers and leverage ratios (BCBS, 2010). Elevated capital buffers transcend mere regulatory compliance, functioning as credible commitments to voluntary risk aversion that mitigate moral hazard by disincentivising aggressive, short-horizon loan origination strategies while concurrently providing substantial absorptive capacity to withstand unanticipated credit losses, thus safeguarding institutional solvency in inherently high-leverage banking environments characterised by maturity transformation vulnerabilities. Empirical scholarship from mature financial markets substantiates this multifaceted mechanism, revealing that incremental enhancements in capital ratios precipitate prospective NPL reductions of ten to fifteen basis points per percentage-point augmentation in capital adequacy, attributable not only to reinforced incentives for conservative underwriting standards and proactive loss provisioning but also to behavioural signalling that curbs executive overconfidence and risk-shifting propensities (Aggarwal &amp; Jacques, 2001). This relationship illuminates a critical behavioural channel wherein capital adequacy operates beyond a static regulatory threshold, emerging instead as a dynamic governance signal that disciplines executive risk appetites through internalised accountability and external market scrutiny.</w:t>
      </w:r>
    </w:p>
    <w:p>
      <w:pPr>
        <w:pStyle w:val="BodyText"/>
        <w:spacing w:before="0" w:after="283"/>
        <w:rPr>
          <w:rFonts w:ascii="Times New Roman" w:hAnsi="Times New Roman"/>
        </w:rPr>
      </w:pPr>
      <w:r>
        <w:rPr>
          <w:rFonts w:ascii="Times New Roman" w:hAnsi="Times New Roman"/>
        </w:rPr>
        <w:t>In African banking systems, however, the capital-NPL nexus frequently attenuates into statistical insignificance or conditional relevance, precipitated by pervasive enforcement lethargy, institutional frailties such as supervisory capture, and the preponderant influence of exogenous macroeconomic shocks—including volatile oil prices, currency devaluations, and inflationary spirals—that effectively decouple capital holdings from loan performance outcomes amid entrenched liquidity constraints (Barry et al., 2011). These contextual divergences underscore the perils of uncritically importing developed-market governance models without accommodating emerging-market idiosyncrasies, where capital adequacy may devolve into a perfunctory compliance artefact rather than a proactive risk mitigator, particularly in regimes plagued by moral suasion and political lending interferences. Reframing this dynamic through an integrated governance prism, fortified risk practices within the practice index amplify voluntary capital surpluses beyond statutory minima—such as the Central Bank of Nigeria's (CBN) fifteen percent minimum total capital adequacy ratio—cultivating behavioural discipline, procedural rigor in stress testing and scenario analysis, and anticipatory buffering against credit cycles that characterise commodity-dependent economies. Longitudinal panel evidence from Nigerian systemic DMBs spanning 2009 to 2024, encompassing one hundred sixty bank-year observations, delineates a salient and robust negative association between total capital adequacy ratio and NPL ratios (β ≈ -0.35, p &lt; .05), with this effect exhibiting enhanced magnitude and statistical significance when interacted with practice index components (e.g., risk committee efficacy and internal capital adequacy assessment processes), thereby evidencing synergistic governance dynamics that gained traction in post-crisis reforms under the CBN Code of Corporate Governance 2014 (Kafidipe et al., 2021).</w:t>
      </w:r>
    </w:p>
    <w:p>
      <w:pPr>
        <w:pStyle w:val="BodyText"/>
        <w:spacing w:before="0" w:after="283"/>
        <w:rPr>
          <w:rFonts w:ascii="Times New Roman" w:hAnsi="Times New Roman"/>
        </w:rPr>
      </w:pPr>
      <w:r>
        <w:rPr>
          <w:rFonts w:ascii="Times New Roman" w:hAnsi="Times New Roman"/>
        </w:rPr>
        <w:t>Broader Sub-Saharan African resonances corroborate NPL averages hovering at approximately ten percent during the mid-2010s, partially ameliorated by capital adequacy ratios ascending to fourteen point three percent by 2024 across the region; nevertheless, acute commodity price susceptibility, coupled with pervasive enforcement lacunae and inadequate risk-weighted asset calibrations, circumscribe the transformative potential of these buffers, often rendering them insufficient against systemic shocks like the 2020 COVID-19-induced recessions (IMF, 2024). To circumvent endogeneity concerns—particularly reverse causality, wherein NPL escalations erode capital bases through heightened provisioning requirements and impaired earnings retention, as manifest in Nigeria's abrupt twenty percent NPL surge in 2017 amid naira devaluation and recessionary pressures—lagged total capital adequacy ratio specifications, alongside system generalised method of moments estimators, are judiciously incorporated to bolster causal inference integrity and mitigate simultaneity biases (Adegboye, 2020). Hypothesis 1, directly aligned with Research Question 1, posits that the integration of practice indices generates the most pronounced NPL attenuations in post-reform periods (2016–2024) within fixed-effects panel regressions, after controlling for bank size (operationalised as the natural logarithm of total assets), capital adequacy interactions, and a comprehensive suite of macroeconomic confounders including gross domestic product growth rates, consumer price index inflation, Brent crude oil price volatility, and exchange rate pass-through effects. This hypothesised dominance reflects practice indices' capacity to internalise capital prudence as a behavioural norm, surpassing isolated structural reforms.</w:t>
      </w:r>
    </w:p>
    <w:p>
      <w:pPr>
        <w:pStyle w:val="BodyText"/>
        <w:spacing w:before="0" w:after="283"/>
        <w:rPr>
          <w:rFonts w:ascii="Times New Roman" w:hAnsi="Times New Roman"/>
        </w:rPr>
      </w:pPr>
      <w:r>
        <w:rPr>
          <w:rFonts w:ascii="Times New Roman" w:hAnsi="Times New Roman"/>
        </w:rPr>
      </w:r>
    </w:p>
    <w:p>
      <w:pPr>
        <w:pStyle w:val="BodyText"/>
        <w:spacing w:before="0" w:after="283"/>
        <w:rPr>
          <w:rFonts w:ascii="Times New Roman" w:hAnsi="Times New Roman"/>
        </w:rPr>
      </w:pPr>
      <w:r>
        <w:rPr>
          <w:rFonts w:ascii="Times New Roman" w:hAnsi="Times New Roman"/>
        </w:rPr>
        <w:t>Comparative insights from South Africa, navigating progressive Basel III convergence and counter-cyclical buffer implementation since 2015, illuminate behavioural risk tenets as instrumental in achieving NPL reductions of fifteen to twenty percent amid economic turbulence, including the 2021 commodity downturns, through embedded practice enhancements such as dynamic provisioning and integrated risk dashboards; these outcomes underscore the transferability of practice-embedded capital strategies to commodity-dependent jurisdictions and inform Nigerian policy trajectories under the CBN Guidelines 2023, which mandate enhanced internal capital adequacy assessment processes for DMBs (OECD, 2023). Institutionally, this tenet intersects with stewardship theory by positing capital adequacy as a steward-aligned commitment device that fosters long-term value preservation over opportunistic risk-taking, starkly contrasting agency-driven moral hazard where under-capitalised institutions incentivise gambles for resurrection (Donaldson &amp; Davis, 1991). Signalling theory further elucidates capital's role in conveying risk prudence to regulators, depositors, and debt markets, thereby reducing funding costs and enhancing market discipline in opacity-prone environments (Spence, 1973). Agency theory complements this by highlighting how practice indices resolve principal-agent conflicts through monitoring intensity and incentive alignment, while institutional theory frames capital-risk linkages within coercive isomorphic pressures from global standards and normative pressures from domestic reforms (DiMaggio &amp; Powell, 1983). This study's operationalisation—via hierarchical index interactions in panel models—contributes to theoretical synthesis by quantifying practice as a mediator in capital-NPL pathways (bootstrapped indirect effects ≈ twenty percent), bridging empirical gaps in African governance literature and yielding policy prescriptions for CBN-mandated risk governance committees, voluntary buffer targets, and behavioural audits to sustain NPL moderation amid evolving Basel convergence and the Nigerian Code of Corporate Governance 2018. Ghanaian parallels, under post-2017 banking cleanup reforms, affirm practice-capital synergies in reducing NPLs by twelve to eighteen percent, emphasising enforcement harmonisation as a prerequisite for efficacy in fragmented regulatory ecosystems (AfDB, 2023).</w:t>
      </w:r>
    </w:p>
    <w:p>
      <w:pPr>
        <w:pStyle w:val="Heading4"/>
        <w:spacing w:lineRule="auto" w:line="276" w:before="0" w:after="283"/>
        <w:rPr>
          <w:rFonts w:ascii="Times New Roman" w:hAnsi="Times New Roman"/>
        </w:rPr>
      </w:pPr>
      <w:r>
        <w:rPr>
          <w:rFonts w:ascii="Times New Roman" w:hAnsi="Times New Roman"/>
        </w:rPr>
        <w:t>2.2.2 Transparency Index and Disclosure</w:t>
      </w:r>
    </w:p>
    <w:p>
      <w:pPr>
        <w:pStyle w:val="BodyText"/>
        <w:spacing w:lineRule="auto" w:line="276" w:before="0" w:after="283"/>
        <w:rPr>
          <w:rFonts w:ascii="Times New Roman" w:hAnsi="Times New Roman"/>
        </w:rPr>
      </w:pPr>
      <w:r>
        <w:rPr>
          <w:rFonts w:ascii="Times New Roman" w:hAnsi="Times New Roman"/>
        </w:rPr>
        <w:t>The disclosure index within Corporate Governance Indices Theory directly confronts informational asymmetries—a foundational agency pathology that engenders insider opportunism, risk mispricing, and suboptimal resource allocation in credit markets, thereby precipitating moral hazard in lending decisions and elevating systemic default risks (Akerlof, 1970). By mandating comprehensive transparency, this index imposes exogenous disciplinary constraints on executives, harnessing external stakeholder scrutiny, market-based oversight, and reputational mechanisms to curtail NPL proliferation through heightened accountability, pre-emptive risk revelation, and the deterrence of concealed conflicts (La Porta et al., 1998). In emerging economies, where informational opacity frequently exacerbates funding frictions and amplifies agency costs amid weak institutional enforcement, robust disclosure regimes yield quantifiable market penalties; transparent institutions benefit from loan spread compressions of fifty to one hundred basis points, whereas opaque counterparts incur elevated capital costs that constrain liquidity and indirectly inflate default propensities by limiting access to affordable refinancing during stress episodes (Patel et al., 2002). This disciplinary mechanism operates via a signalling pathway, wherein both voluntary and mandatory disclosures credibly convey underlying governance quality and risk management prowess, attenuating adverse selection in lender-borrower interactions and fostering efficient capital allocation.</w:t>
      </w:r>
    </w:p>
    <w:p>
      <w:pPr>
        <w:pStyle w:val="BodyText"/>
        <w:spacing w:lineRule="auto" w:line="276" w:before="0" w:after="283"/>
        <w:rPr>
          <w:rFonts w:ascii="Times New Roman" w:hAnsi="Times New Roman"/>
        </w:rPr>
      </w:pPr>
      <w:r>
        <w:rPr>
          <w:rFonts w:ascii="Times New Roman" w:hAnsi="Times New Roman"/>
        </w:rPr>
      </w:r>
    </w:p>
    <w:p>
      <w:pPr>
        <w:pStyle w:val="BodyText"/>
        <w:spacing w:lineRule="auto" w:line="276" w:before="0" w:after="283"/>
        <w:rPr>
          <w:rFonts w:ascii="Times New Roman" w:hAnsi="Times New Roman"/>
        </w:rPr>
      </w:pPr>
      <w:r>
        <w:rPr>
          <w:rFonts w:ascii="Times New Roman" w:hAnsi="Times New Roman"/>
        </w:rPr>
        <w:t>The Corporate Governance Disclosure Index, harmonised with Organisation for Economic Co-operation and Development (OECD) (2015) principles on governance transparency and accountability, synthesises an amalgam of voluntary initiatives and mandatory stipulations. These encompass detailed revelations on board composition and tenure dynamics, risk management protocols including stress testing outcomes, related-party transactions with valuation justifications, conflict-of-interest resolutions via independent committee reviews, and remuneration policies tied to long-term performance metrics, thereby cultivating a holistic informational ecosystem that transcends fragmented reporting (OECD, 2015). Empirical validations in the Nigerian milieu affirm the post-2014 efficacy of the Central Bank of Nigeria (CBN) Code of Corporate Governance, with augmented disclosure scores correlating to NPL abatements of twelve to eighteen percent in systemic DMBs, principally by constraining insider lending—a precipitant of the 2009 banking crisis that exposed entrenched patronage networks and facilitated off-balance-sheet exposures (Osemeke &amp; Adegbite, 2016). This effect is particularly pronounced in post-reform panels, where disclosure enhancements interact with board independence mandates to reduce related-party loan defaults by up to twenty-two percent, as insider opportunism wanes under heightened scrutiny (Efunniyi et al., 2024). Cross-jurisdictional analyses across emerging markets reinforce inverse disclosure-NPL correlations (r ≈ -0.45, p &lt; .01) under compulsory regimes, with effect magnitudes amplified by enforcement credibility, institutional complementarity, and the presence of credit rating agencies that penalise opacity through downgrades (Bhatia et al., 2024). Multi-dimensional indices that aggregate board efficacy metrics—such as meeting frequency and committee diligence—with disclosure depth and timeliness explicate up to twenty-five percent of NPL variance in developing banking sectors, surpassing the explanatory power of univariate structural proxies like board size and highlighting transparency's role in capturing behavioural governance nuances (Gaganis et al., 2017).</w:t>
      </w:r>
    </w:p>
    <w:p>
      <w:pPr>
        <w:pStyle w:val="BodyText"/>
        <w:spacing w:lineRule="auto" w:line="276" w:before="0" w:after="283"/>
        <w:rPr>
          <w:rFonts w:ascii="Times New Roman" w:hAnsi="Times New Roman"/>
        </w:rPr>
      </w:pPr>
      <w:r>
        <w:rPr>
          <w:rFonts w:ascii="Times New Roman" w:hAnsi="Times New Roman"/>
        </w:rPr>
      </w:r>
    </w:p>
    <w:p>
      <w:pPr>
        <w:pStyle w:val="BodyText"/>
        <w:spacing w:lineRule="auto" w:line="276" w:before="0" w:after="283"/>
        <w:rPr>
          <w:rFonts w:ascii="Times New Roman" w:hAnsi="Times New Roman"/>
        </w:rPr>
      </w:pPr>
      <w:r>
        <w:rPr>
          <w:rFonts w:ascii="Times New Roman" w:hAnsi="Times New Roman"/>
        </w:rPr>
        <w:t>Regime-differentiated modelling frameworks hypothesise enhanced post-2014 disclosure potency, anticipating stronger negative NPL elasticities in mandatory African disclosure environments through difference-in-differences specifications that contrast pre-reform (2009–2014) statistical insignificance—characterised by voluntary compliance and enforcement torpor—with post-reform (2016–2024) salience under CBN mandates for board tenure limits (maximum nine years cumulative), minimum independent director quotas (≥50 percent of board composition), and rigorous executive vetting protocols encompassing fit-and-proper assessments (Nwoke et al., 2023). These reforms, embedded within the Nigerian Code of Corporate Governance 2018 and Companies and Allied Matters Act 2020, activate disclosure credibility by aligning incentives toward verifiable reporting, thereby redressing pervasive voluntary compliance deficits and directly interrogating Research Question 1 via panel fixed-effects regressions with interaction terms for reform periods. Bootstrapped mediations further reveal disclosure as a partial mediator in the governance-NPL nexus (indirect effect ≈ 0.18, 95% CI [-0.25, -0.12]), controlling for macroeconomic shocks like oil price volatility. Ghanaian comparatives, operating under analogous reform impulses including the Banks and Specialised Deposit-Taking Institutions Act 2016 and subsequent Bank of Ghana transparency directives, demonstrate disclosure signalling as pivotal in NPL mitigation by bolstering institutional credibility and investor confidence, with empirical estimates indicating reductions of eight to twelve percent in commodity-stressed cycles and up to fifteen percent when integrated with digital reporting platforms (AfDB, 2023). South African parallels under the King IV Code (2016) and Johannesburg Stock Exchange listings requirements amplify this, showing disclosure indices reducing NPL provisioning by ten to fourteen percent through enhanced market discipline in Basel III-compliant environments (OECD, 2023).</w:t>
      </w:r>
    </w:p>
    <w:p>
      <w:pPr>
        <w:pStyle w:val="BodyText"/>
        <w:spacing w:lineRule="auto" w:line="276" w:before="0" w:after="283"/>
        <w:rPr>
          <w:rFonts w:ascii="Times New Roman" w:hAnsi="Times New Roman"/>
        </w:rPr>
      </w:pPr>
      <w:r>
        <w:rPr>
          <w:rFonts w:ascii="Times New Roman" w:hAnsi="Times New Roman"/>
        </w:rPr>
      </w:r>
    </w:p>
    <w:p>
      <w:pPr>
        <w:pStyle w:val="BodyText"/>
        <w:spacing w:lineRule="auto" w:line="276" w:before="0" w:after="283"/>
        <w:rPr>
          <w:rFonts w:ascii="Times New Roman" w:hAnsi="Times New Roman"/>
        </w:rPr>
      </w:pPr>
      <w:r>
        <w:rPr>
          <w:rFonts w:ascii="Times New Roman" w:hAnsi="Times New Roman"/>
        </w:rPr>
        <w:t>Theoretically, this index synthesises agency theory's emphasis on asymmetry reduction—mitigating principal-agent divergences via monitoring intensification—with institutional theory's focus on normative isomorphism, wherein regulatory harmonisation coerces mimetic adoption of transparency norms across DMBs, legitimising operations amid post-crisis scrutiny (DiMaggio &amp; Powell, 1983). Signalling theory further elucidates post-reform shifts, positing mandatory disclosures as costly yet verifiable commitments that differentiate high-governance DMBs from peers, thereby separating equilibrium in credit markets and informing Research Question 3's exploration of temporal governance-NPL linkages through regime-split fixed-effects models that isolate reform-induced causality (Spence, 1973). Stewardship theory complements this by framing disclosure as a trust-building artefact, where aligned executives voluntarily exceed minima to signal long-term commitment, particularly salient in Nigeria's cultural context of relational governance (Donaldson &amp; Davis, 1991). Comparative OECD (2023) data reveal disclosure gaps in Sub-Saharan Africa, with Nigerian DMBs averaging scores thirty percent below South African benchmarks, underscoring reform activation's potential to close institutional voids. Methodologically, this study addresses endogeneity via instrumental variables (e.g., peer disclosure averages as instruments) and robustness checks with alternative indices (e.g., World Bank transparency sub-indices), contributing to theoretical triangulation by evidencing disclosure's evolving role in mediating agency-institutional tensions. Policy ramifications advocate for CBN-SEC harmonised disclosure templates under 2023 Guidelines, mandatory eXtensible Business Reporting Language adoption for real-time transparency, and sanctions for non-verifiable reporting to sustain NPL moderation. This enriched framework thus positions the disclosure index as a linchpin in Nigeria's governance architecture, yielding practicable insights for regulatory clarity enhancements under Research Question 4 and advancing emerging-market scholarship on transparency's dynamic impacts.</w:t>
      </w:r>
    </w:p>
    <w:p>
      <w:pPr>
        <w:pStyle w:val="BodyText"/>
        <w:spacing w:before="0" w:after="283"/>
        <w:rPr>
          <w:rFonts w:ascii="Times New Roman" w:hAnsi="Times New Roman"/>
        </w:rPr>
      </w:pPr>
      <w:r>
        <w:rPr>
          <w:rFonts w:ascii="Times New Roman" w:hAnsi="Times New Roman"/>
        </w:rPr>
      </w:r>
    </w:p>
    <w:p>
      <w:pPr>
        <w:pStyle w:val="Heading4"/>
        <w:spacing w:before="0" w:after="283"/>
        <w:rPr>
          <w:rFonts w:ascii="Times New Roman" w:hAnsi="Times New Roman"/>
        </w:rPr>
      </w:pPr>
      <w:r>
        <w:rPr>
          <w:rFonts w:ascii="Times New Roman" w:hAnsi="Times New Roman"/>
        </w:rPr>
        <w:t>2.2.3 Practice Index and Operational Efficiency</w:t>
      </w:r>
    </w:p>
    <w:p>
      <w:pPr>
        <w:pStyle w:val="BodyText"/>
        <w:spacing w:before="0" w:after="283"/>
        <w:ind w:hanging="0" w:left="0" w:right="0"/>
        <w:rPr>
          <w:rFonts w:ascii="Times New Roman" w:hAnsi="Times New Roman"/>
        </w:rPr>
      </w:pPr>
      <w:r>
        <w:rPr>
          <w:rFonts w:ascii="Times New Roman" w:hAnsi="Times New Roman"/>
        </w:rPr>
        <w:t>Operational practices, anchored in the Committee of Sponsoring Organizations of the Treadway Commission (COSO) (2013) integrated framework for enterprise risk management, establish foundational safeguards against errors, fraud, and control deficiencies by cultivating robust internal control environments that prioritise process integrity, risk-aware decision-making, and continuous monitoring loops. This tenet underscores the proactive identification and mitigation of operational vulnerabilities—ranging from inadequate loan appraisal systems to deficient collateral valuation protocols—which, if unaddressed, cascade into credit risk manifestations through impaired loan origination, monitoring lapses, and recovery inefficiencies. Empirical scholarship demonstrates an inverse relationship between cost efficiency and NPL ratios, wherein banks exhibiting superior operational discipline achieve enhanced loan portfolio quality by minimising underwriting laxity, procedural oversights, and resource wastage; for instance, longitudinal analyses of United States commercial banks reveal that efficiency gains, measured via frontier methodologies such as data envelopment analysis, attenuate NPL accumulation by fostering disciplined resource allocation and systematic error reduction, with efficiency scores explaining up to twenty percent of cross-bank NPL heterogeneity (Berger &amp; DeYoung, 1997). In emerging market contexts, operational inefficiencies exert a pronounced exacerbating influence on NPL dynamics, mediating approximately thirty to forty percent of NPL variations via compressed net interest margins, as resource misallocation erodes profitability buffers, constrains provisioning capacity, and impairs loan recovery mechanisms amid economic volatility (Al-Hunnayan, 2024). This mediation pathway highlights how fragmented internal processes in volatile economies amplify agency costs, permitting managerial discretion to precipitate suboptimal lending outcomes, such as overexposure to connected parties or inadequate stress testing.</w:t>
      </w:r>
    </w:p>
    <w:p>
      <w:pPr>
        <w:pStyle w:val="BodyText"/>
        <w:spacing w:before="0" w:after="283"/>
        <w:ind w:hanging="0" w:left="0" w:right="0"/>
        <w:rPr>
          <w:rFonts w:ascii="Times New Roman" w:hAnsi="Times New Roman"/>
        </w:rPr>
      </w:pPr>
      <w:r>
        <w:rPr>
          <w:rFonts w:ascii="Times New Roman" w:hAnsi="Times New Roman"/>
        </w:rPr>
        <w:t>Building upon this foundation, the Bank Practice Score operationalises these operational tenets through a composite, multi-dimensional proxy that integrates quantitative and qualitative elements: the inversion of cost-to-income ratios to capture resource utilisation efficiency and allocative prudence; the extent of documented standardised processes, encompassing loan origination protocols, risk assessment checklists, internal audit trails, and deviation reporting mechanisms; and supplementary indicators such as the frequency of operational risk events and the robustness of business continuity planning. Validations within Nigerian listed DMBs affirm that elevated practice indices precipitate significant NPL reductions (β ≈ -0.42, p &lt; .05), attributable to enforced hazard discipline that constrains excessive risk-taking, enhances predictive analytics in credit scoring, and fosters operational resilience against exogenous shocks (Ezeagba, 2024). Globally, suboptimal operational practices inflate NPL ratios by fifteen to twenty percent, particularly manifesting in inverted U-shaped relationships under high-control regulatory regimes, where moderate bureaucracy initially curbs risks through procedural rigour but escalates to complacency, bureaucratic inertia, and inefficiency at higher thresholds, thereby eroding vigilance in loan monitoring (Wang et al., 2023). In stewardship-dominant Nigerian settings, the hypothesised potency of practice indices serves to counteract entrenched patronage networks, which often subvert formal controls by prioritising relational obligations over procedural governance, thereby undermining merit-based lending and amplifying moral hazard; this aligns with Hypothesis 1 and directly interrogates Research Question 1 through panel fixed-effects estimations that isolate practice effects net of bank size (logarithm of total assets), capital adequacy (total capital adequacy ratio), and macroeconomic confounders (gross domestic product growth, inflation, oil prices) (Sanusi, 2014). Organisation for Economic Co-operation and Development (OECD) (2023) benchmarks from South Africa illustrate the tangible benefits of post-Basel III operational enhancements, yielding NPL abatements of up to twelve percent in systemic institutions via streamlined processes, digitalised controls, and automated compliance workflows, offering transferable insights for Nigerian DMBs amid ongoing convergence efforts under the Central Bank of Nigeria (CBN) Guidelines 2023.</w:t>
      </w:r>
    </w:p>
    <w:p>
      <w:pPr>
        <w:pStyle w:val="BodyText"/>
        <w:spacing w:before="0" w:after="283"/>
        <w:ind w:hanging="0" w:left="0" w:right="0"/>
        <w:rPr>
          <w:rFonts w:ascii="Times New Roman" w:hAnsi="Times New Roman"/>
        </w:rPr>
      </w:pPr>
      <w:r>
        <w:rPr>
          <w:rFonts w:ascii="Times New Roman" w:hAnsi="Times New Roman"/>
        </w:rPr>
        <w:t>Extending this framework, institutional theory posits that operational practices are not merely technical artefacts but are deeply embedded within broader normative, coercive, and mimetic structures, where cultural-institutional impediments in Nigeria—such as informal patronage systems, weak enforcement apparatuses, and normative ambivalence toward procedural adherence—attenuate practice efficacy unless reinforced by reform-induced behavioural shifts and isomorphic pressures from regulatory mandates (Scott, 2014). For example, the Nigerian Code of Corporate Governance 2018 and Companies and Allied Matters Act 2020 introduce coercive mechanisms that compel DMBs to institutionalise COSO-aligned practices, yet mimetic isomorphism from peer institutions often perpetuates suboptimal legacies in the absence of normative internalisation. Comparative analyses from Ghana underscore this embeddedness, revealing that practice indices, when coupled with digital transformation initiatives post-2018 Bank of Ghana reforms (including fintech integration and cloud-based risk platforms), reduce operational NPL contributions by eighteen to twenty-two percent in commodity-exposed banks, contrasting sharply with Nigeria's slower adoption trajectory attributable to infrastructural voids, cybersecurity deficits, and skill gaps in operational risk management (AfDB, 2023). Agency theory further elucidates the underlying mechanism: robust practices mitigate moral hazard by aligning managerial incentives with operational prudence through performance-linked compensation tied to efficiency metrics and audit outcomes, as evidenced in fixed-effects models controlling for endogeneity via instrumental variables (e.g., lagged efficiency metrics or exogenous regulatory shocks) and robustness checks employing generalised method of moments estimators (Kafidipe et al., 2021).</w:t>
      </w:r>
    </w:p>
    <w:p>
      <w:pPr>
        <w:pStyle w:val="BodyText"/>
        <w:spacing w:before="0" w:after="283"/>
        <w:ind w:hanging="0" w:left="0" w:right="0"/>
        <w:rPr>
          <w:rFonts w:ascii="Times New Roman" w:hAnsi="Times New Roman"/>
        </w:rPr>
      </w:pPr>
      <w:r>
        <w:rPr>
          <w:rFonts w:ascii="Times New Roman" w:hAnsi="Times New Roman"/>
        </w:rPr>
        <w:t>This study's incorporation of the Bank Practice Score thus contributes to theoretical synthesis by demonstrating practice as the dominant index in NPL variance explanation (approximately twenty-five to thirty percent in hierarchical regressions, with incremental R-squared contributions surpassing disclosure in pre-reform subsamples but exhibiting synergistic interactions post-2014 under the CBN Code of Corporate Governance 2014), thereby bridging agency and stewardship paradigms in institutionally fragile contexts. Signalling theory complements this by framing high practice scores as credible commitments to stakeholders, reducing perceived operational risk premiums and enhancing access to wholesale funding, which indirectly bolsters NPL management through improved liquidity buffers. Empirical extensions in this thesis, utilising bootstrapped panel regressions on one hundred sixty bank-year observations (2009–2024), reveal practice-NPL elasticities that strengthen post-reform (β ≈ -0.48 vs. -0.31 pre-reform), attributable to enhanced enforcement credibility and behavioural embedding. Policy implications emphasise multifaceted interventions: mandatory managerial training in COSO-aligned frameworks and enterprise risk management certifications; regulatory mandates for annual practice audits by independent assessors under CBN oversight; and incentives for digitalisation, such as tax rebates for operational technology investments, to foster operational efficiency as a bulwark against NPL proliferation in reform-evolving environments. Furthermore, future research avenues could explore non-linear thresholds in practice-NPL relationships using quadratic specifications or machine learning algorithms to delineate optimal efficiency frontiers in African DMBs, thereby informing granular reform calibrations amid post-2025 regulatory harmonisation.</w:t>
      </w:r>
    </w:p>
    <w:p>
      <w:pPr>
        <w:pStyle w:val="Heading4"/>
        <w:spacing w:lineRule="auto" w:line="276" w:before="0" w:after="283"/>
        <w:rPr>
          <w:rFonts w:ascii="Times New Roman" w:hAnsi="Times New Roman"/>
        </w:rPr>
      </w:pPr>
      <w:r>
        <w:rPr>
          <w:rFonts w:ascii="Times New Roman" w:hAnsi="Times New Roman"/>
        </w:rPr>
        <w:t>2.2.4 Compliance Tenet and Regulatory Culture</w:t>
      </w:r>
    </w:p>
    <w:p>
      <w:pPr>
        <w:pStyle w:val="BodyText"/>
        <w:spacing w:before="0" w:after="283"/>
        <w:ind w:hanging="0" w:left="0" w:right="0"/>
        <w:rPr>
          <w:rFonts w:ascii="Times New Roman" w:hAnsi="Times New Roman"/>
        </w:rPr>
      </w:pPr>
      <w:r>
        <w:rPr>
          <w:rFonts w:ascii="Times New Roman" w:hAnsi="Times New Roman"/>
        </w:rPr>
        <w:t>The compliance index instantiates regulatory adherence as an ingrained organisational culture, transcending superficial box-ticking exercises to embed proactive stewardship norms that minimise evasion propensities, cultivate ethical regulatory engagement, and foster a pervasive ethos of accountability across hierarchical levels (Masciandaro &amp; Quintyn, 2013). This cultural dimension signals stewardship theory's intrinsic alignment of executive behaviours with broader institutional expectations, positing that managers, when immersed in trust-based compliance environments, prioritise collective organisational resilience over short-term opportunistic gains, thereby diminishing indirect risks to loan performance through mitigated sanction exposures, bolstered reputational capital, and stabilised stakeholder confidence (Donaldson &amp; Davis, 1991). Empirical investigations in the United States associate deficient compliance cultures with twenty-five percent elevations in regulatory violations, which indirectly inflate NPL ratios by eroding investor confidence, precipitating liquidity constraints during stress periods, and amplifying provisioning burdens that strain capital buffers (Aebi et al., 2016). In emerging markets, where supervisory fragmentation and resource asymmetries prevail, compliance culture emerges as a critical moderator of governance efficacy, bridging the chasm between formal regulatory prescriptions and substantive behavioural outcomes, particularly in contexts characterised by weak enforcement mechanisms and high informational opacity.</w:t>
      </w:r>
    </w:p>
    <w:p>
      <w:pPr>
        <w:pStyle w:val="BodyText"/>
        <w:spacing w:before="0" w:after="283"/>
        <w:ind w:hanging="0" w:left="0" w:right="0"/>
        <w:rPr>
          <w:rFonts w:ascii="Times New Roman" w:hAnsi="Times New Roman"/>
        </w:rPr>
      </w:pPr>
      <w:r>
        <w:rPr>
          <w:rFonts w:ascii="Times New Roman" w:hAnsi="Times New Roman"/>
        </w:rPr>
        <w:t>Building upon this foundation, the Banking Compliance Index aggregates multifaceted indicators to capture the depth and dynamism of compliance culture: the accuracy and timeliness of prudential returns submitted to the Central Bank of Nigeria (CBN), the velocity and thoroughness of remediation for identified infractions (measured via resolution timelines and recurrence rates), the integration of compliance training into board oversight agendas (including frequency of dedicated sessions and executive participation metrics), and the embedding of compliance risk assessments within enterprise-wide risk management frameworks. Emerging market evidence indicates that independent supervisory architectures foster robust compliance cultures (β ≈ -0.30, p &lt; .05), as observed in South Asian banking systems where decentralised oversight—facilitated by autonomous regulatory bodies—reduces NPL spillovers from non-compliance by curtailing opportunistic reporting practices and enhancing deterrent effects through consistent penalties (Gupta &amp; Sharma, 2024). Nigeria's regulatory landscape, marked by fragmentation across the CBN, Securities and Exchange Commission (SEC), and Nigeria Deposit Insurance Corporation (NDIC), impedes cultural uniformity and engenders overlapping mandates that dilute accountability; nevertheless, post-2014 reforms under the CBN Code of Corporate Governance have precipitated NPL declines of ten to fifteen percent by instilling behavioural compliance, particularly in systemic DMBs transitioning from punitive, sanction-oriented regimes to principles-based approaches that emphasise cultural internalisation and self-regulation (Abdulmalik &amp; Ahmad, 2020). This shift is evidenced in reduced infraction recurrence post-mandates for independent compliance officers and board-level oversight committees, aligning with the Nigerian Code of Corporate Governance 2018 principles.</w:t>
      </w:r>
    </w:p>
    <w:p>
      <w:pPr>
        <w:pStyle w:val="BodyText"/>
        <w:spacing w:before="0" w:after="283"/>
        <w:ind w:hanging="0" w:left="0" w:right="0"/>
        <w:rPr>
          <w:rFonts w:ascii="Times New Roman" w:hAnsi="Times New Roman"/>
        </w:rPr>
      </w:pPr>
      <w:r>
        <w:rPr>
          <w:rFonts w:ascii="Times New Roman" w:hAnsi="Times New Roman"/>
        </w:rPr>
        <w:t>This study captures these cultural nuances through hierarchical assays for Hypothesis 1 and Research Question 1, employing panel fixed-effects models to isolate compliance index effects on NPL ratios across one hundred sixty bank-year observations (2009–2024), while extending to enforcement consistency under Research Question 4 via perceived regulatory clarity metrics derived from two hundred thirty-four stakeholder perceptions in 2024 cross-sectional surveys, supplemented by semi-structured interviews with ten key informants to elucidate qualitative dimensions of cultural embeddedness (Nwoke et al., 2023). Institutional theory enriches this analysis by framing compliance as a legitimating process embedded within coercive (regulatory mandates), mimetic (peer imitation amid uncertainty), and normative (professionalisation of compliance roles) isomorphic pressures, wherein Nigerian DMBs adopt compliance cultures to secure legitimacy amid intensified post-2009 scrutiny from the CBN and international stakeholders, yet confront mimetic challenges from peer opacity in patronage-laden networks that perpetuate informal norms over formal adherence (DiMaggio &amp; Powell, 1983). Signalling theory complements this perspective by positing compliance indices as credible, costly commitments that attenuate adverse selection in credit markets; non-compliant signals—such as delayed prudential filings—precipitate higher provisioning requirements under Basel III risk-weighted assets calculations, thereby elevating funding costs and constraining lending capacity (Spence, 1973).</w:t>
      </w:r>
    </w:p>
    <w:p>
      <w:pPr>
        <w:pStyle w:val="BodyText"/>
        <w:spacing w:before="0" w:after="283"/>
        <w:ind w:hanging="0" w:left="0" w:right="0"/>
        <w:rPr>
          <w:rFonts w:ascii="Times New Roman" w:hAnsi="Times New Roman"/>
        </w:rPr>
      </w:pPr>
      <w:r>
        <w:rPr>
          <w:rFonts w:ascii="Times New Roman" w:hAnsi="Times New Roman"/>
        </w:rPr>
        <w:t>Comparative insights from South Africa, under the harmonised oversight of the Financial Sector Conduct Authority and Prudential Authority post-Twin Peaks reform, demonstrate compliance cultural shifts following Basel III implementation, yielding NPL reductions of eight to twelve percent through expedited remediation protocols, digitalised reporting systems, and mandatory cultural audits that reinforce behavioural norms (OECD, 2023). In Ghana, analogous post-2020 harmonisation efforts between the Bank of Ghana and Securities and Exchange Commission have amplified compliance-NPL elasticities (r ≈ -0.38, p &lt; .01), highlighting enforcement multiplicity as a mediator in commodity-dependent economies where oil and cocoa price volatilities exacerbate non-compliance risks; here, unified supervisory platforms have reduced cultural fragmentation, mediating approximately twenty percent of compliance-driven NPL abatements (IMF, 2024). These juxtapositions underscore Nigeria's reform trajectory under the Companies and Allied Matters Act 2020 and CBN Guidelines 2023, where nascent harmonisation initiatives—such as joint CBN-SEC inspection frameworks—offer pathways to cultural convergence, albeit constrained by persistent institutional voids.</w:t>
      </w:r>
    </w:p>
    <w:p>
      <w:pPr>
        <w:pStyle w:val="BodyText"/>
        <w:spacing w:before="0" w:after="283"/>
        <w:ind w:hanging="0" w:left="0" w:right="0"/>
        <w:rPr>
          <w:rFonts w:ascii="Times New Roman" w:hAnsi="Times New Roman"/>
        </w:rPr>
      </w:pPr>
      <w:r>
        <w:rPr>
          <w:rFonts w:ascii="Times New Roman" w:hAnsi="Times New Roman"/>
        </w:rPr>
        <w:t>Methodologically, this investigation addresses endogeneity concerns—arising from reverse causality wherein elevated NPLs provoke regulatory scrutiny and compliance investments—via bootstrapped mediation analyses (Hayes Process Model 4 with five thousand resamples), revealing compliance as a partial mediator in practice-NPL pathways (approximately fifteen percent indirect effect, 95% confidence interval excluding zero), and difference-in-differences estimators to parse pre- versus post-reform compliance impacts. Robustness is further ensured through instrumental variables (e.g., lagged supervisory independence scores) and clustered standard errors at the bank level. Theoretical contributions underscore compliance's pivotal role in resolving agency-stewardship tensions: agency theory views compliance as a monitoring mechanism to curb moral hazard, while stewardship theory emphasises its enabling function for intrinsic motivation; institutional theory integrates these by highlighting reform-activated cultural isomorphism. Empirically, compliance indices explain ten to twenty percent incremental NPL variance in hierarchical regressions, surpassing standalone structural proxies in post-reform subsamples (Efunniyi et al., 2024).</w:t>
      </w:r>
    </w:p>
    <w:p>
      <w:pPr>
        <w:pStyle w:val="BodyText"/>
        <w:spacing w:before="0" w:after="283"/>
        <w:ind w:hanging="0" w:left="0" w:right="0"/>
        <w:rPr>
          <w:rFonts w:ascii="Times New Roman" w:hAnsi="Times New Roman"/>
        </w:rPr>
      </w:pPr>
      <w:r>
        <w:rPr>
          <w:rFonts w:ascii="Times New Roman" w:hAnsi="Times New Roman"/>
        </w:rPr>
        <w:t>Policy recommendations advocate unified CBN-SEC compliance frameworks to mitigate fragmentation, mandatory annual cultural audits aligned with OECD (2015) principles, and incentivised training programmes under the 2023 CBN Guidelines to sustain NPL moderation; managerial implications include board-level key performance indicators tied to compliance metrics. Future research avenues could extend to post-2025 longitudinal data incorporating fintech disruptions and expanded mixed-methods designs to triangulate cultural impacts, thereby advancing emerging-market governance discourse amid evolving regulatory harmonisation.</w:t>
      </w:r>
    </w:p>
    <w:p>
      <w:pPr>
        <w:pStyle w:val="Heading4"/>
        <w:spacing w:lineRule="auto" w:line="276" w:before="0" w:after="283"/>
        <w:rPr>
          <w:rFonts w:ascii="Times New Roman" w:hAnsi="Times New Roman"/>
        </w:rPr>
      </w:pPr>
      <w:r>
        <w:rPr>
          <w:rFonts w:ascii="Times New Roman" w:hAnsi="Times New Roman"/>
        </w:rPr>
        <w:t>2.2.5 Synthesis and Hypothesis Development</w:t>
      </w:r>
    </w:p>
    <w:p>
      <w:pPr>
        <w:pStyle w:val="BodyText"/>
        <w:spacing w:before="0" w:after="283"/>
        <w:ind w:hanging="0" w:left="0" w:right="0"/>
        <w:rPr>
          <w:rFonts w:ascii="Times New Roman" w:hAnsi="Times New Roman"/>
        </w:rPr>
      </w:pPr>
      <w:r>
        <w:rPr>
          <w:rFonts w:ascii="Times New Roman" w:hAnsi="Times New Roman"/>
        </w:rPr>
        <w:t>Synthesising the extant literature, Corporate Governance Indices Theory emerges as a cohesive paradigm for attenuating agency costs within Nigerian deposit money banks (DMBs), particularly in contexts where structural reforms—such as board independence mandates or duality prohibitions—prove insufficient without the embedding of behavioural mechanisms that foster substantive oversight and ethical alignment (Sanusi, 2010). This integrative framework posits that the triad of indices—disclosure, practice, and compliance—operates synergistically to redress informational asymmetries, operational laxities, and regulatory evasions, thereby precipitating more prudent lending behaviours and resilient credit portfolios. Agency theory underpins this synthesis by elucidating how indices constrain managerial opportunism through enhanced monitoring and incentive alignment, while stewardship theory complements it by emphasising intrinsic motivations for long-term value preservation, especially salient in culturally nuanced emerging markets where patronage networks erode formal structures (Donaldson &amp; Davis, 1991; Osemeke &amp; Adegbite, 2016). Institutional theory further enriches the discourse by framing indices as conduits for normative isomorphism, wherein post-2009 reforms activate behavioural compliance amid coercive pressures from the Central Bank of Nigeria (CBN) and mimetic adaptations to global standards (DiMaggio &amp; Powell, 1983). Empirical aggregations across Nigerian studies explicate forty to fifty percent of NPL ratio variance attributable to these indices, with the practice dimension emerging as predominant due to its direct influence on risk stewardship and operational discipline, followed by disclosure in post-reform epochs and compliance as a cultural moderator (Ezeagba, 2024; Kafidipe et al., 2021; Nwoke et al., 2023).</w:t>
      </w:r>
    </w:p>
    <w:p>
      <w:pPr>
        <w:pStyle w:val="BodyText"/>
        <w:spacing w:before="0" w:after="283"/>
        <w:ind w:hanging="0" w:left="0" w:right="0"/>
        <w:rPr>
          <w:rFonts w:ascii="Times New Roman" w:hAnsi="Times New Roman"/>
        </w:rPr>
      </w:pPr>
      <w:r>
        <w:rPr>
          <w:rFonts w:ascii="Times New Roman" w:hAnsi="Times New Roman"/>
        </w:rPr>
        <w:t>This hierarchical dominance reflects contextual contingencies: in pre-2014 regimes characterised by voluntary compliance and enforcement dilution under the Companies and Allied Matters Act 1990, practice indices alone accounted for up to thirty-five percent of NPL moderation through internal process fortification, whereas disclosure gains accrued potency post the CBN Code of Corporate Governance 2014 and Nigerian Code of Corporate Governance 2018, which mandated ≥50% independent directors, board tenure limits, and executive vetting, thereby enhancing signalling credibility and market discipline (Abdulmalik &amp; Ahmad, 2020; OECD, 2023). Compliance, while contributory (ten to fifteen percent indirect effects via reduced violations), mediates broader index interactions, amplifying practice efficacy in stewardship-oriented environments but attenuating in fragmented regulatory milieus. Comparative syntheses from Sub-Saharan Africa reinforce this: South African DMBs under Basel III convergence exhibit practice-led NPL abatements of twenty to twenty-five percent, with disclosure shifts post-harmonisation yielding additive fifteen percent reductions, contrasting Ghana's disclosure-dominant outcomes (twelve to eighteen percent) amid stronger enforcement multiplicity (IMF, 2024; AfDB, 2023). Globally, multi-dimensional indices in OECD jurisdictions explain up to sixty percent of credit risk variance, underscoring behavioural embedding as a universal yet contextually modulated imperative (BIS, 2015).</w:t>
      </w:r>
    </w:p>
    <w:p>
      <w:pPr>
        <w:pStyle w:val="BodyText"/>
        <w:spacing w:before="0" w:after="283"/>
        <w:ind w:hanging="0" w:left="0" w:right="0"/>
        <w:rPr>
          <w:rFonts w:ascii="Times New Roman" w:hAnsi="Times New Roman"/>
        </w:rPr>
      </w:pPr>
      <w:r>
        <w:rPr>
          <w:rFonts w:ascii="Times New Roman" w:hAnsi="Times New Roman"/>
        </w:rPr>
        <w:t>Building upon this foundation, Hypothesis 1 articulates: Stronger composite governance indices—manifested as elevated scores on the Corporate Governance Disclosure Index, Bank Practice Score, and Banking Compliance Index—jointly diminish NPL ratios in Nigerian DMBs, with the practice index exerting the largest marginal effect, disclosure demonstrating augmented post-2014 potency attributable to reform-induced credibility enhancements, and compliance serving as a cultural amplifier, after controlling for bank-specific covariates (size, proxied by logarithm of total assets; capital adequacy, via total capital adequacy ratio) and macroeconomic confounders (gross domestic product growth, inflation rates, oil price volatility). This hypothesis derives from theoretical convergence: agency costs are mitigated through index fortification, stewardship is realised via behavioural alignment, and institutional activation resolves pre-reform inertias. Panel fixed-effects regressions, leveraging one hundred sixty bank-year observations from ten systemic DMBs over 2009–2024, principally interrogate Research Question 1 by estimating index-NPL elasticities with robust standard errors clustered at the bank level, addressing heterogeneity and serial correlation while incorporating lagged predictors to mitigate reverse causality (e.g., NPL surges depleting operational resources). Cross-sectional extensions in 2024, encompassing two hundred thirty-four stakeholder perceptions and semi-structured insights from ten key informants, extrapolate these dynamics to Research Questions 2 through 4, employing Hayes Process Model 4 for bootstrapped mediations (e.g., audit independence via reporting integrity) and difference-in-differences framing for reform shifts.</w:t>
      </w:r>
    </w:p>
    <w:p>
      <w:pPr>
        <w:pStyle w:val="BodyText"/>
        <w:spacing w:before="0" w:after="283"/>
        <w:ind w:hanging="0" w:left="0" w:right="0"/>
        <w:rPr>
          <w:rFonts w:ascii="Times New Roman" w:hAnsi="Times New Roman"/>
        </w:rPr>
      </w:pPr>
      <w:r>
        <w:rPr>
          <w:rFonts w:ascii="Times New Roman" w:hAnsi="Times New Roman"/>
        </w:rPr>
        <w:t>Theoretical contributions extend beyond Nigerian confines to emerging-market governance discourse, challenging structural determinism by evidencing behavioural hierarchies and reform contingencies, thereby synthesising agency-stewardship-institutional tensions into a predictive framework for default risk. Signalling theory illuminates disclosure shifts, positing post-mandate transparency as a credible commitment that attenuates adverse selection in opaque lending markets, with empirical validations revealing regime-split elasticities (pre-2014: β ≈ -0.12, insignificant; post-2016: β ≈ -0.28, p &lt; .01) (Bhatia et al., 2024). Policy ramifications advocate index unification under forthcoming CBN Guidelines 2023 revisions, prioritising practice audits for operational resilience and disclosure harmonisation with Securities and Exchange Commission (SEC) protocols to sustain NPL trajectories below five percent amid economic shocks. Future avenues include dynamic panel generalised method of moments estimations for endogeneity robustness and post-2025 longitudinal expansions incorporating climate risk disclosures, further disentangling index interdependencies in evolving institutional voids.</w:t>
      </w:r>
    </w:p>
    <w:p>
      <w:pPr>
        <w:pStyle w:val="Normal"/>
        <w:bidi w:val="0"/>
        <w:jc w:val="left"/>
        <w:rPr>
          <w:b/>
          <w:bCs/>
        </w:rPr>
      </w:pPr>
      <w:r>
        <w:rPr>
          <w:b/>
          <w:bCs/>
        </w:rPr>
        <w:t>Theoretical Framework</w:t>
      </w:r>
    </w:p>
    <w:p>
      <w:pPr>
        <w:pStyle w:val="Normal"/>
        <w:bidi w:val="0"/>
        <w:jc w:val="left"/>
        <w:rPr>
          <w:rFonts w:ascii="Times New Roman" w:hAnsi="Times New Roman"/>
        </w:rPr>
      </w:pPr>
      <w:r>
        <w:rPr>
          <w:rFonts w:ascii="Times New Roman" w:hAnsi="Times New Roman"/>
        </w:rPr>
      </w:r>
    </w:p>
    <w:p>
      <w:pPr>
        <w:pStyle w:val="Normal"/>
        <w:bidi w:val="0"/>
        <w:spacing w:lineRule="auto" w:line="240"/>
        <w:jc w:val="left"/>
        <w:rPr>
          <w:b/>
          <w:bCs/>
        </w:rPr>
      </w:pPr>
      <w:r>
        <w:rPr>
          <w:rFonts w:ascii="Times New Roman" w:hAnsi="Times New Roman"/>
          <w:b/>
          <w:bCs/>
        </w:rPr>
        <w:t>1.5.1 Agency Theory</w:t>
      </w:r>
    </w:p>
    <w:p>
      <w:pPr>
        <w:pStyle w:val="Normal"/>
        <w:bidi w:val="0"/>
        <w:spacing w:lineRule="auto" w:line="240"/>
        <w:jc w:val="left"/>
        <w:rPr>
          <w:rFonts w:ascii="Times New Roman" w:hAnsi="Times New Roman"/>
        </w:rPr>
      </w:pPr>
      <w:r>
        <w:rPr>
          <w:rFonts w:ascii="Times New Roman" w:hAnsi="Times New Roman"/>
        </w:rPr>
      </w:r>
    </w:p>
    <w:p>
      <w:pPr>
        <w:pStyle w:val="BodyText"/>
        <w:bidi w:val="0"/>
        <w:spacing w:lineRule="auto" w:line="240"/>
        <w:jc w:val="left"/>
        <w:rPr>
          <w:rFonts w:ascii="Times New Roman" w:hAnsi="Times New Roman"/>
        </w:rPr>
      </w:pPr>
      <w:r>
        <w:rPr>
          <w:rFonts w:ascii="Times New Roman" w:hAnsi="Times New Roman"/>
        </w:rPr>
        <w:t>Agency theory delineates the intrinsic conflicts emergent from the separation of ownership and control, wherein principals—encompassing shareholders and depositors—delegate authority to agents, such as executive managers and board directors, whose divergent interests, compounded by informational asymmetries and bounded rationality, engender opportunistic behaviours that prioritise private benefits over collective welfare (Jensen &amp; Meckling, 1976). These agency problems manifest through moral hazard, wherein agents exploit delegated discretion post-contract, and adverse selection, arising from pre-contractual information concealment, necessitating costly monitoring, bonding, and residual loss mechanisms to realign incentives and attenuate inefficiencies (Eisenhardt, 1989). In the banking sector, characterised by opaque asset structures, high leverage ratios, and deposit insurance distortions, agency costs amplify exponentially; managers may engage in insider lending to connected parties, pursue excessive risk-taking for short-term performance metrics, or misallocate assets towards speculative ventures, thereby eroding capital buffers, inflating provisioning requirements, and precipitating systemic fragilities that culminate in non-performing loan (NPL) escalations and institutional insolvencies (Shleifer &amp; Vishny, 1997; Laeven &amp; Levine, 2009).</w:t>
      </w:r>
    </w:p>
    <w:p>
      <w:pPr>
        <w:pStyle w:val="BodyText"/>
        <w:spacing w:lineRule="auto" w:line="240"/>
        <w:ind w:hanging="0" w:left="0" w:right="0"/>
        <w:rPr>
          <w:rFonts w:ascii="Times New Roman" w:hAnsi="Times New Roman"/>
        </w:rPr>
      </w:pPr>
      <w:r>
        <w:rPr>
          <w:rFonts w:ascii="Times New Roman" w:hAnsi="Times New Roman"/>
        </w:rPr>
        <w:t>Effective corporate governance emerges as a pivotal corrective apparatus within this paradigm, deploying structural and behavioural safeguards—board vigilance, transparent disclosure mandates, audit committee autonomy, and stringent compliance protocols—to impose disciplinary constraints, mitigate informational rents, and foster incentive compatibility through performance-contingent compensation and reputational sanctions (Fama &amp; Jensen, 1983). Empirical validations underscore that robust governance attenuates agency-induced credit risks; for instance, board independence reduces managerial entrenchment, while disclosure regimes enable market-based monitoring, collectively diminishing NPL ratios by curbing moral hazard in loan origination and recovery processes (Bushman &amp; Smith, 2003). In emerging markets, where ownership concentration often coalesces with political connectedness, agency conflicts extend beyond traditional principal-agent dyads to encompass multiple principals (e.g., regulators, minority shareholders, and depositors), exacerbating enforcement challenges and amplifying the salience of governance indices as bonding devices (Young et al., 2008).</w:t>
      </w:r>
    </w:p>
    <w:p>
      <w:pPr>
        <w:pStyle w:val="BodyText"/>
        <w:spacing w:lineRule="auto" w:line="240"/>
        <w:ind w:hanging="0" w:left="0" w:right="0"/>
        <w:rPr>
          <w:rFonts w:ascii="Times New Roman" w:hAnsi="Times New Roman"/>
        </w:rPr>
      </w:pPr>
      <w:r>
        <w:rPr>
          <w:rFonts w:ascii="Times New Roman" w:hAnsi="Times New Roman"/>
        </w:rPr>
        <w:t>Applied to Nigerian deposit money banks (DMBs), agency theory illuminates the entrenched governance erosions that have perpetuated recurrent crises, including the 2009 banking upheaval where NPL ratios exceeded thirty-seven percent amid insider abuses and the consolidation of over four hundred twenty-five institutional failures since 1988 (Sanusi, 2010; Udo, 2020). Post-2009 reforms—encompassing the Central Bank of Nigeria (CBN) Code of Corporate Governance 2014, the Nigerian Code of Corporate Governance 2018, the Companies and Allied Matters Act 2020, and the CBN Guidelines 2023—represent institutional responses to these agency pathologies, mandating board tenure limits, minimum independent director quotas (≥ fifty percent), and executive vetting to constrain opportunistic lending. This theoretical lens directly underpins Research Question 1 by conceptualising corporate governance indices—the Corporate Governance Disclosure Index, Bank Practice Score, and Banking Compliance Index—as modulators of NPL ratios, operationalised through panel fixed-effects regressions on one hundred sixty bank-year observations (2009–2024), controlling for bank size (logarithm of total assets), capital adequacy (total capital adequacy ratio), and macroeconomic covariates (gross domestic product growth, inflation, and oil prices) to isolate agency cost reductions net of exogenous shocks.</w:t>
      </w:r>
    </w:p>
    <w:p>
      <w:pPr>
        <w:pStyle w:val="BodyText"/>
        <w:spacing w:lineRule="auto" w:line="240"/>
        <w:ind w:hanging="0" w:left="0" w:right="0"/>
        <w:rPr>
          <w:rFonts w:ascii="Times New Roman" w:hAnsi="Times New Roman"/>
        </w:rPr>
      </w:pPr>
      <w:r>
        <w:rPr>
          <w:rFonts w:ascii="Times New Roman" w:hAnsi="Times New Roman"/>
        </w:rPr>
        <w:t>Correspondingly, agency theory informs Research Question 2 by positing audit committee independence as a mediation mechanism that enhances financial reporting integrity, thereby curtailing managerial discretion in loan classification and provisioning; bootstrapped mediation analyses (Hayes Process Model 4) on two hundred thirty-four insider perceptions in 2024 quantify this pathway, revealing partial mediation wherein independent audits attenuate information asymmetries and reduce NPL ratios. Research Question 3 leverages agency principles in a difference-in-differences framing, hypothesising a shift from pre-reform insignificance (2009–2014) to post-reform negative elasticity (2016–2024) in disclosure-NPL linkages, attributable to CBN-mandated credibility enhancements that impose bonding costs on opaque agents. Finally, Research Question 4 extends the paradigm to regulatory multiplicity, where fragmented oversight (CBN, Securities and Exchange Commission, Nigeria Deposit Insurance Corporation) heightens agency tensions, with perceived harmonisation improvements (2020–2025) predicted to yield NPL declines (β &lt; 0, p &lt; .05) by strengthening principal enforcement capacities amid economic shocks like currency devaluation.</w:t>
      </w:r>
    </w:p>
    <w:p>
      <w:pPr>
        <w:pStyle w:val="BodyText"/>
        <w:spacing w:lineRule="auto" w:line="240"/>
        <w:ind w:hanging="0" w:left="0" w:right="0"/>
        <w:rPr>
          <w:rFonts w:ascii="Times New Roman" w:hAnsi="Times New Roman"/>
        </w:rPr>
      </w:pPr>
      <w:r>
        <w:rPr>
          <w:rFonts w:ascii="Times New Roman" w:hAnsi="Times New Roman"/>
        </w:rPr>
        <w:t>This agency perspective contrasts sharply with stewardship theory, which assumes intrinsic managerial alignment and long-term orientation, positing that empowerment rather than monitoring optimises performance (Donaldson &amp; Davis, 1991); in Nigerian DMBs, patronage networks and cultural norms may foster stewardship in select institutions yet exacerbate agency opportunism in others, underscoring the necessity for hybrid governance models (Osemeke &amp; Adegbite, 2016). Institutional theory further complements by embedding agency conflicts within coercive regulatory pressures and normative isomorphic forces, where reform activation post-2009 addresses enforcement voids but contends with mimetic compliance in patronage-laden environments (DiMaggio &amp; Powell, 1983). Empirical hierarchies in Nigerian contexts affirm agency dominance in explaining forty to fifty percent of NPL variance through governance indices, with practice emerging pre-eminent in countering moral hazard (Kafidipe et al., 2021; Ezeagba, 2024). Comparative insights from Ghana and South Africa highlight agency attenuation via behavioural indices in commodity-dependent regimes, where Basel III convergence reinforces monitoring without stifling stewardship (IMF, 2024; OECD, 2023). Thus, agency theory not only frames the interdependencies between governance mechanisms and default risk but also contributes to theoretical synthesis by elucidating reform-induced incentive realignments, yielding practicable insights for regulatory harmonisation and audit autonomy in fragile banking systems (Abdulmalik &amp; Ahmad, 2020; Olojede et al., 2020; Nwoke et al., 2023).</w:t>
      </w:r>
    </w:p>
    <w:p>
      <w:pPr>
        <w:pStyle w:val="Normal"/>
        <w:bidi w:val="0"/>
        <w:spacing w:lineRule="auto" w:line="240"/>
        <w:jc w:val="left"/>
        <w:rPr>
          <w:rFonts w:ascii="Times New Roman" w:hAnsi="Times New Roman"/>
        </w:rPr>
      </w:pPr>
      <w:r>
        <w:rPr>
          <w:rFonts w:ascii="Times New Roman" w:hAnsi="Times New Roman"/>
        </w:rPr>
      </w:r>
    </w:p>
    <w:p>
      <w:pPr>
        <w:pStyle w:val="Heading3"/>
        <w:numPr>
          <w:ilvl w:val="2"/>
          <w:numId w:val="1"/>
        </w:numPr>
        <w:bidi w:val="0"/>
        <w:spacing w:lineRule="auto" w:line="240"/>
        <w:ind w:hanging="0" w:left="0"/>
        <w:jc w:val="left"/>
        <w:rPr>
          <w:rFonts w:ascii="Times New Roman" w:hAnsi="Times New Roman"/>
        </w:rPr>
      </w:pPr>
      <w:r>
        <w:rPr>
          <w:rFonts w:ascii="Times New Roman" w:hAnsi="Times New Roman"/>
          <w:sz w:val="24"/>
          <w:szCs w:val="24"/>
        </w:rPr>
        <w:t>1.5.2 Stewardship Theory</w:t>
      </w:r>
    </w:p>
    <w:p>
      <w:pPr>
        <w:pStyle w:val="BodyText"/>
        <w:spacing w:lineRule="auto" w:line="240"/>
        <w:ind w:hanging="0" w:left="0" w:right="0"/>
        <w:rPr>
          <w:rFonts w:ascii="Times New Roman" w:hAnsi="Times New Roman"/>
        </w:rPr>
      </w:pPr>
      <w:r>
        <w:rPr>
          <w:rFonts w:ascii="Times New Roman" w:hAnsi="Times New Roman"/>
        </w:rPr>
        <w:t>Stewardship theory provides a contrapuntal framework to the principal-agent paradigm, positing that executives, when afforded trust, autonomy, and mechanisms for long-term incentive alignment, function as intrinsically motivated stewards who prioritise collective organisational objectives over narrow self-interest, thereby engendering proactive value creation and risk attenuation (Davis et al., 1997). This perspective diverges from agency theory's emphasis on extrinsic controls and adversarial monitoring by advocating collaborative governance architectures—encompassing independent audit committees, empowered board oversight, and performance-contingent remuneration—that cultivate psychological ownership, intrinsic motivation, and ethical normative commitments, ultimately bolstering operational integrity and prudent risk management practices (Donaldson &amp; Davis, 1991). Central to stewardship theory is the recognition of managerial identification with institutional missions, wherein empowerment mitigates opportunism not through punitive sanctions but via relational contracts that align personal fulfilment with organisational resilience, particularly salient in environments characterised by high uncertainty and informational complexity.</w:t>
      </w:r>
    </w:p>
    <w:p>
      <w:pPr>
        <w:pStyle w:val="BodyText"/>
        <w:spacing w:lineRule="auto" w:line="240"/>
        <w:ind w:hanging="0" w:left="0" w:right="0"/>
        <w:rPr>
          <w:rFonts w:ascii="Times New Roman" w:hAnsi="Times New Roman"/>
        </w:rPr>
      </w:pPr>
      <w:r>
        <w:rPr>
          <w:rFonts w:ascii="Times New Roman" w:hAnsi="Times New Roman"/>
        </w:rPr>
        <w:t>Within the Nigerian deposit money banking (DMB) sector, stewardship theory elucidates the behavioural underpinnings of governance efficacy amid entrenched institutional challenges, including patronage networks, regulatory fragmentation, and post-crisis reform trajectories. Post-2009 upheavals, which precipitated non-performing loan (NPL) ratios exceeding thirty-seven percent and systemic consolidations, underscored the limitations of structural reforms absent behavioural alignment; stewardship theory thus illuminates how empowered governance entities—such as audit committees mandated to comprise at least fifty percent independent directors under the Central Bank of Nigeria (CBN) Code of Corporate Governance 2014—foster a culture of integrity and accountability (Adegbite, 2014). Empirical applications in emerging markets affirm that stewardship-oriented boards, characterised by trust-based delegation and ethical norm internalisation, attenuate moral hazard in lending decisions by prioritising long-term stakeholder value over short-term speculative gains, with Nigerian studies reporting stewardship proxies (e.g., board tenure stability and committee autonomy) associated with NPL reductions of eight to twelve percent in reformed institutions (Olojede et al., 2020). This theoretical lens gains particular traction in Nigeria's commodity-dependent economy, where macroeconomic volatilities—such as oil price fluctuations and inflationary pressures—amplify the need for steward-like managerial foresight in credit risk underwriting and portfolio diversification.</w:t>
      </w:r>
    </w:p>
    <w:p>
      <w:pPr>
        <w:pStyle w:val="BodyText"/>
        <w:spacing w:lineRule="auto" w:line="240"/>
        <w:ind w:hanging="0" w:left="0" w:right="0"/>
        <w:rPr>
          <w:rFonts w:ascii="Times New Roman" w:hAnsi="Times New Roman"/>
        </w:rPr>
      </w:pPr>
      <w:r>
        <w:rPr>
          <w:rFonts w:ascii="Times New Roman" w:hAnsi="Times New Roman"/>
        </w:rPr>
        <w:t>Stewardship theory directly informs the thesis's research architecture by complementing Research Question 2, which interrogates the extent to which audit committee independence diminishes 2024 NPL ratios, positing that this relationship is partially mediated by enhanced financial reporting integrity as perceived by internal stakeholders. Through the lens of stewardship, independent audit committees serve not merely as monitoring appendages but as empowerment hubs that engender psychological ownership among executives, thereby elevating reporting transparency and curbing opportunistic distortions that precipitate loan defaults (Donaldson &amp; Davis, 1991). Bootstrapped mediation analyses, drawing on two hundred thirty-four cross-sectional perceptions from ten systemic DMBs, operationalise this pathway, anticipating a significant indirect effect (β &lt; 0, p &lt; .05) wherein stewardship dynamics transform independence into substantive integrity gains, aligning with Hayes Process Model 4 specifications. Furthermore, stewardship theory extends to Research Question 4 by elucidating how perceived improvements in regulatory clarity—stemming from CBN-Securities and Exchange Commission (SEC) harmonisation initiatives between 2020 and 2025—nurture stewardship behaviours, enabling managers to navigate economic shocks (e.g., currency devaluation and inflation surges) with proactive compliance and adaptive risk strategies, rather than reactive evasion (Nwoke et al., 2023).</w:t>
      </w:r>
    </w:p>
    <w:p>
      <w:pPr>
        <w:pStyle w:val="BodyText"/>
        <w:spacing w:lineRule="auto" w:line="240"/>
        <w:ind w:hanging="0" w:left="0" w:right="0"/>
        <w:rPr>
          <w:rFonts w:ascii="Times New Roman" w:hAnsi="Times New Roman"/>
        </w:rPr>
      </w:pPr>
      <w:r>
        <w:rPr>
          <w:rFonts w:ascii="Times New Roman" w:hAnsi="Times New Roman"/>
        </w:rPr>
        <w:t>Theoretical synthesis with agency and institutional paradigms enriches stewardship's explanatory power: while agency theory delineates conflict mitigation through controls, stewardship emphasises alignment via empowerment, and institutional theory contextualises these within Nigeria's coercive (e.g., CBN mandates under the Companies and Allied Matters Act 2020) and normative (e.g., Nigerian Code of Corporate Governance 2018) pressures (Scott, 2014). Comparative insights from South Africa, where stewardship-infused governance post-Basel III convergence has yielded NPL moderations through empowered risk committees, contrast with Ghana's slower stewardship adoption amid persistent patronage, highlighting institutional voids as moderators (IMF, 2024; AfDB, 2023). In the Nigerian context, stewardship counters cultural-institutional subversion of formal structures, as evidenced by post-2014 reforms activating ethical adjudication in boardrooms previously dominated by owner-manager entrenchment (Osemeke &amp; Adegbite, 2016). This study contributes to stewardship scholarship by quantifying its mediating role in governance-NPL linkages via mixed-methods integration—longitudinal panel fixed-effects for baseline alignment and cross-sectional semi-structured interviews (n = 10) for qualitative depth on stewardship perceptions—thereby addressing underexplored hierarchies in emerging-market banking.</w:t>
      </w:r>
    </w:p>
    <w:p>
      <w:pPr>
        <w:pStyle w:val="BodyText"/>
        <w:spacing w:lineRule="auto" w:line="240"/>
        <w:ind w:hanging="0" w:left="0" w:right="0"/>
        <w:rPr>
          <w:rFonts w:ascii="Times New Roman" w:hAnsi="Times New Roman"/>
        </w:rPr>
      </w:pPr>
      <w:r>
        <w:rPr>
          <w:rFonts w:ascii="Times New Roman" w:hAnsi="Times New Roman"/>
        </w:rPr>
        <w:t>Policy and managerial implications derive from stewardship's emphasis on empowerment: recommendations advocate CBN guidelines mandating stewardship training modules, long-term incentive schemes tied to NPL performance, and audit committee charters that prioritise collaborative oversight, fostering resilience amid the 2023 CBN Guidelines on sustainable banking. Future research avenues include longitudinal stewardship tracking post-2025 data and cross-national comparisons to disentangle cultural moderators, advancing theoretical robustness in institutional theory hybrids.</w:t>
      </w:r>
    </w:p>
    <w:p>
      <w:pPr>
        <w:pStyle w:val="Normal"/>
        <w:bidi w:val="0"/>
        <w:spacing w:lineRule="auto" w:line="240"/>
        <w:jc w:val="left"/>
        <w:rPr>
          <w:rFonts w:ascii="Times New Roman" w:hAnsi="Times New Roman"/>
        </w:rPr>
      </w:pPr>
      <w:r>
        <w:rPr>
          <w:rFonts w:ascii="Times New Roman" w:hAnsi="Times New Roman"/>
        </w:rPr>
      </w:r>
    </w:p>
    <w:p>
      <w:pPr>
        <w:pStyle w:val="Normal"/>
        <w:bidi w:val="0"/>
        <w:spacing w:lineRule="auto" w:line="240"/>
        <w:jc w:val="left"/>
        <w:rPr>
          <w:rFonts w:ascii="Times New Roman" w:hAnsi="Times New Roman"/>
        </w:rPr>
      </w:pPr>
      <w:r>
        <w:rPr>
          <w:rFonts w:ascii="Times New Roman" w:hAnsi="Times New Roman"/>
        </w:rPr>
      </w:r>
    </w:p>
    <w:p>
      <w:pPr>
        <w:pStyle w:val="Heading3"/>
        <w:numPr>
          <w:ilvl w:val="2"/>
          <w:numId w:val="1"/>
        </w:numPr>
        <w:bidi w:val="0"/>
        <w:spacing w:lineRule="auto" w:line="240"/>
        <w:ind w:hanging="0" w:left="0"/>
        <w:jc w:val="left"/>
        <w:rPr>
          <w:rFonts w:ascii="Times New Roman" w:hAnsi="Times New Roman"/>
        </w:rPr>
      </w:pPr>
      <w:r>
        <w:rPr>
          <w:rFonts w:ascii="Times New Roman" w:hAnsi="Times New Roman"/>
          <w:sz w:val="24"/>
          <w:szCs w:val="24"/>
        </w:rPr>
        <w:t>1.5.3 Institutional Theory</w:t>
      </w:r>
    </w:p>
    <w:p>
      <w:pPr>
        <w:pStyle w:val="BodyText"/>
        <w:spacing w:lineRule="auto" w:line="240"/>
        <w:ind w:hanging="0" w:left="0" w:right="0"/>
        <w:rPr>
          <w:rFonts w:ascii="Times New Roman" w:hAnsi="Times New Roman"/>
        </w:rPr>
      </w:pPr>
      <w:r>
        <w:rPr>
          <w:rFonts w:ascii="Times New Roman" w:hAnsi="Times New Roman"/>
        </w:rPr>
        <w:t>Institutional theory posits that organizational structures and practices emerge not solely from internal efficiency imperatives but as adaptive responses to multifaceted external pressures, delineated into three isomorphic mechanisms: coercive (stemming from regulatory mandates and legal enforcement), mimetic (arising from imitation of successful peers amid uncertainty), and normative (derived from professional standards and socialization processes) (DiMaggio &amp; Powell, 1983; Scott, 2014). These forces compel entities to conform to prevailing institutional logics, thereby conferring legitimacy, resource access, and survival advantages, particularly in environments characterized by ambiguity or volatility. In emerging economies, where institutional voids—such as regulatory fragmentation, enforcement inconsistencies, and information asymmetries—predominate, firms often pursue isomorphic strategies to mitigate legitimacy deficits and operational risks, especially within crisis-prone sectors like banking (Khanna &amp; Palepu, 2010).</w:t>
      </w:r>
    </w:p>
    <w:p>
      <w:pPr>
        <w:pStyle w:val="BodyText"/>
        <w:spacing w:lineRule="auto" w:line="240"/>
        <w:ind w:hanging="0" w:left="0" w:right="0"/>
        <w:rPr>
          <w:rFonts w:ascii="Times New Roman" w:hAnsi="Times New Roman"/>
        </w:rPr>
      </w:pPr>
      <w:r>
        <w:rPr>
          <w:rFonts w:ascii="Times New Roman" w:hAnsi="Times New Roman"/>
        </w:rPr>
        <w:t>Within the Nigerian deposit money banking (DMB) sector, institutional theory illuminates the trajectory from pre-reform governance inertia, marked by lax oversight and elevated non-performing loan (NPL) ratios exceeding 37 percent during the 2009 crisis, to post-reform institutional activation between 2016 and 2024 (Central Bank of Nigeria [CBN], 2010; Natufe &amp; Evbayiro-Osagie, 2023). Coercive isomorphism manifests prominently through sequential regulatory interventions, including the CBN Code of Corporate Governance 2014, which mandated board independence and risk management committees; the Nigerian Code of Corporate Governance (NCCG) 2018, emphasizing stakeholder engagement and transparency; the Companies and Allied Matters Act (CAMA) 2020, introducing digital governance provisions and enhanced director accountability; and the CBN Guidelines 2023, reinforcing executive vetting and disclosure protocols (CBN, 2014; Financial Reporting Council of Nigeria, 2018; National Assembly, 2020; CBN, 2023). These mandates have compelled DMBs to restructure board compositions—enforcing tenure limits not exceeding three terms of five years and requiring at least 50 percent independent directors—thereby attenuating agency conflicts and precipitating declines in NPL ratios through heightened accountability (Adegbite, 2015).</w:t>
      </w:r>
    </w:p>
    <w:p>
      <w:pPr>
        <w:pStyle w:val="BodyText"/>
        <w:spacing w:lineRule="auto" w:line="240"/>
        <w:ind w:hanging="0" w:left="0" w:right="0"/>
        <w:rPr>
          <w:rFonts w:ascii="Times New Roman" w:hAnsi="Times New Roman"/>
        </w:rPr>
      </w:pPr>
      <w:r>
        <w:rPr>
          <w:rFonts w:ascii="Times New Roman" w:hAnsi="Times New Roman"/>
        </w:rPr>
        <w:t>Mimetic pressures further amplify this transformation, as Nigerian DMBs emulate global best practices amid domestic uncertainties, particularly converging toward Basel III capital and liquidity frameworks to signal resilience to international investors and rating agencies (Basel Committee on Banking Supervision, 2011). This imitation is evidenced in the adoption of stress testing and countercyclical buffers, which have normalized risk management protocols and contributed to NPL stabilization post-2016. Normative isomorphism complements these dynamics via professionalization initiatives, such as certifications from the Chartered Institute of Bankers of Nigeria and alignment with International Financial Reporting Standards (IFRS), fostering a cadre of governance-savvy executives who internalize ethical disclosure norms (Olojede et al., 2020). Correspondingly, these intertwined mechanisms have engendered a legitimacy-driven governance ecosystem, wherein compliance yields not merely regulatory adherence but tangible performance outcomes, including reduced default risks.</w:t>
      </w:r>
    </w:p>
    <w:p>
      <w:pPr>
        <w:pStyle w:val="BodyText"/>
        <w:spacing w:lineRule="auto" w:line="240"/>
        <w:ind w:hanging="0" w:left="0" w:right="0"/>
        <w:rPr>
          <w:rFonts w:ascii="Times New Roman" w:hAnsi="Times New Roman"/>
        </w:rPr>
      </w:pPr>
      <w:r>
        <w:rPr>
          <w:rFonts w:ascii="Times New Roman" w:hAnsi="Times New Roman"/>
        </w:rPr>
        <w:t>Comparative institutional analyses reinforce this framework's applicability. In OECD jurisdictions, post-2008 financial crisis reforms—exemplified by the United Kingdom's Walker Review (2009) and the European Union's Capital Requirements Directive IV (2013)—illustrate coercive harmonization's efficacy in curbing systemic vulnerabilities, with empirical studies reporting NPL reductions of up to 15 percent attributable to enhanced disclosure regimes (Financial Services Authority, 2010; OECD, 2023). Analogously, South Africa's King IV Report (2016) and Ghana's Corporate Governance Directive (2019) highlight mimetic and normative pathways in African emerging markets, where regulatory convergence has mitigated institutional voids and lowered loan delinquencies by fostering cross-border benchmarking (Institute of Directors in Southern Africa, 2016; Bank of Ghana, 2019). These parallels underscore Nigeria's fragmented regulatory landscape—spanning the CBN, Securities and Exchange Commission (SEC), and Nigeria Deposit Insurance Corporation (NDIC)—as a fertile ground for institutional theory, contrasting with more cohesive OECD systems yet offering transferable insights for reform efficacy.</w:t>
      </w:r>
    </w:p>
    <w:p>
      <w:pPr>
        <w:pStyle w:val="BodyText"/>
        <w:spacing w:lineRule="auto" w:line="240"/>
        <w:ind w:hanging="0" w:left="0" w:right="0"/>
        <w:rPr>
          <w:rFonts w:ascii="Times New Roman" w:hAnsi="Times New Roman"/>
        </w:rPr>
      </w:pPr>
      <w:r>
        <w:rPr>
          <w:rFonts w:ascii="Times New Roman" w:hAnsi="Times New Roman"/>
        </w:rPr>
        <w:t>Building upon this foundation, institutional theory serves as a pivotal lens for the thesis's research questions. It anchors Research Question 1 by embedding governance indices—encompassing the Corporate Governance Disclosure Index, Practice Index, and Compliance Index—within a coercive-normative continuum, integrating macroeconomic controls (e.g., gross domestic product growth, inflation, and oil price volatility) to isolate institutional effects on NPL ratios across 160 bank-years from 2009 to 2024. For Research Question 3, the theory frames a difference-in-differences approach, delineating the shift from statistically insignificant pre-reform disclosure-NPL linkages (2009–2014) to significantly negative post-reform associations (2016–2024), attributable to coercive mandates that bolster disclosure credibility. Research Question 4 extends this by positing perceived improvements in regulatory clarity from CBN-SEC harmonization (2020–2025) as a normative-coercive driver of NPL declines (β &lt; 0, p &lt; .05), controlling for exogenous shocks like currency devaluation and inflationary pressures. Thus, institutional theory not only synthesizes regulatory evolution but also elucidates pathways for policy-induced legitimacy, challenging stewardship theory's voluntarism while complementing agency theory's focus on monitoring (Meyer &amp; Rowan, 1977; Greenwood et al., 2017). This integration yields nuanced implications for managerial adoption of isomorphic practices and regulatory design in emerging markets.</w:t>
      </w:r>
    </w:p>
    <w:p>
      <w:pPr>
        <w:pStyle w:val="Normal"/>
        <w:bidi w:val="0"/>
        <w:spacing w:lineRule="auto" w:line="240"/>
        <w:jc w:val="left"/>
        <w:rPr>
          <w:rFonts w:ascii="Times New Roman" w:hAnsi="Times New Roman"/>
        </w:rPr>
      </w:pPr>
      <w:r>
        <w:rPr>
          <w:rFonts w:ascii="Times New Roman" w:hAnsi="Times New Roman"/>
        </w:rPr>
      </w:r>
    </w:p>
    <w:p>
      <w:pPr>
        <w:pStyle w:val="Normal"/>
        <w:bidi w:val="0"/>
        <w:spacing w:lineRule="auto" w:line="240"/>
        <w:jc w:val="left"/>
        <w:rPr>
          <w:rFonts w:ascii="Times New Roman" w:hAnsi="Times New Roman"/>
        </w:rPr>
      </w:pPr>
      <w:r>
        <w:rPr>
          <w:rFonts w:ascii="Times New Roman" w:hAnsi="Times New Roman"/>
        </w:rPr>
      </w:r>
    </w:p>
    <w:p>
      <w:pPr>
        <w:pStyle w:val="Heading3"/>
        <w:numPr>
          <w:ilvl w:val="2"/>
          <w:numId w:val="1"/>
        </w:numPr>
        <w:bidi w:val="0"/>
        <w:spacing w:lineRule="auto" w:line="240"/>
        <w:ind w:hanging="0" w:left="0"/>
        <w:jc w:val="left"/>
        <w:rPr>
          <w:rFonts w:ascii="Times New Roman" w:hAnsi="Times New Roman"/>
        </w:rPr>
      </w:pPr>
      <w:r>
        <w:rPr>
          <w:rFonts w:ascii="Times New Roman" w:hAnsi="Times New Roman"/>
          <w:sz w:val="24"/>
          <w:szCs w:val="24"/>
        </w:rPr>
        <w:t>1.5.4 Signalling Theory</w:t>
      </w:r>
    </w:p>
    <w:p>
      <w:pPr>
        <w:pStyle w:val="BodyText"/>
        <w:spacing w:lineRule="auto" w:line="240"/>
        <w:ind w:hanging="0" w:left="0" w:right="0"/>
        <w:rPr>
          <w:rFonts w:ascii="Times New Roman" w:hAnsi="Times New Roman"/>
        </w:rPr>
      </w:pPr>
      <w:r>
        <w:rPr>
          <w:rFonts w:ascii="Times New Roman" w:hAnsi="Times New Roman"/>
        </w:rPr>
        <w:t>Signalling theory posits that entities, particularly firms operating within environments characterised by pronounced information asymmetries, strategically convey credible and verifiable information to external stakeholders through observable and costly actions, thereby attenuating adverse selection risks, bolstering market perceptions, and ultimately diminishing the cost of capital (Spence, 1973; Connelly et al., 2011). In the context of financial institutions, such signals manifest predominantly through voluntary or mandated disclosures, which serve as proxies for underlying governance quality, instilling investor confidence, constraining managerial opportunism, and disciplining excessive risk-taking behaviours that precipitate loan defaults.</w:t>
      </w:r>
    </w:p>
    <w:p>
      <w:pPr>
        <w:pStyle w:val="BodyText"/>
        <w:spacing w:lineRule="auto" w:line="240"/>
        <w:ind w:hanging="0" w:left="0" w:right="0"/>
        <w:rPr>
          <w:rFonts w:ascii="Times New Roman" w:hAnsi="Times New Roman"/>
        </w:rPr>
      </w:pPr>
      <w:r>
        <w:rPr>
          <w:rFonts w:ascii="Times New Roman" w:hAnsi="Times New Roman"/>
        </w:rPr>
        <w:t>Applied to Nigerian deposit money banks (DMBs), signalling theory elucidates the transformative role of enhanced disclosure regimes instituted post-2009 crisis, wherein Central Bank of Nigeria (CBN) mandates—encompassing rigorous executive vetting, board tenure limitations, and a minimum threshold of 50 percent independent directors—elevate disclosure from a perfunctory compliance exercise to a potent mechanism for mitigating agency-induced vulnerabilities (Adegboye, 2020; CBN, 2014). Pre-reform periods (2009–2014) were marked by statistically insignificant associations between disclosure practices and non-performing loan (NPL) ratios, attributable to pervasive opacity that exacerbated information asymmetries and amplified crisis vulnerabilities, as evidenced by NPL ratios exceeding 37 percent during the 2009 banking upheaval (Sanusi, 2014). Conversely, post-reform eras (2016–2024), aligned with the Nigerian Code of Corporate Governance (NCCG) 2018 and Companies and Allied Matters Act (CAMA) 2020, demonstrate a shift to significantly negative correlations, wherein stakeholders interpret heightened transparency as a reliable signal of diminished default risk, thereby fostering a virtuous cycle of reduced funding costs and prudent lending practices.</w:t>
      </w:r>
    </w:p>
    <w:p>
      <w:pPr>
        <w:pStyle w:val="BodyText"/>
        <w:spacing w:lineRule="auto" w:line="240"/>
        <w:ind w:hanging="0" w:left="0" w:right="0"/>
        <w:rPr>
          <w:rFonts w:ascii="Times New Roman" w:hAnsi="Times New Roman"/>
        </w:rPr>
      </w:pPr>
      <w:r>
        <w:rPr>
          <w:rFonts w:ascii="Times New Roman" w:hAnsi="Times New Roman"/>
        </w:rPr>
        <w:t>This signalling dynamic gains further empirical traction when contextualised within Nigeria's idiosyncratic institutional landscape, where historical governance erosions—manifest in over 425 bank failures since 1988—have underscored the perils of asymmetric information (Olojede et al., 2020). For instance, during episodes of acute opacity, such as the pre-2014 era, undisclosed related-party transactions precipitated moral hazard, inflating NPL portfolios; post-reform signals, conversely, compel boards to internalise stakeholder scrutiny, aligning managerial incentives with long-term stability. Comparative analyses from analogous emerging markets reinforce this framework: in India, the adoption of disclosure indices under the Reserve Bank of India's post-2015 reforms yielded a 15–20 percent reduction in NPL ratios over five years, paralleling Nigeria's convergence toward Basel III standards and illustrating how signalling efficacy is contingent upon regulatory credibility (Kafidipe, 2021; Reserve Bank of India, 2022). Similarly, South African banks under the King IV Code (2016) have leveraged disclosure signals to attenuate NPL volatility amid commodity shocks, offering transferable insights for Nigerian policymakers amid oil price fluctuations (Institute of Directors in Southern Africa, 2016).</w:t>
      </w:r>
    </w:p>
    <w:p>
      <w:pPr>
        <w:pStyle w:val="BodyText"/>
        <w:spacing w:lineRule="auto" w:line="240"/>
        <w:ind w:hanging="0" w:left="0" w:right="0"/>
        <w:rPr>
          <w:rFonts w:ascii="Times New Roman" w:hAnsi="Times New Roman"/>
        </w:rPr>
      </w:pPr>
      <w:r>
        <w:rPr>
          <w:rFonts w:ascii="Times New Roman" w:hAnsi="Times New Roman"/>
        </w:rPr>
        <w:t>Signalling theory directly underpins Research Question 3, which interrogates whether the linkage between corporate governance disclosure and NPL ratios transitions from statistical insignificance pre-reform (2009–2014) to a significantly negative post-reform (2016–2024) association, attributable to CBN mandates that imbue disclosure with enhanced credibility. This framing positions disclosure not merely as a static governance attribute but as a reform-activated signal, the potency of which is amplified through institutional coercion, thereby yielding practicable insights for regulatory unification and harmonisation efforts between the CBN and Securities and Exchange Commission (SEC).</w:t>
      </w:r>
    </w:p>
    <w:p>
      <w:pPr>
        <w:pStyle w:val="BodyText"/>
        <w:spacing w:lineRule="auto" w:line="240"/>
        <w:ind w:hanging="0" w:left="0" w:right="0"/>
        <w:rPr>
          <w:rFonts w:ascii="Times New Roman" w:hAnsi="Times New Roman"/>
        </w:rPr>
      </w:pPr>
      <w:r>
        <w:rPr>
          <w:rFonts w:ascii="Times New Roman" w:hAnsi="Times New Roman"/>
        </w:rPr>
        <w:t>Correspondingly, signalling theory intersects with antecedent lenses—agency theory's emphasis on monitoring to curb opportunism, stewardship theory's advocacy for intrinsic alignment, and institutional theory's focus on isomorphic pressures—to enrich the hypothesised governance-NPL interdependencies. For example, while agency theory predicts disclosure as a contractual safeguard against managerial entrenchment, signalling theory extends this by highlighting its perceptual externalities in stakeholder decision-making; stewardship theory, in turn, suggests that proactive signals reflect stewards' commitment to collective welfare, whereas institutional theory frames reform-induced disclosures as mimetic responses to global benchmarks like OECD principles (OECD, 2023). This synthesis informs the mixed-methods architecture: longitudinal panel fixed-effects models for Research Question 1 and Research Question 3 capture temporal shifts in signalling efficacy, while cross-sectional bootstrapped mediation analyses for Research Question 2 and Research Question 4 incorporate perceptual data from 234 stakeholders across 10 DMBs to validate mediated pathways, such as audit committee independence signalling reporting integrity.</w:t>
      </w:r>
    </w:p>
    <w:p>
      <w:pPr>
        <w:pStyle w:val="BodyText"/>
        <w:spacing w:lineRule="auto" w:line="240"/>
        <w:ind w:hanging="0" w:left="0" w:right="0"/>
        <w:rPr>
          <w:rFonts w:ascii="Times New Roman" w:hAnsi="Times New Roman"/>
        </w:rPr>
      </w:pPr>
      <w:r>
        <w:rPr>
          <w:rFonts w:ascii="Times New Roman" w:hAnsi="Times New Roman"/>
        </w:rPr>
        <w:t>This integrated approach not only corroborates extant theories but extends them by embedding signalling mechanisms within Nigeria's reform-laden milieu, contributing novel evidence of coercive-mimetic synergies to institutional theory—wherein CBN mandates coerce disclosure while Basel III convergence induces mimetic adoption—and resolving agency-stewardship tensions through perceptual mediations that reveal context-specific behavioural nuances. Ultimately, these theoretical advancements inform policy imperatives for disclosure enhancement, audit autonomy, and regulatory clarity, positioning Nigerian DMBs to mitigate future NPL escalations amid persistent macroeconomic volatilities.</w:t>
      </w:r>
    </w:p>
    <w:p>
      <w:pPr>
        <w:pStyle w:val="Normal"/>
        <w:bidi w:val="0"/>
        <w:spacing w:lineRule="auto" w:line="240"/>
        <w:jc w:val="left"/>
        <w:rPr>
          <w:rFonts w:ascii="Times New Roman" w:hAnsi="Times New Roman"/>
        </w:rPr>
      </w:pPr>
      <w:r>
        <w:rPr>
          <w:rFonts w:ascii="Times New Roman" w:hAnsi="Times New Roman"/>
        </w:rPr>
      </w:r>
    </w:p>
    <w:p>
      <w:pPr>
        <w:pStyle w:val="Normal"/>
        <w:bidi w:val="0"/>
        <w:spacing w:lineRule="auto" w:line="240"/>
        <w:jc w:val="left"/>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r>
    </w:p>
    <w:p>
      <w:pPr>
        <w:pStyle w:val="Heading3"/>
        <w:numPr>
          <w:ilvl w:val="2"/>
          <w:numId w:val="1"/>
        </w:numPr>
        <w:bidi w:val="0"/>
        <w:ind w:hanging="0" w:left="0"/>
        <w:jc w:val="left"/>
        <w:rPr>
          <w:rFonts w:ascii="Nimbus Roman" w:hAnsi="Nimbus Roman"/>
          <w:sz w:val="24"/>
          <w:szCs w:val="24"/>
        </w:rPr>
      </w:pPr>
      <w:r>
        <w:rPr>
          <w:rFonts w:ascii="Nimbus Roman" w:hAnsi="Nimbus Roman"/>
          <w:sz w:val="24"/>
          <w:szCs w:val="24"/>
        </w:rPr>
        <w:t>2.3 Historical Legacies and Governance Evolution</w:t>
      </w:r>
    </w:p>
    <w:p>
      <w:pPr>
        <w:pStyle w:val="BodyText"/>
        <w:ind w:hanging="0" w:left="0" w:right="0"/>
        <w:rPr/>
      </w:pPr>
      <w:r>
        <w:rPr/>
        <w:t>The historical trajectory of corporate governance frameworks within Nigeria's deposit money banking sector encompasses a complex interplay of pre-colonial indigenous systems, colonial legal impositions, and post-independence regulatory adaptations. These legacies have engendered a fragmented governance environment characterised by weak accountability mechanisms, politically motivated appointments, systemic inefficiencies, and the perpetuation of high non-performing loan ratios, thereby subverting fiscal stability (Elias, 2024; Agamah, 2024; Udo, 2020). Since 1988, the sector has witnessed 425 institutional failures, underscoring how historical discontinuities in governance have propelled default risk, with non-performing loan peaks reaching 37 percent in 2009 and 20 percent in 2017, far exceeding the Central Bank of Nigeria's five percent prudential threshold (Udo, 2020; Nwosu, 2020). A critical segmentation of Nigeria's governance history in the extant literature delineates colonial legacies, pre-1986 government interference, entrenched cronyism, and post-2004 consolidation phases, each exacerbating board inefficiencies and default risk in deposit money banks (Adegbite et al., 2012; Chinweoda et al., 2020). Contemporary scholarship further illuminates how these historical legacies precipitate operational performance deficiencies, risk management lapses, and mediated pathways involving audit committee independence and financial reporting integrity, thereby forging nexuses with disclosure, practice, and compliance indices (Afolabi &amp; Afolabi, 2024; Ojo &amp; Ojo, 2024).</w:t>
      </w:r>
    </w:p>
    <w:p>
      <w:pPr>
        <w:pStyle w:val="BodyText"/>
        <w:ind w:hanging="0" w:left="0" w:right="0"/>
        <w:rPr/>
      </w:pPr>
      <w:r>
        <w:rPr/>
        <w:t>Building upon this foundation, the evolution of governance in Nigerian deposit money banks reflects institutional theory's emphasis on path dependence, wherein historical norms and disruptions shape contemporary regulatory responses and enforcement multiplicity (North, 1990; Scott, 2014). Pre-colonial systems, though adaptive and community-oriented, lacked the scalability required for modern financial intermediation, rendering the sector vulnerable to colonial disruptions and subsequent post-independence fragilities. Correspondingly, colonial impositions introduced formal legal structures that prioritised extractive interests over indigenous accountability, fostering a legacy of distrust in disclosure mechanisms. Post-independence adaptations, marked by state ownership and political interference until the 1986 structural adjustment programme, entrenched cronyism and weakened stewardship incentives, aligning with agency theory's predictions of principal-agent conflicts in environments of asymmetric information (Jensen &amp; Meckling, 1976). The 2004–2005 banking consolidation, intended to enhance capital bases and governance, paradoxically amplified default risks in under-governed institutions, as evidenced by the 2009 crisis (Sanusi, 2010). Recent reforms, including the Central Bank of Nigeria Code of Corporate Governance 2014 and the Nigerian Code of Corporate Governance 2018, represent institutional activations aimed at bridging these historical gaps through mandated disclosure enhancements and board independence, yet their efficacy remains contingent on overcoming entrenched legacies (Central Bank of Nigeria, 2014; Financial Reporting Council of Nigeria, 2018).</w:t>
      </w:r>
    </w:p>
    <w:p>
      <w:pPr>
        <w:pStyle w:val="BodyText"/>
        <w:ind w:hanging="0" w:left="0" w:right="0"/>
        <w:rPr/>
      </w:pPr>
      <w:r>
        <w:rPr/>
        <w:t>Comparative insights from emerging markets underscore Nigeria's unique challenges. In Ghana, post-1990s liberalisation similarly grappled with colonial legacies but achieved greater regulatory harmonisation via the Bank of Ghana's early adoption of Basel-aligned governance codes, resulting in non-performing loan ratios stabilising below 15 percent by 2015 (Bawumia et al., 2008; Quartey &amp; Afful-Mensah, 2014). South Africa's post-apartheid King Reports (I–IV) integrated indigenous ubuntu principles with OECD standards, fostering stewardship-oriented boards and reducing governance-induced defaults more effectively than Nigeria's fragmented approach (Institute of Directors in Southern Africa, 2016; Rossouw et al., 2002). OECD jurisdictions, by contrast, exhibit mature institutional environments where historical path dependencies are mitigated through enforceable compliance indices, yielding median non-performing loan ratios under three percent (OECD, 2023). These parallels highlight how Nigeria's historical discontinuities—absent in more cohesive reforms elsewhere—attenuate the negative linkage between governance indices and non-performing loan ratios (Research Question 1), mediate audit committee independence effects via reporting integrity (Research Question 2), and condition reform-induced shifts in disclosure efficacy (Research Question 3). Moreover, regulatory clarity improvements post-2020 harmonisation between the Central Bank of Nigeria and Securities and Exchange Commission echo Ghanaian successes but grapple with Nigeria's deeper cronyism legacies, potentially moderating non-performing loan declines amid economic shocks (Research Question 4) (Afolabi &amp; Afolabi, 2024).</w:t>
      </w:r>
    </w:p>
    <w:p>
      <w:pPr>
        <w:pStyle w:val="Heading4"/>
        <w:spacing w:before="0" w:after="283"/>
        <w:rPr/>
      </w:pPr>
      <w:r>
        <w:rPr/>
        <w:t>2.3.1 Pre-Colonial Governance Systems</w:t>
      </w:r>
    </w:p>
    <w:p>
      <w:pPr>
        <w:pStyle w:val="BodyText"/>
        <w:ind w:hanging="0" w:left="0" w:right="0"/>
        <w:rPr/>
      </w:pPr>
      <w:r>
        <w:rPr/>
        <w:t>Pre-colonial Nigeria's governance systems were inherently diverse and decentralised, deeply embedded within the cultural and social fabrics of major ethnic groups, including the Hausa-Fulani, Yoruba, and Igbo (Elias, 2024). These systems relied on customary laws, monarchies, and communal structures to regulate economic activities, resolve disputes, and allocate resources through effective, context-specific mechanisms (Altin, 2024). In the Yoruba Oba system, for instance, chiefs and councils provided oversight of trade, while Igbo communities employed age-grade associations and kinship networks to enforce accountability in business dealings (Elias, 2024). Business operations were predominantly family-based, organised through guilds and community cooperatives, underpinned by oral agreements, social norms, trust, reciprocity, and a prioritisation of collective welfare over individual profit (Nwaukwa, 2024).</w:t>
      </w:r>
    </w:p>
    <w:p>
      <w:pPr>
        <w:pStyle w:val="BodyText"/>
        <w:ind w:hanging="0" w:left="0" w:right="0"/>
        <w:rPr/>
      </w:pPr>
      <w:r>
        <w:rPr/>
        <w:t>As Elias (2024) elucidates, these proto-governance structures, though informal by Western standards, were legitimate, adaptive, and instrumental in fostering community oversight via reputational sanctions and accountability mechanisms. Their localised nature, however, precluded the development of formalised corporate structures or the scalability necessary for modern financial systems, thereby limiting integration and exposing them to colonial disruptions (Adegbite et al., 2012). This discontinuity laid the groundwork for subsequent governance challenges, as the failure to build upon indigenous accountability mechanisms rendered the banking sector susceptible to mismanagement and elevated non-performing loan ratios. The pre-colonial emphasis on communal trust starkly contrasts with modern disclosure and compliance indices in formal banking practices, where the absence of cultural norms against fraud concealment has precipitated risk management failures (Ojo &amp; Ojo, 2024). Recent studies link these historical gaps to contemporary audit committee weaknesses, which mediate limited financial reporting integrity and exacerbate default risks (Freeman, 1984; Agamah, 2024).</w:t>
      </w:r>
    </w:p>
    <w:p>
      <w:pPr>
        <w:pStyle w:val="BodyText"/>
        <w:ind w:hanging="0" w:left="0" w:right="0"/>
        <w:rPr/>
      </w:pPr>
      <w:r>
        <w:rPr/>
        <w:t>From a theoretical standpoint, pre-colonial collective welfare orientations parallel stakeholder theory's advocacy for broader accountability beyond shareholders, yet colonial individualism eroded these norms, leading to concentrated ownership in current bank practices that overrides inclusive governance (Freeman, 1984; Agamah, 2024). Institutional theory further posits that such path-dependent legacies constrain regulatory reforms, as informal sanctions give way to formal but weakly enforced compliance indices (Scott, 2014). The embryonic corporate governance evident in the 1886 Royal Charter for the Royal Niger Company—revoked in 1899 amid unfair practices—illustrates early accountability failures, subverting trust and risk management precursors in banking (Crowder, 1978; Pearson, 1971). This exploitative foundation precluded robust disclosure indices, aligning with agency theory's warnings of moral hazard in opaque environments (Jensen &amp; Meckling, 1976). Comparatively, pre-colonial systems in South Africa, infused with ubuntu communalism, were more seamlessly integrated into post-colonial governance via the King Reports, enhancing stewardship and mitigating non-performing loans through culturally resonant disclosure practices (West, 2006; Institute of Directors in Southern Africa, 2016). In Nigeria, the unbridged chasm between pre-colonial informality and post-colonial formality attenuates governance indices' modulation of non-performing loan ratios (Research Question 1), undermines mediation via audit committee independence (Research Question 2), and hinders reform-driven shifts in disclosure credibility (Research Question 3). Regulatory harmonisation efforts post-2020 must thus reckon with these legacies to foster clarity-induced non-performing loan declines (Research Question 4), lest historical discontinuities perpetuate institutional voids (Khanna &amp; Palepu, 2010; Ojo &amp; Ojo, 2024).</w:t>
      </w:r>
    </w:p>
    <w:p>
      <w:pPr>
        <w:sectPr>
          <w:footerReference w:type="even" r:id="rId6"/>
          <w:footerReference w:type="default" r:id="rId7"/>
          <w:footerReference w:type="first" r:id="rId8"/>
          <w:type w:val="nextPage"/>
          <w:pgSz w:w="12240" w:h="15840"/>
          <w:pgMar w:left="1134" w:right="1134" w:gutter="0" w:header="0" w:top="1134" w:footer="0" w:bottom="1134"/>
          <w:pgNumType w:fmt="decimal"/>
          <w:formProt w:val="false"/>
          <w:textDirection w:val="lrTb"/>
          <w:docGrid w:type="default" w:linePitch="312" w:charSpace="0"/>
        </w:sectPr>
        <w:pStyle w:val="Normal"/>
        <w:bidi w:val="0"/>
        <w:jc w:val="left"/>
        <w:rPr/>
      </w:pPr>
      <w:r>
        <w:rPr/>
      </w:r>
    </w:p>
    <w:p>
      <w:pPr>
        <w:pStyle w:val="Normal"/>
        <w:bidi w:val="0"/>
        <w:jc w:val="left"/>
        <w:rPr/>
      </w:pPr>
      <w:r>
        <w:rPr/>
      </w:r>
    </w:p>
    <w:p>
      <w:pPr>
        <w:pStyle w:val="Normal"/>
        <w:bidi w:val="0"/>
        <w:jc w:val="left"/>
        <w:rPr>
          <w:b/>
          <w:bCs/>
        </w:rPr>
      </w:pPr>
      <w:r>
        <w:rPr>
          <w:b/>
          <w:bCs/>
        </w:rPr>
        <w:t>Table 2.</w:t>
      </w:r>
      <w:r>
        <w:rPr>
          <w:b/>
          <w:bCs/>
        </w:rPr>
        <w:t>1</w:t>
      </w:r>
      <w:r>
        <w:rPr>
          <w:b/>
          <w:bCs/>
        </w:rPr>
        <w:t>: Evolution of Corporate Governance Regulations in Nigeria and Their Impact on Key Tenets (Pre-Colonial to 2023)</w:t>
      </w:r>
    </w:p>
    <w:p>
      <w:pPr>
        <w:pStyle w:val="Normal"/>
        <w:bidi w:val="0"/>
        <w:jc w:val="left"/>
        <w:rPr>
          <w:sz w:val="20"/>
          <w:szCs w:val="20"/>
        </w:rPr>
      </w:pPr>
      <w:r>
        <w:rPr>
          <w:sz w:val="20"/>
          <w:szCs w:val="20"/>
        </w:rPr>
      </w:r>
    </w:p>
    <w:tbl>
      <w:tblPr>
        <w:tblW w:w="13578" w:type="dxa"/>
        <w:jc w:val="center"/>
        <w:tblInd w:w="0" w:type="dxa"/>
        <w:tblLayout w:type="fixed"/>
        <w:tblCellMar>
          <w:top w:w="0" w:type="dxa"/>
          <w:left w:w="36" w:type="dxa"/>
          <w:bottom w:w="0" w:type="dxa"/>
          <w:right w:w="36" w:type="dxa"/>
        </w:tblCellMar>
      </w:tblPr>
      <w:tblGrid>
        <w:gridCol w:w="2061"/>
        <w:gridCol w:w="2653"/>
        <w:gridCol w:w="3782"/>
        <w:gridCol w:w="5082"/>
      </w:tblGrid>
      <w:tr>
        <w:trPr/>
        <w:tc>
          <w:tcPr>
            <w:tcW w:w="2061" w:type="dxa"/>
            <w:tcBorders/>
          </w:tcPr>
          <w:p>
            <w:pPr>
              <w:pStyle w:val="TableHeading"/>
              <w:tabs>
                <w:tab w:val="clear" w:pos="709"/>
              </w:tabs>
              <w:bidi w:val="0"/>
              <w:rPr>
                <w:sz w:val="20"/>
                <w:szCs w:val="20"/>
              </w:rPr>
            </w:pPr>
            <w:r>
              <w:rPr>
                <w:rFonts w:ascii="Liberation Serif" w:hAnsi="Liberation Serif"/>
                <w:sz w:val="20"/>
                <w:szCs w:val="20"/>
                <w:lang w:val="en-US"/>
              </w:rPr>
              <w:t>Period</w:t>
            </w:r>
          </w:p>
        </w:tc>
        <w:tc>
          <w:tcPr>
            <w:tcW w:w="2653" w:type="dxa"/>
            <w:tcBorders/>
          </w:tcPr>
          <w:p>
            <w:pPr>
              <w:pStyle w:val="TableHeading"/>
              <w:tabs>
                <w:tab w:val="clear" w:pos="709"/>
              </w:tabs>
              <w:bidi w:val="0"/>
              <w:rPr>
                <w:sz w:val="20"/>
                <w:szCs w:val="20"/>
              </w:rPr>
            </w:pPr>
            <w:r>
              <w:rPr>
                <w:rFonts w:ascii="Liberation Serif" w:hAnsi="Liberation Serif"/>
                <w:sz w:val="20"/>
                <w:szCs w:val="20"/>
                <w:lang w:val="en-US"/>
              </w:rPr>
              <w:t>Key Event/Regulation</w:t>
            </w:r>
          </w:p>
        </w:tc>
        <w:tc>
          <w:tcPr>
            <w:tcW w:w="3782" w:type="dxa"/>
            <w:tcBorders/>
          </w:tcPr>
          <w:p>
            <w:pPr>
              <w:pStyle w:val="TableHeading"/>
              <w:tabs>
                <w:tab w:val="clear" w:pos="709"/>
              </w:tabs>
              <w:bidi w:val="0"/>
              <w:rPr>
                <w:sz w:val="20"/>
                <w:szCs w:val="20"/>
              </w:rPr>
            </w:pPr>
            <w:r>
              <w:rPr>
                <w:rFonts w:ascii="Liberation Serif" w:hAnsi="Liberation Serif"/>
                <w:sz w:val="20"/>
                <w:szCs w:val="20"/>
                <w:lang w:val="en-US"/>
              </w:rPr>
              <w:t>Description</w:t>
            </w:r>
          </w:p>
        </w:tc>
        <w:tc>
          <w:tcPr>
            <w:tcW w:w="5082" w:type="dxa"/>
            <w:tcBorders/>
          </w:tcPr>
          <w:p>
            <w:pPr>
              <w:pStyle w:val="TableHeading"/>
              <w:tabs>
                <w:tab w:val="clear" w:pos="709"/>
              </w:tabs>
              <w:bidi w:val="0"/>
              <w:rPr>
                <w:sz w:val="20"/>
                <w:szCs w:val="20"/>
              </w:rPr>
            </w:pPr>
            <w:r>
              <w:rPr>
                <w:rFonts w:ascii="Liberation Serif" w:hAnsi="Liberation Serif"/>
                <w:sz w:val="20"/>
                <w:szCs w:val="20"/>
                <w:lang w:val="en-US"/>
              </w:rPr>
              <w:t>Impact on Corporate Governance Tenets</w:t>
            </w:r>
          </w:p>
        </w:tc>
      </w:tr>
      <w:tr>
        <w:trPr/>
        <w:tc>
          <w:tcPr>
            <w:tcW w:w="2061" w:type="dxa"/>
            <w:tcBorders/>
          </w:tcPr>
          <w:p>
            <w:pPr>
              <w:pStyle w:val="TableContents"/>
              <w:tabs>
                <w:tab w:val="clear" w:pos="709"/>
              </w:tabs>
              <w:bidi w:val="0"/>
              <w:jc w:val="left"/>
              <w:rPr>
                <w:sz w:val="20"/>
                <w:szCs w:val="20"/>
              </w:rPr>
            </w:pPr>
            <w:r>
              <w:rPr>
                <w:rFonts w:ascii="Liberation Serif" w:hAnsi="Liberation Serif"/>
                <w:sz w:val="20"/>
                <w:szCs w:val="20"/>
                <w:lang w:val="en-US"/>
              </w:rPr>
              <w:t>Pre-Colonial</w:t>
            </w:r>
          </w:p>
        </w:tc>
        <w:tc>
          <w:tcPr>
            <w:tcW w:w="2653" w:type="dxa"/>
            <w:tcBorders/>
          </w:tcPr>
          <w:p>
            <w:pPr>
              <w:pStyle w:val="TableContents"/>
              <w:tabs>
                <w:tab w:val="clear" w:pos="709"/>
              </w:tabs>
              <w:bidi w:val="0"/>
              <w:jc w:val="left"/>
              <w:rPr>
                <w:sz w:val="20"/>
                <w:szCs w:val="20"/>
              </w:rPr>
            </w:pPr>
            <w:r>
              <w:rPr>
                <w:rFonts w:ascii="Liberation Serif" w:hAnsi="Liberation Serif"/>
                <w:sz w:val="20"/>
                <w:szCs w:val="20"/>
                <w:lang w:val="en-US"/>
              </w:rPr>
              <w:t>Customary laws communal structures</w:t>
            </w:r>
          </w:p>
        </w:tc>
        <w:tc>
          <w:tcPr>
            <w:tcW w:w="3782" w:type="dxa"/>
            <w:tcBorders/>
          </w:tcPr>
          <w:p>
            <w:pPr>
              <w:pStyle w:val="TableContents"/>
              <w:tabs>
                <w:tab w:val="clear" w:pos="709"/>
              </w:tabs>
              <w:bidi w:val="0"/>
              <w:jc w:val="left"/>
              <w:rPr>
                <w:sz w:val="20"/>
                <w:szCs w:val="20"/>
              </w:rPr>
            </w:pPr>
            <w:r>
              <w:rPr>
                <w:rFonts w:ascii="Liberation Serif" w:hAnsi="Liberation Serif"/>
                <w:sz w:val="20"/>
                <w:szCs w:val="20"/>
                <w:lang w:val="en-US"/>
              </w:rPr>
              <w:t>Oral agreements kinship networks trade oversight (Elias, 2024)</w:t>
            </w:r>
          </w:p>
        </w:tc>
        <w:tc>
          <w:tcPr>
            <w:tcW w:w="5082" w:type="dxa"/>
            <w:tcBorders/>
          </w:tcPr>
          <w:p>
            <w:pPr>
              <w:pStyle w:val="TableContents"/>
              <w:tabs>
                <w:tab w:val="clear" w:pos="709"/>
              </w:tabs>
              <w:bidi w:val="0"/>
              <w:jc w:val="left"/>
              <w:rPr>
                <w:sz w:val="20"/>
                <w:szCs w:val="20"/>
              </w:rPr>
            </w:pPr>
            <w:r>
              <w:rPr>
                <w:rFonts w:ascii="Liberation Serif" w:hAnsi="Liberation Serif"/>
                <w:sz w:val="20"/>
                <w:szCs w:val="20"/>
                <w:lang w:val="en-US"/>
              </w:rPr>
              <w:t>Transparency reputational sanctions fosterage collective accountability bank-like cooperatives emphasis</w:t>
            </w:r>
          </w:p>
        </w:tc>
      </w:tr>
      <w:tr>
        <w:trPr/>
        <w:tc>
          <w:tcPr>
            <w:tcW w:w="2061" w:type="dxa"/>
            <w:tcBorders/>
          </w:tcPr>
          <w:p>
            <w:pPr>
              <w:pStyle w:val="TableContents"/>
              <w:tabs>
                <w:tab w:val="clear" w:pos="709"/>
              </w:tabs>
              <w:bidi w:val="0"/>
              <w:jc w:val="left"/>
              <w:rPr>
                <w:sz w:val="20"/>
                <w:szCs w:val="20"/>
              </w:rPr>
            </w:pPr>
            <w:r>
              <w:rPr>
                <w:rFonts w:ascii="Liberation Serif" w:hAnsi="Liberation Serif"/>
                <w:sz w:val="20"/>
                <w:szCs w:val="20"/>
                <w:lang w:val="en-US"/>
              </w:rPr>
              <w:t>1886 Colonial</w:t>
            </w:r>
          </w:p>
        </w:tc>
        <w:tc>
          <w:tcPr>
            <w:tcW w:w="2653" w:type="dxa"/>
            <w:tcBorders/>
          </w:tcPr>
          <w:p>
            <w:pPr>
              <w:pStyle w:val="TableContents"/>
              <w:tabs>
                <w:tab w:val="clear" w:pos="709"/>
              </w:tabs>
              <w:bidi w:val="0"/>
              <w:jc w:val="left"/>
              <w:rPr>
                <w:sz w:val="20"/>
                <w:szCs w:val="20"/>
              </w:rPr>
            </w:pPr>
            <w:r>
              <w:rPr>
                <w:rFonts w:ascii="Liberation Serif" w:hAnsi="Liberation Serif"/>
                <w:sz w:val="20"/>
                <w:szCs w:val="20"/>
                <w:lang w:val="en-US"/>
              </w:rPr>
              <w:t>Royal Charter Royal Niger Company</w:t>
            </w:r>
          </w:p>
        </w:tc>
        <w:tc>
          <w:tcPr>
            <w:tcW w:w="3782" w:type="dxa"/>
            <w:tcBorders/>
          </w:tcPr>
          <w:p>
            <w:pPr>
              <w:pStyle w:val="TableContents"/>
              <w:tabs>
                <w:tab w:val="clear" w:pos="709"/>
              </w:tabs>
              <w:bidi w:val="0"/>
              <w:jc w:val="left"/>
              <w:rPr>
                <w:sz w:val="20"/>
                <w:szCs w:val="20"/>
              </w:rPr>
            </w:pPr>
            <w:r>
              <w:rPr>
                <w:rFonts w:ascii="Liberation Serif" w:hAnsi="Liberation Serif"/>
                <w:sz w:val="20"/>
                <w:szCs w:val="20"/>
                <w:lang w:val="en-US"/>
              </w:rPr>
              <w:t>Monopoly power granted revoked 1899 oppressive conduct (Crowder, 1978)</w:t>
            </w:r>
          </w:p>
        </w:tc>
        <w:tc>
          <w:tcPr>
            <w:tcW w:w="5082" w:type="dxa"/>
            <w:tcBorders/>
          </w:tcPr>
          <w:p>
            <w:pPr>
              <w:pStyle w:val="TableContents"/>
              <w:tabs>
                <w:tab w:val="clear" w:pos="709"/>
              </w:tabs>
              <w:bidi w:val="0"/>
              <w:jc w:val="left"/>
              <w:rPr>
                <w:sz w:val="20"/>
                <w:szCs w:val="20"/>
              </w:rPr>
            </w:pPr>
            <w:r>
              <w:rPr>
                <w:rFonts w:ascii="Liberation Serif" w:hAnsi="Liberation Serif"/>
                <w:sz w:val="20"/>
                <w:szCs w:val="20"/>
                <w:lang w:val="en-US"/>
              </w:rPr>
              <w:t>Early accountability shareholder scrutiny centralized control local integration absent risks highlight</w:t>
            </w:r>
          </w:p>
        </w:tc>
      </w:tr>
      <w:tr>
        <w:trPr/>
        <w:tc>
          <w:tcPr>
            <w:tcW w:w="2061" w:type="dxa"/>
            <w:tcBorders/>
          </w:tcPr>
          <w:p>
            <w:pPr>
              <w:pStyle w:val="TableContents"/>
              <w:tabs>
                <w:tab w:val="clear" w:pos="709"/>
              </w:tabs>
              <w:bidi w:val="0"/>
              <w:jc w:val="left"/>
              <w:rPr>
                <w:sz w:val="20"/>
                <w:szCs w:val="20"/>
              </w:rPr>
            </w:pPr>
            <w:r>
              <w:rPr>
                <w:rFonts w:ascii="Liberation Serif" w:hAnsi="Liberation Serif"/>
                <w:sz w:val="20"/>
                <w:szCs w:val="20"/>
                <w:lang w:val="en-US"/>
              </w:rPr>
              <w:t>1912 Colonial</w:t>
            </w:r>
          </w:p>
        </w:tc>
        <w:tc>
          <w:tcPr>
            <w:tcW w:w="2653" w:type="dxa"/>
            <w:tcBorders/>
          </w:tcPr>
          <w:p>
            <w:pPr>
              <w:pStyle w:val="TableContents"/>
              <w:tabs>
                <w:tab w:val="clear" w:pos="709"/>
              </w:tabs>
              <w:bidi w:val="0"/>
              <w:jc w:val="left"/>
              <w:rPr>
                <w:sz w:val="20"/>
                <w:szCs w:val="20"/>
              </w:rPr>
            </w:pPr>
            <w:r>
              <w:rPr>
                <w:rFonts w:ascii="Liberation Serif" w:hAnsi="Liberation Serif"/>
                <w:sz w:val="20"/>
                <w:szCs w:val="20"/>
                <w:lang w:val="en-US"/>
              </w:rPr>
              <w:t>Companies Ordinance</w:t>
            </w:r>
          </w:p>
        </w:tc>
        <w:tc>
          <w:tcPr>
            <w:tcW w:w="3782" w:type="dxa"/>
            <w:tcBorders/>
          </w:tcPr>
          <w:p>
            <w:pPr>
              <w:pStyle w:val="TableContents"/>
              <w:tabs>
                <w:tab w:val="clear" w:pos="709"/>
              </w:tabs>
              <w:bidi w:val="0"/>
              <w:jc w:val="left"/>
              <w:rPr>
                <w:sz w:val="20"/>
                <w:szCs w:val="20"/>
              </w:rPr>
            </w:pPr>
            <w:r>
              <w:rPr>
                <w:rFonts w:ascii="Liberation Serif" w:hAnsi="Liberation Serif"/>
                <w:sz w:val="20"/>
                <w:szCs w:val="20"/>
                <w:lang w:val="en-US"/>
              </w:rPr>
              <w:t>Limited liability board structures Lagos introduction (Orojo, 1992)</w:t>
            </w:r>
          </w:p>
        </w:tc>
        <w:tc>
          <w:tcPr>
            <w:tcW w:w="5082" w:type="dxa"/>
            <w:tcBorders/>
          </w:tcPr>
          <w:p>
            <w:pPr>
              <w:pStyle w:val="TableContents"/>
              <w:tabs>
                <w:tab w:val="clear" w:pos="709"/>
              </w:tabs>
              <w:bidi w:val="0"/>
              <w:jc w:val="left"/>
              <w:rPr>
                <w:sz w:val="20"/>
                <w:szCs w:val="20"/>
              </w:rPr>
            </w:pPr>
            <w:r>
              <w:rPr>
                <w:rFonts w:ascii="Liberation Serif" w:hAnsi="Liberation Serif"/>
                <w:sz w:val="20"/>
                <w:szCs w:val="20"/>
                <w:lang w:val="en-US"/>
              </w:rPr>
              <w:t>Formal bank practice foundation indigenous risk management transparency gaps ignore</w:t>
            </w:r>
          </w:p>
        </w:tc>
      </w:tr>
      <w:tr>
        <w:trPr/>
        <w:tc>
          <w:tcPr>
            <w:tcW w:w="2061" w:type="dxa"/>
            <w:tcBorders/>
          </w:tcPr>
          <w:p>
            <w:pPr>
              <w:pStyle w:val="TableContents"/>
              <w:tabs>
                <w:tab w:val="clear" w:pos="709"/>
              </w:tabs>
              <w:bidi w:val="0"/>
              <w:jc w:val="left"/>
              <w:rPr>
                <w:sz w:val="20"/>
                <w:szCs w:val="20"/>
              </w:rPr>
            </w:pPr>
            <w:r>
              <w:rPr>
                <w:rFonts w:ascii="Liberation Serif" w:hAnsi="Liberation Serif"/>
                <w:sz w:val="20"/>
                <w:szCs w:val="20"/>
                <w:lang w:val="en-US"/>
              </w:rPr>
              <w:t>1922 Colonial</w:t>
            </w:r>
          </w:p>
        </w:tc>
        <w:tc>
          <w:tcPr>
            <w:tcW w:w="2653" w:type="dxa"/>
            <w:tcBorders/>
          </w:tcPr>
          <w:p>
            <w:pPr>
              <w:pStyle w:val="TableContents"/>
              <w:tabs>
                <w:tab w:val="clear" w:pos="709"/>
              </w:tabs>
              <w:bidi w:val="0"/>
              <w:jc w:val="left"/>
              <w:rPr>
                <w:sz w:val="20"/>
                <w:szCs w:val="20"/>
              </w:rPr>
            </w:pPr>
            <w:r>
              <w:rPr>
                <w:rFonts w:ascii="Liberation Serif" w:hAnsi="Liberation Serif"/>
                <w:sz w:val="20"/>
                <w:szCs w:val="20"/>
                <w:lang w:val="en-US"/>
              </w:rPr>
              <w:t>Companies Ordinance country-wide</w:t>
            </w:r>
          </w:p>
        </w:tc>
        <w:tc>
          <w:tcPr>
            <w:tcW w:w="3782" w:type="dxa"/>
            <w:tcBorders/>
          </w:tcPr>
          <w:p>
            <w:pPr>
              <w:pStyle w:val="TableContents"/>
              <w:tabs>
                <w:tab w:val="clear" w:pos="709"/>
              </w:tabs>
              <w:bidi w:val="0"/>
              <w:jc w:val="left"/>
              <w:rPr>
                <w:sz w:val="20"/>
                <w:szCs w:val="20"/>
              </w:rPr>
            </w:pPr>
            <w:r>
              <w:rPr>
                <w:rFonts w:ascii="Liberation Serif" w:hAnsi="Liberation Serif"/>
                <w:sz w:val="20"/>
                <w:szCs w:val="20"/>
                <w:lang w:val="en-US"/>
              </w:rPr>
              <w:t>Regulation extension amended 1929 1941 1954 (Ayua, 1984)</w:t>
            </w:r>
          </w:p>
        </w:tc>
        <w:tc>
          <w:tcPr>
            <w:tcW w:w="5082" w:type="dxa"/>
            <w:tcBorders/>
          </w:tcPr>
          <w:p>
            <w:pPr>
              <w:pStyle w:val="TableContents"/>
              <w:tabs>
                <w:tab w:val="clear" w:pos="709"/>
              </w:tabs>
              <w:bidi w:val="0"/>
              <w:jc w:val="left"/>
              <w:rPr>
                <w:sz w:val="20"/>
                <w:szCs w:val="20"/>
              </w:rPr>
            </w:pPr>
            <w:r>
              <w:rPr>
                <w:rFonts w:ascii="Liberation Serif" w:hAnsi="Liberation Serif"/>
                <w:sz w:val="20"/>
                <w:szCs w:val="20"/>
                <w:lang w:val="en-US"/>
              </w:rPr>
              <w:t>Colonial control reinforcement audit-like communal oversight accountability subversion</w:t>
            </w:r>
          </w:p>
        </w:tc>
      </w:tr>
      <w:tr>
        <w:trPr/>
        <w:tc>
          <w:tcPr>
            <w:tcW w:w="2061" w:type="dxa"/>
            <w:tcBorders/>
          </w:tcPr>
          <w:p>
            <w:pPr>
              <w:pStyle w:val="TableContents"/>
              <w:tabs>
                <w:tab w:val="clear" w:pos="709"/>
              </w:tabs>
              <w:bidi w:val="0"/>
              <w:jc w:val="left"/>
              <w:rPr>
                <w:sz w:val="20"/>
                <w:szCs w:val="20"/>
              </w:rPr>
            </w:pPr>
            <w:r>
              <w:rPr>
                <w:rFonts w:ascii="Liberation Serif" w:hAnsi="Liberation Serif"/>
                <w:sz w:val="20"/>
                <w:szCs w:val="20"/>
                <w:lang w:val="en-US"/>
              </w:rPr>
              <w:t>1968 Post-Independence</w:t>
            </w:r>
          </w:p>
        </w:tc>
        <w:tc>
          <w:tcPr>
            <w:tcW w:w="2653" w:type="dxa"/>
            <w:tcBorders/>
          </w:tcPr>
          <w:p>
            <w:pPr>
              <w:pStyle w:val="TableContents"/>
              <w:tabs>
                <w:tab w:val="clear" w:pos="709"/>
              </w:tabs>
              <w:bidi w:val="0"/>
              <w:jc w:val="left"/>
              <w:rPr>
                <w:sz w:val="20"/>
                <w:szCs w:val="20"/>
              </w:rPr>
            </w:pPr>
            <w:r>
              <w:rPr>
                <w:rFonts w:ascii="Liberation Serif" w:hAnsi="Liberation Serif"/>
                <w:sz w:val="20"/>
                <w:szCs w:val="20"/>
                <w:lang w:val="en-US"/>
              </w:rPr>
              <w:t>Companies Act</w:t>
            </w:r>
          </w:p>
        </w:tc>
        <w:tc>
          <w:tcPr>
            <w:tcW w:w="3782" w:type="dxa"/>
            <w:tcBorders/>
          </w:tcPr>
          <w:p>
            <w:pPr>
              <w:pStyle w:val="TableContents"/>
              <w:tabs>
                <w:tab w:val="clear" w:pos="709"/>
              </w:tabs>
              <w:bidi w:val="0"/>
              <w:jc w:val="left"/>
              <w:rPr>
                <w:sz w:val="20"/>
                <w:szCs w:val="20"/>
              </w:rPr>
            </w:pPr>
            <w:r>
              <w:rPr>
                <w:rFonts w:ascii="Liberation Serif" w:hAnsi="Liberation Serif"/>
                <w:sz w:val="20"/>
                <w:szCs w:val="20"/>
                <w:lang w:val="en-US"/>
              </w:rPr>
              <w:t>Audited accounts minority rights mandate (Ayua, 1984)</w:t>
            </w:r>
          </w:p>
        </w:tc>
        <w:tc>
          <w:tcPr>
            <w:tcW w:w="5082" w:type="dxa"/>
            <w:tcBorders/>
          </w:tcPr>
          <w:p>
            <w:pPr>
              <w:pStyle w:val="TableContents"/>
              <w:tabs>
                <w:tab w:val="clear" w:pos="709"/>
              </w:tabs>
              <w:bidi w:val="0"/>
              <w:jc w:val="left"/>
              <w:rPr>
                <w:sz w:val="20"/>
                <w:szCs w:val="20"/>
              </w:rPr>
            </w:pPr>
            <w:r>
              <w:rPr>
                <w:rFonts w:ascii="Liberation Serif" w:hAnsi="Liberation Serif"/>
                <w:sz w:val="20"/>
                <w:szCs w:val="20"/>
                <w:lang w:val="en-US"/>
              </w:rPr>
              <w:t>Transparency audit requirements exaltation modern bank practice initial strides</w:t>
            </w:r>
          </w:p>
        </w:tc>
      </w:tr>
      <w:tr>
        <w:trPr/>
        <w:tc>
          <w:tcPr>
            <w:tcW w:w="2061" w:type="dxa"/>
            <w:tcBorders/>
          </w:tcPr>
          <w:p>
            <w:pPr>
              <w:pStyle w:val="TableContents"/>
              <w:tabs>
                <w:tab w:val="clear" w:pos="709"/>
              </w:tabs>
              <w:bidi w:val="0"/>
              <w:jc w:val="left"/>
              <w:rPr>
                <w:sz w:val="20"/>
                <w:szCs w:val="20"/>
              </w:rPr>
            </w:pPr>
            <w:r>
              <w:rPr>
                <w:rFonts w:ascii="Liberation Serif" w:hAnsi="Liberation Serif"/>
                <w:sz w:val="20"/>
                <w:szCs w:val="20"/>
                <w:lang w:val="en-US"/>
              </w:rPr>
              <w:t>1990</w:t>
            </w:r>
          </w:p>
        </w:tc>
        <w:tc>
          <w:tcPr>
            <w:tcW w:w="2653" w:type="dxa"/>
            <w:tcBorders/>
          </w:tcPr>
          <w:p>
            <w:pPr>
              <w:pStyle w:val="TableContents"/>
              <w:tabs>
                <w:tab w:val="clear" w:pos="709"/>
              </w:tabs>
              <w:bidi w:val="0"/>
              <w:jc w:val="left"/>
              <w:rPr>
                <w:sz w:val="20"/>
                <w:szCs w:val="20"/>
              </w:rPr>
            </w:pPr>
            <w:r>
              <w:rPr>
                <w:rFonts w:ascii="Liberation Serif" w:hAnsi="Liberation Serif"/>
                <w:sz w:val="20"/>
                <w:szCs w:val="20"/>
                <w:lang w:val="en-US"/>
              </w:rPr>
              <w:t>Companies and Allied Matters Act</w:t>
            </w:r>
          </w:p>
        </w:tc>
        <w:tc>
          <w:tcPr>
            <w:tcW w:w="3782" w:type="dxa"/>
            <w:tcBorders/>
          </w:tcPr>
          <w:p>
            <w:pPr>
              <w:pStyle w:val="TableContents"/>
              <w:tabs>
                <w:tab w:val="clear" w:pos="709"/>
              </w:tabs>
              <w:bidi w:val="0"/>
              <w:jc w:val="left"/>
              <w:rPr>
                <w:sz w:val="20"/>
                <w:szCs w:val="20"/>
              </w:rPr>
            </w:pPr>
            <w:r>
              <w:rPr>
                <w:rFonts w:ascii="Liberation Serif" w:hAnsi="Liberation Serif"/>
                <w:sz w:val="20"/>
                <w:szCs w:val="20"/>
                <w:lang w:val="en-US"/>
              </w:rPr>
              <w:t>Disclosures board duties amelioration (CAMA, 2004)</w:t>
            </w:r>
          </w:p>
        </w:tc>
        <w:tc>
          <w:tcPr>
            <w:tcW w:w="5082" w:type="dxa"/>
            <w:tcBorders/>
          </w:tcPr>
          <w:p>
            <w:pPr>
              <w:pStyle w:val="TableContents"/>
              <w:tabs>
                <w:tab w:val="clear" w:pos="709"/>
              </w:tabs>
              <w:bidi w:val="0"/>
              <w:jc w:val="left"/>
              <w:rPr>
                <w:sz w:val="20"/>
                <w:szCs w:val="20"/>
              </w:rPr>
            </w:pPr>
            <w:r>
              <w:rPr>
                <w:rFonts w:ascii="Liberation Serif" w:hAnsi="Liberation Serif"/>
                <w:sz w:val="20"/>
                <w:szCs w:val="20"/>
                <w:lang w:val="en-US"/>
              </w:rPr>
              <w:t>Risk management accountability fortification current audit committees basis</w:t>
            </w:r>
          </w:p>
        </w:tc>
      </w:tr>
      <w:tr>
        <w:trPr/>
        <w:tc>
          <w:tcPr>
            <w:tcW w:w="2061" w:type="dxa"/>
            <w:tcBorders/>
          </w:tcPr>
          <w:p>
            <w:pPr>
              <w:pStyle w:val="TableContents"/>
              <w:tabs>
                <w:tab w:val="clear" w:pos="709"/>
              </w:tabs>
              <w:bidi w:val="0"/>
              <w:jc w:val="left"/>
              <w:rPr>
                <w:sz w:val="20"/>
                <w:szCs w:val="20"/>
              </w:rPr>
            </w:pPr>
            <w:r>
              <w:rPr>
                <w:rFonts w:ascii="Liberation Serif" w:hAnsi="Liberation Serif"/>
                <w:sz w:val="20"/>
                <w:szCs w:val="20"/>
                <w:lang w:val="en-US"/>
              </w:rPr>
              <w:t>2003</w:t>
            </w:r>
          </w:p>
        </w:tc>
        <w:tc>
          <w:tcPr>
            <w:tcW w:w="2653" w:type="dxa"/>
            <w:tcBorders/>
          </w:tcPr>
          <w:p>
            <w:pPr>
              <w:pStyle w:val="TableContents"/>
              <w:tabs>
                <w:tab w:val="clear" w:pos="709"/>
              </w:tabs>
              <w:bidi w:val="0"/>
              <w:jc w:val="left"/>
              <w:rPr>
                <w:sz w:val="20"/>
                <w:szCs w:val="20"/>
              </w:rPr>
            </w:pPr>
            <w:r>
              <w:rPr>
                <w:rFonts w:ascii="Liberation Serif" w:hAnsi="Liberation Serif"/>
                <w:sz w:val="20"/>
                <w:szCs w:val="20"/>
                <w:lang w:val="en-US"/>
              </w:rPr>
              <w:t>Securities and Exchange Commission Code Corporate Governance</w:t>
            </w:r>
          </w:p>
        </w:tc>
        <w:tc>
          <w:tcPr>
            <w:tcW w:w="3782" w:type="dxa"/>
            <w:tcBorders/>
          </w:tcPr>
          <w:p>
            <w:pPr>
              <w:pStyle w:val="TableContents"/>
              <w:tabs>
                <w:tab w:val="clear" w:pos="709"/>
              </w:tabs>
              <w:bidi w:val="0"/>
              <w:jc w:val="left"/>
              <w:rPr>
                <w:sz w:val="20"/>
                <w:szCs w:val="20"/>
              </w:rPr>
            </w:pPr>
            <w:r>
              <w:rPr>
                <w:rFonts w:ascii="Liberation Serif" w:hAnsi="Liberation Serif"/>
                <w:sz w:val="20"/>
                <w:szCs w:val="20"/>
                <w:lang w:val="en-US"/>
              </w:rPr>
              <w:t>Discipline transparency propulsion (Securities and Exchange Commission, 2003)</w:t>
            </w:r>
          </w:p>
        </w:tc>
        <w:tc>
          <w:tcPr>
            <w:tcW w:w="5082" w:type="dxa"/>
            <w:tcBorders/>
          </w:tcPr>
          <w:p>
            <w:pPr>
              <w:pStyle w:val="TableContents"/>
              <w:tabs>
                <w:tab w:val="clear" w:pos="709"/>
              </w:tabs>
              <w:bidi w:val="0"/>
              <w:jc w:val="left"/>
              <w:rPr>
                <w:sz w:val="20"/>
                <w:szCs w:val="20"/>
              </w:rPr>
            </w:pPr>
            <w:r>
              <w:rPr>
                <w:rFonts w:ascii="Liberation Serif" w:hAnsi="Liberation Serif"/>
                <w:sz w:val="20"/>
                <w:szCs w:val="20"/>
                <w:lang w:val="en-US"/>
              </w:rPr>
              <w:t>Bank practice tether board independence risk oversight emphasis</w:t>
            </w:r>
          </w:p>
        </w:tc>
      </w:tr>
      <w:tr>
        <w:trPr/>
        <w:tc>
          <w:tcPr>
            <w:tcW w:w="2061" w:type="dxa"/>
            <w:tcBorders/>
          </w:tcPr>
          <w:p>
            <w:pPr>
              <w:pStyle w:val="TableContents"/>
              <w:tabs>
                <w:tab w:val="clear" w:pos="709"/>
              </w:tabs>
              <w:bidi w:val="0"/>
              <w:jc w:val="left"/>
              <w:rPr>
                <w:sz w:val="20"/>
                <w:szCs w:val="20"/>
              </w:rPr>
            </w:pPr>
            <w:r>
              <w:rPr>
                <w:rFonts w:ascii="Liberation Serif" w:hAnsi="Liberation Serif"/>
                <w:sz w:val="20"/>
                <w:szCs w:val="20"/>
                <w:lang w:val="en-US"/>
              </w:rPr>
              <w:t>2006</w:t>
            </w:r>
          </w:p>
        </w:tc>
        <w:tc>
          <w:tcPr>
            <w:tcW w:w="2653" w:type="dxa"/>
            <w:tcBorders/>
          </w:tcPr>
          <w:p>
            <w:pPr>
              <w:pStyle w:val="TableContents"/>
              <w:tabs>
                <w:tab w:val="clear" w:pos="709"/>
              </w:tabs>
              <w:bidi w:val="0"/>
              <w:jc w:val="left"/>
              <w:rPr>
                <w:sz w:val="20"/>
                <w:szCs w:val="20"/>
              </w:rPr>
            </w:pPr>
            <w:r>
              <w:rPr>
                <w:rFonts w:ascii="Liberation Serif" w:hAnsi="Liberation Serif"/>
                <w:sz w:val="20"/>
                <w:szCs w:val="20"/>
                <w:lang w:val="en-US"/>
              </w:rPr>
              <w:t>Central Bank of Nigeria Code Banks</w:t>
            </w:r>
          </w:p>
        </w:tc>
        <w:tc>
          <w:tcPr>
            <w:tcW w:w="3782" w:type="dxa"/>
            <w:tcBorders/>
          </w:tcPr>
          <w:p>
            <w:pPr>
              <w:pStyle w:val="TableContents"/>
              <w:tabs>
                <w:tab w:val="clear" w:pos="709"/>
              </w:tabs>
              <w:bidi w:val="0"/>
              <w:jc w:val="left"/>
              <w:rPr>
                <w:sz w:val="20"/>
                <w:szCs w:val="20"/>
              </w:rPr>
            </w:pPr>
            <w:r>
              <w:rPr>
                <w:rFonts w:ascii="Liberation Serif" w:hAnsi="Liberation Serif"/>
                <w:sz w:val="20"/>
                <w:szCs w:val="20"/>
                <w:lang w:val="en-US"/>
              </w:rPr>
              <w:t>Mandatory governance banks post-consolidation (CBN, 2006)</w:t>
            </w:r>
          </w:p>
        </w:tc>
        <w:tc>
          <w:tcPr>
            <w:tcW w:w="5082" w:type="dxa"/>
            <w:tcBorders/>
          </w:tcPr>
          <w:p>
            <w:pPr>
              <w:pStyle w:val="TableContents"/>
              <w:tabs>
                <w:tab w:val="clear" w:pos="709"/>
              </w:tabs>
              <w:bidi w:val="0"/>
              <w:jc w:val="left"/>
              <w:rPr>
                <w:sz w:val="20"/>
                <w:szCs w:val="20"/>
              </w:rPr>
            </w:pPr>
            <w:r>
              <w:rPr>
                <w:rFonts w:ascii="Liberation Serif" w:hAnsi="Liberation Serif"/>
                <w:sz w:val="20"/>
                <w:szCs w:val="20"/>
                <w:lang w:val="en-US"/>
              </w:rPr>
              <w:t>Risk management audit committees banking focus</w:t>
            </w:r>
          </w:p>
        </w:tc>
      </w:tr>
      <w:tr>
        <w:trPr/>
        <w:tc>
          <w:tcPr>
            <w:tcW w:w="2061" w:type="dxa"/>
            <w:tcBorders/>
          </w:tcPr>
          <w:p>
            <w:pPr>
              <w:pStyle w:val="TableContents"/>
              <w:tabs>
                <w:tab w:val="clear" w:pos="709"/>
              </w:tabs>
              <w:bidi w:val="0"/>
              <w:jc w:val="left"/>
              <w:rPr>
                <w:sz w:val="20"/>
                <w:szCs w:val="20"/>
              </w:rPr>
            </w:pPr>
            <w:r>
              <w:rPr>
                <w:rFonts w:ascii="Liberation Serif" w:hAnsi="Liberation Serif"/>
                <w:sz w:val="20"/>
                <w:szCs w:val="20"/>
                <w:lang w:val="en-US"/>
              </w:rPr>
              <w:t>2011</w:t>
            </w:r>
          </w:p>
        </w:tc>
        <w:tc>
          <w:tcPr>
            <w:tcW w:w="2653" w:type="dxa"/>
            <w:tcBorders/>
          </w:tcPr>
          <w:p>
            <w:pPr>
              <w:pStyle w:val="TableContents"/>
              <w:tabs>
                <w:tab w:val="clear" w:pos="709"/>
              </w:tabs>
              <w:bidi w:val="0"/>
              <w:jc w:val="left"/>
              <w:rPr>
                <w:sz w:val="20"/>
                <w:szCs w:val="20"/>
              </w:rPr>
            </w:pPr>
            <w:r>
              <w:rPr>
                <w:rFonts w:ascii="Liberation Serif" w:hAnsi="Liberation Serif"/>
                <w:sz w:val="20"/>
                <w:szCs w:val="20"/>
                <w:lang w:val="en-US"/>
              </w:rPr>
              <w:t>Securities and Exchange Commission Code</w:t>
            </w:r>
          </w:p>
        </w:tc>
        <w:tc>
          <w:tcPr>
            <w:tcW w:w="3782" w:type="dxa"/>
            <w:tcBorders/>
          </w:tcPr>
          <w:p>
            <w:pPr>
              <w:pStyle w:val="TableContents"/>
              <w:tabs>
                <w:tab w:val="clear" w:pos="709"/>
              </w:tabs>
              <w:bidi w:val="0"/>
              <w:jc w:val="left"/>
              <w:rPr>
                <w:sz w:val="20"/>
                <w:szCs w:val="20"/>
              </w:rPr>
            </w:pPr>
            <w:r>
              <w:rPr>
                <w:rFonts w:ascii="Liberation Serif" w:hAnsi="Liberation Serif"/>
                <w:sz w:val="20"/>
                <w:szCs w:val="20"/>
                <w:lang w:val="en-US"/>
              </w:rPr>
              <w:t>Stricter board remuneration rules (Securities and Exchange Commission, 2011)</w:t>
            </w:r>
          </w:p>
        </w:tc>
        <w:tc>
          <w:tcPr>
            <w:tcW w:w="5082" w:type="dxa"/>
            <w:tcBorders/>
          </w:tcPr>
          <w:p>
            <w:pPr>
              <w:pStyle w:val="TableContents"/>
              <w:tabs>
                <w:tab w:val="clear" w:pos="709"/>
              </w:tabs>
              <w:bidi w:val="0"/>
              <w:jc w:val="left"/>
              <w:rPr>
                <w:sz w:val="20"/>
                <w:szCs w:val="20"/>
              </w:rPr>
            </w:pPr>
            <w:r>
              <w:rPr>
                <w:rFonts w:ascii="Liberation Serif" w:hAnsi="Liberation Serif"/>
                <w:sz w:val="20"/>
                <w:szCs w:val="20"/>
                <w:lang w:val="en-US"/>
              </w:rPr>
              <w:t>Transparency amelioration Central Bank of Nigeria enforcement conflicts</w:t>
            </w:r>
          </w:p>
        </w:tc>
      </w:tr>
      <w:tr>
        <w:trPr/>
        <w:tc>
          <w:tcPr>
            <w:tcW w:w="2061" w:type="dxa"/>
            <w:tcBorders/>
          </w:tcPr>
          <w:p>
            <w:pPr>
              <w:pStyle w:val="TableContents"/>
              <w:tabs>
                <w:tab w:val="clear" w:pos="709"/>
              </w:tabs>
              <w:bidi w:val="0"/>
              <w:jc w:val="left"/>
              <w:rPr>
                <w:sz w:val="20"/>
                <w:szCs w:val="20"/>
              </w:rPr>
            </w:pPr>
            <w:r>
              <w:rPr>
                <w:rFonts w:ascii="Liberation Serif" w:hAnsi="Liberation Serif"/>
                <w:sz w:val="20"/>
                <w:szCs w:val="20"/>
                <w:lang w:val="en-US"/>
              </w:rPr>
              <w:t>2018</w:t>
            </w:r>
          </w:p>
        </w:tc>
        <w:tc>
          <w:tcPr>
            <w:tcW w:w="2653" w:type="dxa"/>
            <w:tcBorders/>
          </w:tcPr>
          <w:p>
            <w:pPr>
              <w:pStyle w:val="TableContents"/>
              <w:tabs>
                <w:tab w:val="clear" w:pos="709"/>
              </w:tabs>
              <w:bidi w:val="0"/>
              <w:jc w:val="left"/>
              <w:rPr>
                <w:sz w:val="20"/>
                <w:szCs w:val="20"/>
              </w:rPr>
            </w:pPr>
            <w:r>
              <w:rPr>
                <w:rFonts w:ascii="Liberation Serif" w:hAnsi="Liberation Serif"/>
                <w:sz w:val="20"/>
                <w:szCs w:val="20"/>
                <w:lang w:val="en-US"/>
              </w:rPr>
              <w:t>Nigerian Code of Corporate Governance</w:t>
            </w:r>
          </w:p>
        </w:tc>
        <w:tc>
          <w:tcPr>
            <w:tcW w:w="3782" w:type="dxa"/>
            <w:tcBorders/>
          </w:tcPr>
          <w:p>
            <w:pPr>
              <w:pStyle w:val="TableContents"/>
              <w:tabs>
                <w:tab w:val="clear" w:pos="709"/>
              </w:tabs>
              <w:bidi w:val="0"/>
              <w:jc w:val="left"/>
              <w:rPr>
                <w:sz w:val="20"/>
                <w:szCs w:val="20"/>
              </w:rPr>
            </w:pPr>
            <w:r>
              <w:rPr>
                <w:rFonts w:ascii="Liberation Serif" w:hAnsi="Liberation Serif"/>
                <w:sz w:val="20"/>
                <w:szCs w:val="20"/>
                <w:lang w:val="en-US"/>
              </w:rPr>
              <w:t>Principles-based companies all (Financial Reporting Council of Nigeria, 2018)</w:t>
            </w:r>
          </w:p>
        </w:tc>
        <w:tc>
          <w:tcPr>
            <w:tcW w:w="5082" w:type="dxa"/>
            <w:tcBorders/>
          </w:tcPr>
          <w:p>
            <w:pPr>
              <w:pStyle w:val="TableContents"/>
              <w:tabs>
                <w:tab w:val="clear" w:pos="709"/>
              </w:tabs>
              <w:bidi w:val="0"/>
              <w:jc w:val="left"/>
              <w:rPr>
                <w:sz w:val="20"/>
                <w:szCs w:val="20"/>
              </w:rPr>
            </w:pPr>
            <w:r>
              <w:rPr>
                <w:rFonts w:ascii="Liberation Serif" w:hAnsi="Liberation Serif"/>
                <w:sz w:val="20"/>
                <w:szCs w:val="20"/>
                <w:lang w:val="en-US"/>
              </w:rPr>
              <w:t>Accountability broadening multiplicity bank practice risk impact</w:t>
            </w:r>
          </w:p>
        </w:tc>
      </w:tr>
      <w:tr>
        <w:trPr/>
        <w:tc>
          <w:tcPr>
            <w:tcW w:w="2061" w:type="dxa"/>
            <w:tcBorders/>
          </w:tcPr>
          <w:p>
            <w:pPr>
              <w:pStyle w:val="TableContents"/>
              <w:tabs>
                <w:tab w:val="clear" w:pos="709"/>
              </w:tabs>
              <w:bidi w:val="0"/>
              <w:jc w:val="left"/>
              <w:rPr>
                <w:sz w:val="20"/>
                <w:szCs w:val="20"/>
              </w:rPr>
            </w:pPr>
            <w:r>
              <w:rPr>
                <w:rFonts w:ascii="Liberation Serif" w:hAnsi="Liberation Serif"/>
                <w:sz w:val="20"/>
                <w:szCs w:val="20"/>
                <w:lang w:val="en-US"/>
              </w:rPr>
              <w:t>2023</w:t>
            </w:r>
          </w:p>
        </w:tc>
        <w:tc>
          <w:tcPr>
            <w:tcW w:w="2653" w:type="dxa"/>
            <w:tcBorders/>
          </w:tcPr>
          <w:p>
            <w:pPr>
              <w:pStyle w:val="TableContents"/>
              <w:tabs>
                <w:tab w:val="clear" w:pos="709"/>
              </w:tabs>
              <w:bidi w:val="0"/>
              <w:jc w:val="left"/>
              <w:rPr>
                <w:sz w:val="20"/>
                <w:szCs w:val="20"/>
              </w:rPr>
            </w:pPr>
            <w:r>
              <w:rPr>
                <w:rFonts w:ascii="Liberation Serif" w:hAnsi="Liberation Serif"/>
                <w:sz w:val="20"/>
                <w:szCs w:val="20"/>
                <w:lang w:val="en-US"/>
              </w:rPr>
              <w:t>Central Bank of Nigeria Guidelines</w:t>
            </w:r>
          </w:p>
        </w:tc>
        <w:tc>
          <w:tcPr>
            <w:tcW w:w="3782" w:type="dxa"/>
            <w:tcBorders/>
          </w:tcPr>
          <w:p>
            <w:pPr>
              <w:pStyle w:val="TableContents"/>
              <w:tabs>
                <w:tab w:val="clear" w:pos="709"/>
              </w:tabs>
              <w:bidi w:val="0"/>
              <w:jc w:val="left"/>
              <w:rPr>
                <w:sz w:val="20"/>
                <w:szCs w:val="20"/>
              </w:rPr>
            </w:pPr>
            <w:r>
              <w:rPr>
                <w:rFonts w:ascii="Liberation Serif" w:hAnsi="Liberation Serif"/>
                <w:sz w:val="20"/>
                <w:szCs w:val="20"/>
                <w:lang w:val="en-US"/>
              </w:rPr>
              <w:t>Updated board risk transparency mandates (CBN, 2023)</w:t>
            </w:r>
          </w:p>
        </w:tc>
        <w:tc>
          <w:tcPr>
            <w:tcW w:w="5082" w:type="dxa"/>
            <w:tcBorders/>
          </w:tcPr>
          <w:p>
            <w:pPr>
              <w:pStyle w:val="TableContents"/>
              <w:tabs>
                <w:tab w:val="clear" w:pos="709"/>
              </w:tabs>
              <w:bidi w:val="0"/>
              <w:jc w:val="left"/>
              <w:rPr>
                <w:sz w:val="20"/>
                <w:szCs w:val="20"/>
              </w:rPr>
            </w:pPr>
            <w:r>
              <w:rPr>
                <w:rFonts w:ascii="Liberation Serif" w:hAnsi="Liberation Serif"/>
                <w:sz w:val="20"/>
                <w:szCs w:val="20"/>
                <w:lang w:val="en-US"/>
              </w:rPr>
              <w:t>Audit risk management fortification enforcement gaps spotlight</w:t>
            </w:r>
          </w:p>
        </w:tc>
      </w:tr>
    </w:tbl>
    <w:p>
      <w:pPr>
        <w:pStyle w:val="Normal"/>
        <w:bidi w:val="0"/>
        <w:jc w:val="left"/>
        <w:rPr>
          <w:sz w:val="20"/>
          <w:szCs w:val="20"/>
        </w:rPr>
      </w:pPr>
      <w:r>
        <w:rPr>
          <w:sz w:val="20"/>
          <w:szCs w:val="20"/>
        </w:rPr>
      </w:r>
    </w:p>
    <w:p>
      <w:pPr>
        <w:pStyle w:val="Normal"/>
        <w:bidi w:val="0"/>
        <w:jc w:val="left"/>
        <w:rPr>
          <w:sz w:val="20"/>
          <w:szCs w:val="20"/>
        </w:rPr>
      </w:pPr>
      <w:r>
        <w:rPr>
          <w:sz w:val="20"/>
          <w:szCs w:val="20"/>
        </w:rPr>
      </w:r>
    </w:p>
    <w:p>
      <w:pPr>
        <w:pStyle w:val="Normal"/>
        <w:bidi w:val="0"/>
        <w:jc w:val="left"/>
        <w:rPr/>
      </w:pPr>
      <w:r>
        <w:rPr/>
        <w:t>Note: Table synopses mechanisms quartet edicts Companies and Allied Matters Act 2020 Nigerian Code of Corporate Governance 2018 Central Bank of Nigeria Guidelines 2023 Securities and Exchange Commission Code 2011 chief executive incumbency enforcement discords. Adapted Adegbite et al. 2012 Elias 2024 recent updates Ojo and Ojo 2025. Impacts transparency accountability bank practice risk management audit committees ties highlight.</w:t>
      </w:r>
    </w:p>
    <w:p>
      <w:pPr>
        <w:pStyle w:val="Normal"/>
        <w:bidi w:val="0"/>
        <w:jc w:val="left"/>
        <w:rPr/>
      </w:pPr>
      <w:r>
        <w:rPr/>
      </w:r>
    </w:p>
    <w:p>
      <w:pPr>
        <w:pStyle w:val="Heading3"/>
        <w:numPr>
          <w:ilvl w:val="2"/>
          <w:numId w:val="1"/>
        </w:numPr>
        <w:bidi w:val="0"/>
        <w:ind w:hanging="0" w:left="0"/>
        <w:jc w:val="left"/>
        <w:rPr>
          <w:rFonts w:ascii="Nimbus Roman" w:hAnsi="Nimbus Roman"/>
          <w:sz w:val="24"/>
          <w:szCs w:val="24"/>
        </w:rPr>
      </w:pPr>
      <w:r>
        <w:rPr>
          <w:rFonts w:ascii="Nimbus Roman" w:hAnsi="Nimbus Roman"/>
          <w:sz w:val="24"/>
          <w:szCs w:val="24"/>
        </w:rPr>
      </w:r>
    </w:p>
    <w:p>
      <w:pPr>
        <w:sectPr>
          <w:footerReference w:type="default" r:id="rId9"/>
          <w:footerReference w:type="first" r:id="rId10"/>
          <w:type w:val="nextPage"/>
          <w:pgSz w:orient="landscape" w:w="15840" w:h="12240"/>
          <w:pgMar w:left="1134" w:right="1134" w:gutter="0" w:header="0" w:top="1134" w:footer="0" w:bottom="1134"/>
          <w:pgNumType w:fmt="decimal"/>
          <w:formProt w:val="false"/>
          <w:textDirection w:val="lrTb"/>
        </w:sectPr>
        <w:pStyle w:val="Heading3"/>
        <w:widowControl/>
        <w:numPr>
          <w:ilvl w:val="0"/>
          <w:numId w:val="0"/>
        </w:numPr>
        <w:suppressAutoHyphens w:val="true"/>
        <w:overflowPunct w:val="false"/>
        <w:bidi w:val="0"/>
        <w:ind w:hanging="0" w:left="0"/>
        <w:jc w:val="left"/>
        <w:rPr>
          <w:rFonts w:ascii="Nimbus Roman" w:hAnsi="Nimbus Roman"/>
          <w:sz w:val="24"/>
          <w:szCs w:val="24"/>
        </w:rPr>
      </w:pPr>
      <w:r>
        <w:rPr>
          <w:rFonts w:ascii="Nimbus Roman" w:hAnsi="Nimbus Roman"/>
          <w:sz w:val="24"/>
          <w:szCs w:val="24"/>
        </w:rPr>
      </w:r>
    </w:p>
    <w:p>
      <w:pPr>
        <w:pStyle w:val="Heading3"/>
        <w:numPr>
          <w:ilvl w:val="0"/>
          <w:numId w:val="0"/>
        </w:numPr>
        <w:bidi w:val="0"/>
        <w:ind w:hanging="0" w:left="0"/>
        <w:jc w:val="left"/>
        <w:rPr>
          <w:rFonts w:ascii="Nimbus Roman" w:hAnsi="Nimbus Roman"/>
          <w:sz w:val="24"/>
          <w:szCs w:val="24"/>
        </w:rPr>
      </w:pPr>
      <w:r>
        <w:rPr>
          <w:rFonts w:ascii="Nimbus Roman" w:hAnsi="Nimbus Roman"/>
          <w:sz w:val="24"/>
          <w:szCs w:val="24"/>
        </w:rPr>
        <w:t>2.3.3 Post-Independence: Regulatory Adaptations and Challenges</w:t>
      </w:r>
    </w:p>
    <w:p>
      <w:pPr>
        <w:pStyle w:val="BodyText"/>
        <w:ind w:hanging="0" w:left="0" w:right="0"/>
        <w:rPr/>
      </w:pPr>
      <w:r>
        <w:rPr/>
        <w:t>The attainment of sovereignty in 1960 precipitated a profound reconfiguration of Nigeria's juridical, economic, and cultural landscapes, which had been profoundly shaped by colonial assimilationist policies. This transition engendered discordant governance structures, compelling policymakers to pursue the development of a cohesive system through iterative trials and adaptations (Udo, 2020). Central to this endeavour was the modernization of corporate governance legislation, commencing with the Companies Act of 1968 and culminating in the comprehensive reforms enshrined in the Companies and Allied Matters Act (CAMA) of 2020. These instruments sought to synchronize corporate practices with broader objectives of economic growth and foreign investment attraction, thereby fostering an environment conducive to institutional maturation (Elias, 2024). Nonetheless, the paucity of institutional capacity and the persistence of legal discontinuities from the colonial era prioritized supra-structural reforms over substantive cohesion, resulting in a fragmented regulatory framework that has endured into contemporary discourse (Ugochukwu, 2000).</w:t>
      </w:r>
    </w:p>
    <w:p>
      <w:pPr>
        <w:pStyle w:val="BodyText"/>
        <w:ind w:hanging="0" w:left="0" w:right="0"/>
        <w:rPr/>
      </w:pPr>
      <w:r>
        <w:rPr/>
        <w:t>Prior to the Structural Adjustment Programme (SAP) introduced in 1986, the Nigerian government concurrently fulfilled the roles of bank owner and regulator, a dual mandate that entrenched inherent conflicts of interest. Politically motivated appointments predominated, thereby enervating accountability mechanisms and subordinating professional competence to partisan loyalties (Chinweoda et al., 2020). In state-controlled banks during the pre-SAP era (1986–1993), unqualified executives were frequently elevated based on political loyalty rather than managerial qualifications, precipitating the subversion of strategic oversight and ethical compliance (Ugochukwu, 2000). Chinweoda et al. (2020) delineate how cronyism, mismanagement, and insider abuses established precedents for early bank failures, underscoring governance lapses as systemic vulnerabilities. The SAP initiative aimed at divestiture of state shares and sector liberalization aspired to dismantle this entrenched culture of political patronage; however, its efficacy was undermined by the persistent dominance of politically connected appointees on boards and in management, further enervating accountability structures (Sanusi, 2014).</w:t>
      </w:r>
    </w:p>
    <w:p>
      <w:pPr>
        <w:pStyle w:val="BodyText"/>
        <w:ind w:hanging="0" w:left="0" w:right="0"/>
        <w:rPr/>
      </w:pPr>
      <w:r>
        <w:rPr/>
        <w:t>This legacy of government interference exacerbated agency problems, wherein managers prioritized personal or political interests over stakeholder welfare—a pattern manifest in elevated non-performing loan (NPL) ratios within deposit money banks (DMBs). For instance, the collapse of Intercontinental Bank exemplified such dynamics, with insider lending practices linked to historical governance deficits (Owolabi, 2013). The absence of robust regulatory enforcement mechanisms further entrenched these issues, as agencies such as the Central Bank of Nigeria (CBN) lacked sufficient capacity to curb governance violations, thereby contributing to systemic instability (Nwoke et al., 2023). Ojo and Ojo (2024) elucidate that post-independence adaptations have failed to fully integrate audit committee independence and financial reporting integrity as mediators of default risks, perpetuating deficiencies in disclosure and compliance that sustain NPL vulnerabilities.</w:t>
      </w:r>
    </w:p>
    <w:p>
      <w:pPr>
        <w:pStyle w:val="BodyText"/>
        <w:ind w:hanging="0" w:left="0" w:right="0"/>
        <w:rPr/>
      </w:pPr>
      <w:r>
        <w:rPr/>
        <w:t>Building upon this foundation, the Companies Act of 1968 introduced mandates for audited accounts and minority shareholder rights, thereby exalting disclosure as a cornerstone of governance (Ayua, 1984). Subsequent iterations, including CAMA 1990, fortified board duties and audit requirements (CAMA, 2004). Correspondingly, enforcement inconsistencies, compounded by judicial inefficiencies and institutional torpor, have impeded the realization of these reforms (Oman, 2001). From an institutional theory perspective, these adaptations reflect isomorphic pressures to mimic advanced economies' frameworks without adequate contextualization, yielding regulatory layering that amplifies rather than attenuates governance interdependencies. Comparatively, Ghana's post-independence trajectory under the Companies Act of 1963 (Act 179) similarly grappled with enforcement gaps, yet achieved greater cohesion through earlier privatization waves, contrasting Nigeria's protracted state dominance (Appiah-Kubi, 2018). In South Africa, the King Reports ( commencing 1994) integrated stewardship principles more seamlessly, mitigating agency conflicts absent in Nigeria's fragmented evolution (Rossouw, 2005). These insights underscore the necessity for Nigeria to transcend historical path dependencies in aligning with OECD principles of regulatory clarity and enforcement multiplicity (OECD, 2023).</w:t>
      </w:r>
    </w:p>
    <w:p>
      <w:pPr>
        <w:pStyle w:val="Heading3"/>
        <w:numPr>
          <w:ilvl w:val="2"/>
          <w:numId w:val="1"/>
        </w:numPr>
        <w:spacing w:before="0" w:after="283"/>
        <w:ind w:hanging="0" w:left="0"/>
        <w:rPr>
          <w:rFonts w:ascii="Nimbus Roman" w:hAnsi="Nimbus Roman"/>
          <w:sz w:val="24"/>
          <w:szCs w:val="24"/>
        </w:rPr>
      </w:pPr>
      <w:r>
        <w:rPr>
          <w:rFonts w:ascii="Nimbus Roman" w:hAnsi="Nimbus Roman"/>
          <w:sz w:val="24"/>
          <w:szCs w:val="24"/>
        </w:rPr>
        <w:t>2.3.4 The Legacy in the Post-2004 Consolidation Era</w:t>
      </w:r>
    </w:p>
    <w:p>
      <w:pPr>
        <w:pStyle w:val="BodyText"/>
        <w:ind w:hanging="0" w:left="0" w:right="0"/>
        <w:rPr/>
      </w:pPr>
      <w:r>
        <w:rPr/>
        <w:t>Historical legacies—encompassing colonial misalignment and pre-1986 government interference—remain central to the governance challenges confronting Nigeria's contemporary DMB sector, particularly following the 2004 consolidation exercise that reduced the number of banks from eighty-nine to twenty-four. This reform ostensibly exalted systemic resilience; however, it simultaneously exposed and amplified governance weaknesses rooted in historical discontinuities (Kafidipe, 2021). Adegbite et al. (2012) argue that the imposition of colonial-era foreign governance models, coupled with post-independence regulatory layering, rendered the system ill-equipped to address Nigeria's unique socio-political context, thereby perpetuating institutional voids.</w:t>
      </w:r>
    </w:p>
    <w:p>
      <w:pPr>
        <w:pStyle w:val="BodyText"/>
        <w:ind w:hanging="0" w:left="0" w:right="0"/>
        <w:rPr/>
      </w:pPr>
      <w:r>
        <w:rPr/>
        <w:t>Board structures in the post-consolidation era evinced a pronounced lack of independence, with sixty-one percent of DMBs lacking independent nomination committees and concentrated ownership enabling political influences to dominate board appointments (Ogbechie, 2016). The 2009 collapse of Oceanic Bank exemplifies this echo of colonial-era centralized control through family-dominated boards, where insider loans constituted seventy-five percent of NPLs, propelled by unqualified leadership (Sanusi, 2009). Politically motivated appointments continued to subvert management qualifications, enervating risk oversight and contributing to NPL ratios exceeding twenty percent in 2017—well above the CBN's five percent threshold (Nwoko et al., 2022; Adegboye, 2020).</w:t>
      </w:r>
    </w:p>
    <w:p>
      <w:pPr>
        <w:pStyle w:val="BodyText"/>
        <w:ind w:hanging="0" w:left="0" w:right="0"/>
        <w:rPr/>
      </w:pPr>
      <w:r>
        <w:rPr/>
        <w:t>Regulatory multiplicity, a direct outgrowth of post-independence layering, manifests in overlapping codes such as CAMA 2020, the Nigerian Code of Corporate Governance (NCCG) 2018, CBN Guidelines 2023, and the Securities and Exchange Commission (SEC) Code 2011. This fragmentation fosters ambiguity, enabling banks to evade accountability through selective adherence (Abdulmalik &amp; Ahmad, 2020). Disparities in board composition enforcement across these codes have precipitated inconsistent practices, as evidenced by the failures of Intercontinental Bank and PHB, where weak boards failed to curb risky lending (Owolabi, 2013; Osemeke &amp; Adegbite, 2016).</w:t>
      </w:r>
    </w:p>
    <w:p>
      <w:pPr>
        <w:pStyle w:val="BodyText"/>
        <w:ind w:hanging="0" w:left="0" w:right="0"/>
        <w:rPr/>
      </w:pPr>
      <w:r>
        <w:rPr/>
        <w:t>Governance failures thus rooted in historical legacies necessitate context-specific reforms that exalt board independence and regulatory harmonization (Osemeke &amp; Adegbite, 2016). Recent scholarship by Afolabi and Afolabi (2024) posits that historical evolutions mediate the impact of audit committee effectiveness on financial reporting integrity, directly influencing overall practice indices, disclosure, and compliance. Sequential codes—the SEC Code 2003, CBN Code 2006, SEC Code 2011, and NCCG 2018—represent concerted efforts to redress these legacies, emphasizing management qualifications, risk management, and audit committee independence amid perduring regulatory multiplicity (Financial Reporting Council of Nigeria, 2018; CBN, 2014).</w:t>
      </w:r>
    </w:p>
    <w:p>
      <w:pPr>
        <w:pStyle w:val="BodyText"/>
        <w:ind w:hanging="0" w:left="0" w:right="0"/>
        <w:rPr/>
      </w:pPr>
      <w:r>
        <w:rPr/>
        <w:t>Theoretically, agency theory illuminates how concentrated ownership and political interference exacerbate principal-agent conflicts, while stewardship theory highlights the potential for aligned interests undermined by unqualified appointees. Institutional theory further explicates regulatory layering as coercive isomorphism, yielding suboptimal convergence with Basel III standards (Basel Committee on Banking Supervision, 2015). Comparatively, South Africa's post-apartheid consolidation under the Banks Act 1990 integrated King IV principles (2016) to enhance audit autonomy, yielding lower NPL ratios than Nigeria's (Institute of Directors in Southern Africa, 2016). Ghana's Banking Act 2004, informed by post-SAP liberalization, similarly prioritized disclosure credibility, offering lessons for CBN-SEC harmonization (Bank of Ghana, 2022). These contributions align with Research Question 1 by linking governance indices to NPL modulation, Research Question 2 through audit mediation, Research Question 3 via reform-induced shifts, and Research Question 4 in addressing regulatory clarity amid economic shocks. Policy implications advocate unified governance frameworks to attenuate default risks, informing CBN mandates for ≥50% independent directors and executive vetting post-2014.</w:t>
      </w:r>
    </w:p>
    <w:p>
      <w:pPr>
        <w:pStyle w:val="Heading4"/>
        <w:bidi w:val="0"/>
        <w:jc w:val="left"/>
        <w:rPr/>
      </w:pPr>
      <w:r>
        <w:rPr/>
        <w:t>2.3.5 Ties to Corporate Governance Indices</w:t>
      </w:r>
    </w:p>
    <w:p>
      <w:pPr>
        <w:pStyle w:val="BodyText"/>
        <w:ind w:hanging="0" w:left="0" w:right="0"/>
        <w:rPr/>
      </w:pPr>
      <w:r>
        <w:rPr/>
        <w:t>The interplay between historical legacies and the core indices of corporate governance in Nigeria’s deposit money banking sector—encompassing disclosure, practice, and compliance, alongside audit committee independence—exerts a profound and enduring influence on default risk, as operationalised through non-performing loan ratios. This nexus underscores the imperative to integrate indigenous accountability mechanisms with contemporary frameworks, thereby directly informing Research Question 1 through Research Question 4. Specifically, these questions interrogate the extent to which governance indices modulate non-performing loan ratios, the mediating role of financial reporting integrity via audit committee independence, temporal shifts in disclosure efficacy post-reform, and the causal impact of regulatory clarity enhancements.</w:t>
      </w:r>
    </w:p>
    <w:p>
      <w:pPr>
        <w:pStyle w:val="BodyText"/>
        <w:ind w:hanging="0" w:left="0" w:right="0"/>
        <w:rPr/>
      </w:pPr>
      <w:r>
        <w:rPr/>
        <w:t>Pre-colonial communal systems in Nigeria relied upon reputational sanctions and collective trust to enforce accountability, fostering transparent disclosure practices that mitigated opportunistic behaviour within kinship-based financial arrangements (Elias, 2024). The advent of colonial individualism, however, precipitated an erosion of these norms, introducing opacity into banking practices through imposed legal structures that prioritised external control over local oversight. Building upon this foundation, colonial impositions—such as the Companies Ordinance of 1912—engendered weak accountability mechanisms, centralised authority in metropolitan entities, and the marginalisation of indigenous boards, thereby laying the groundwork for post-independence cronyism (Agamah, 2024). Correspondingly, post-independence regulatory multiplicity exacerbated deficits in practice indices, enabling selective compliance that perpetuated governance erosions and contributed to recurrent banking crises, including over 425 institutional failures since 1988 (Abdulmalik &amp; Ahmad, 2020).</w:t>
      </w:r>
    </w:p>
    <w:p>
      <w:pPr>
        <w:pStyle w:val="BodyText"/>
        <w:ind w:hanging="0" w:left="0" w:right="0"/>
        <w:rPr/>
      </w:pPr>
      <w:r>
        <w:rPr/>
        <w:t>Audit committee independence, mandated under the Companies and Allied Matters Act 2020 and the Nigerian Code of Corporate Governance 2018, represents a critical juncture in this historical trajectory. Yet, unqualified appointments and compromised autonomy have engendered accountability gaps, thereby constraining the mediation of financial reporting integrity—a mechanism central to Research Question 2 (Adegbite, 2014). Empirical evidence reveals that historical cronyism persists, with sixty-one percent of banks lacking independent nomination committees, which undermines board efficacy and amplifies non-performing loan vulnerabilities (Ogbechie, 2016). This evidences that the linkage between governance indices and default risk is not merely contemporaneous but historically contingent, necessitating reforms that restore ties to indigenous elements while aligning with global standards, such as those delineated in the Organisation for Economic Co-operation and Development principles (OECD, 2023).</w:t>
      </w:r>
    </w:p>
    <w:p>
      <w:pPr>
        <w:pStyle w:val="BodyText"/>
        <w:ind w:hanging="0" w:left="0" w:right="0"/>
        <w:rPr/>
      </w:pPr>
      <w:r>
        <w:rPr/>
        <w:t>The corporate governance challenges in Nigeria’s deposit money banking sector are deeply entrenched in an evolutionary continuum spanning pre-colonial communalism, colonial legal impositions, and post-independence regulatory failures. Pre-1986 government interference, characterised by politically motivated appointments, fostered weak accountability and board inefficiencies, legacies that endured through the 2004–2005 banking consolidation and precipitated systemic instability, with non-performing loan ratios exceeding thirty-seven percent during the 2009 crisis (Elias, 2024; Chinweoda et al., 2020; Adegbite et al., 2012). The colonial-era disconnect between imposed ordinances and local realities subverted board independence, a pattern exemplified in the Oceanic Bank debacle, where regulatory coherence was undermined by cronyistic practices under the governorship of Sanusi Lamido Sanusi (Sanusi, 2009).</w:t>
      </w:r>
    </w:p>
    <w:p>
      <w:pPr>
        <w:pStyle w:val="BodyText"/>
        <w:ind w:hanging="0" w:left="0" w:right="0"/>
        <w:rPr/>
      </w:pPr>
      <w:r>
        <w:rPr/>
        <w:t>From an institutional theory perspective, these historical path dependencies illustrate how coercive isomorphism—via colonial and post-colonial regulatory layering—has attenuated the signalling efficacy of disclosure indices, rendering them statistically insignificant in pre-reform periods (2009–2014), as posited in Research Question 3. Agency theory further elucidates the principal-agent conflicts perpetuated by cronyism, wherein managerial opportunism precipitates elevated non-performing loans absent robust compliance mechanisms. Stewardship theory, conversely, highlights the potential for aligning indigenous communal trust with modern practice indices to foster intrinsic accountability, a synthesis that could mediate reductions in default risk through enhanced financial reporting integrity (Research Question 2). Comparative insights from emerging markets reinforce this analysis: in Ghana, post-2003 reforms mandating greater than fifty percent independent directors yielded a negative association between disclosure indices and non-performing loans (β = -0.12, p &lt; .05), contrasting with Nigeria’s fragmented outcomes (Aboagye-Otchere &amp; Agbeibor, 2021). Similarly, South Africa’s King IV Code has demonstrated institutional activation of compliance indices, reducing non-performing loan ratios by approximately fifteen percent post-implementation through harmonised enforcement (Rossouw &amp; Styan, 2019).</w:t>
      </w:r>
    </w:p>
    <w:p>
      <w:pPr>
        <w:pStyle w:val="BodyText"/>
        <w:ind w:hanging="0" w:left="0" w:right="0"/>
        <w:rPr/>
      </w:pPr>
      <w:r>
        <w:rPr/>
        <w:t>Segmented reforms, including the Central Bank of Nigeria Code of Corporate Governance 2014 and subsequent Guidelines 2023, underscore the exigency of addressing historical legacies via independent nomination committees and harmonised regulatory frameworks between the Central Bank of Nigeria and the Securities and Exchange Commission. Such measures directly target the causal pathways in Research Question 4, wherein perceived regulatory clarity improvements from 2020–2025 are hypothesised to precipitate non-performing loan declines (β &lt; 0, p &lt; .05), controlling for macroeconomic shocks like currency devaluation and inflation. Ojo and Ojo (2024) illuminate the ongoing evolution of governance structures, spotlighting persistent deficiencies in audit committee independence and the ameliorative potential of reinforced disclosure and practice indices on bank operations.</w:t>
      </w:r>
    </w:p>
    <w:p>
      <w:pPr>
        <w:pStyle w:val="BodyText"/>
        <w:ind w:hanging="0" w:left="0" w:right="0"/>
        <w:rPr/>
      </w:pPr>
      <w:r>
        <w:rPr/>
        <w:t>Subsequent sections will explore the specific impacts of these governance mechanisms—disclosure, practice, compliance, audit committee independence, and the mediation of financial reporting integrity—on non-performing loan ratios in Nigerian deposit money banks. This historical-institutional framing not only enriches the theoretical scaffolding for Research Question 1 through Research Question 4 but also informs practicable policy interventions to mitigate default risk amid Nigeria’s convergence with Basel III accords.</w:t>
      </w:r>
    </w:p>
    <w:p>
      <w:pPr>
        <w:pStyle w:val="Heading3"/>
        <w:numPr>
          <w:ilvl w:val="2"/>
          <w:numId w:val="1"/>
        </w:numPr>
        <w:bidi w:val="0"/>
        <w:ind w:hanging="0" w:left="0"/>
        <w:jc w:val="left"/>
        <w:rPr>
          <w:rFonts w:ascii="Nimbus Roman" w:hAnsi="Nimbus Roman"/>
          <w:sz w:val="24"/>
          <w:szCs w:val="24"/>
        </w:rPr>
      </w:pPr>
      <w:r>
        <w:rPr>
          <w:rFonts w:ascii="Nimbus Roman" w:hAnsi="Nimbus Roman"/>
          <w:sz w:val="24"/>
          <w:szCs w:val="24"/>
        </w:rPr>
        <w:t>2.4 Regulatory Multiplicity and Enforcement Challenges</w:t>
      </w:r>
    </w:p>
    <w:p>
      <w:pPr>
        <w:pStyle w:val="BodyText"/>
        <w:ind w:hanging="0" w:left="0" w:right="0"/>
        <w:rPr/>
      </w:pPr>
      <w:r>
        <w:rPr/>
        <w:t>The Nigerian deposit money banking (DMB) sector operates within a fragmented corporate governance framework, characterised by regulatory multiplicity that fosters opportunities for compliance subversion, disclosure manipulation, and practice deviations, thereby exacerbating default risk and elevating non-performing loan (NPL) ratios (Abdulmalik &amp; Ahmad, 2020). This multiplicity manifests in the coexistence of overlapping and occasionally conflicting regulatory codes, including the Companies and Allied Matters Act (CAMA) 2020, the Nigerian Code of Corporate Governance (NCCG) 2018, the Central Bank of Nigeria (CBN) Corporate Governance Guidelines 2023, and the Securities and Exchange Commission (SEC) Code of Corporate Governance 2011. Such regulatory proliferation engenders ambiguity, enabling banks to selectively adhere to less rigorous standards, evade stringent oversight, and contribute to systemic instability (Osemeke &amp; Adegbite, 2016). Building upon this foundation, the ensuing discussion interrogates the implications of this fragmented architecture for NPL ratios, with particular reference to Research Question 4, which probes the extent to which perceived improvements in regulatory clarity—stemming from CBN-SEC harmonisation initiatives between 2020 and 2025—precipitate NPL declines (β &lt; 0, p &lt; .05), whilst controlling for economic shocks such as currency devaluation and inflation.</w:t>
      </w:r>
    </w:p>
    <w:p>
      <w:pPr>
        <w:pStyle w:val="BodyText"/>
        <w:ind w:hanging="0" w:left="0" w:right="0"/>
        <w:rPr/>
      </w:pPr>
      <w:r>
        <w:rPr/>
        <w:t>Institutional theory provides a robust lens for conceptualising regulatory multiplicity as a form of institutional complexity, wherein competing isomorphic pressures from multiple regulators undermine mimetic, coercive, and normative mechanisms intended to standardise governance practices (DiMaggio &amp; Powell, 1983; Greenwood et al., 2011). In emerging markets like Nigeria, this complexity is amplified by historical path dependencies, including post-colonial regulatory legacies and ad hoc responses to crises, resulting in a patchwork of codes that lack seamless integration (Adegbite, 2015). Correspondingly, empirical evidence from the Nigerian context underscores how such fragmentation attenuates the efficacy of governance indices—encompassing disclosure, practice, and compliance—as moderators of NPL ratios (Research Question 1). For instance, banks may prioritise CBN-mandated capital adequacy disclosures under the 2023 Guidelines while circumventing NCCG 2018 stipulations on board independence, thereby precipitating asymmetric information flows and heightened default probabilities (Olojede et al., 2020).</w:t>
      </w:r>
    </w:p>
    <w:p>
      <w:pPr>
        <w:pStyle w:val="BodyText"/>
        <w:ind w:hanging="0" w:left="0" w:right="0"/>
        <w:rPr/>
      </w:pPr>
      <w:r>
        <w:rPr/>
        <w:t>Enforcement challenges further compound these issues, as weak institutional capacity and inconsistent regulatory oversight aggravate governance lapses. The 2009 banking crisis exemplifies this vulnerability, where supervisory forbearance and fragmented enforcement permitted NPL ratios to peak at thirty-seven percent, culminating in the failure of several DMBs and necessitating a Naira 620 billion bailout (Sanusi, 2009; Nwosu, 2020). This episode aligns with agency theory propositions, positing that misaligned incentives between regulators and bank managers—exacerbated by enforcement multiplicity—foster moral hazard and opportunistic behaviour, ultimately manifesting in elevated NPLs (Jensen &amp; Meckling, 1976). Recent reforms, including the CBN's 2014 Code and subsequent harmonisation efforts under CAMA 2020, aim to mitigate these risks by mandating greater alignment between CBN and SEC oversight; however, persistent gaps in enforcement consistency—evidenced by selective prosecutions and resource constraints at the Nigeria Deposit Insurance Corporation (NDIC)—continue to undermine reform efficacy (Central Bank of Nigeria, 2023).</w:t>
      </w:r>
    </w:p>
    <w:p>
      <w:pPr>
        <w:pStyle w:val="BodyText"/>
        <w:ind w:hanging="0" w:left="0" w:right="0"/>
        <w:rPr/>
      </w:pPr>
      <w:r>
        <w:rPr/>
        <w:t>To contextualise Nigeria's challenges within broader emerging market dynamics, comparative insights from Ghana and South Africa prove instructive. In Ghana, the Bank of Ghana's unified Corporate Governance Directive (2018) has streamlined oversight, reducing regulatory overlap and correlating with a decline in NPL ratios from twelve point eight percent in 2017 to four point nine percent by 2023, attributable to enhanced enforcement through mandatory stress testing and independent audits (Bank of Ghana, 2023; Amidu &amp; Wolfe, 2013). Similarly, South Africa's King IV Report (2016) integrates Basel III principles with a single enforceable code, fostering disclosure credibility and yielding NPL ratios averaging below three percent post-2018, despite macroeconomic volatility (Institute of Directors in Southern Africa, 2016; Rossouw et al., 2020). These cases contrast sharply with Nigeria's multi-regulator model, where enforcement dispersion dilutes coercive isomorphism and permits "regulatory arbitrage" (Adegbite et al., 2018). OECD benchmarks further illuminate pathways for reform, emphasising harmonised enforcement regimes that prioritise risk-based supervision and cross-agency data sharing to attenuate NPL vulnerabilities in volatile economies (OECD, 2023).</w:t>
      </w:r>
    </w:p>
    <w:p>
      <w:pPr>
        <w:pStyle w:val="BodyText"/>
        <w:ind w:hanging="0" w:left="0" w:right="0"/>
        <w:rPr/>
      </w:pPr>
      <w:r>
        <w:rPr/>
        <w:t>Empirical studies on the compliance impact of fragmented frameworks in Nigeria reveal nuanced linkages to default risk mitigation. Ojo and Ojo (2024) demonstrate that regulatory multiplicity adversely moderates practice indices, with a one-standard-deviation increase in perceived overlap associated with a zero point zero five rise in NPL ratios (p &lt; .01), mediated by diminished audit committee independence (Research Question 2). This mediation pathway underscores how enforcement inconsistencies erode financial reporting integrity, as insider perceptions of regulatory ambiguity precipitate selective disclosure and impair early warning signals for loan defaults. Correspondingly, longitudinal analyses employing difference-in-differences frameworks (Research Question 3) indicate that pre-reform periods (2009–2014) exhibited insignificant governance-NPL linkages, shifting to negative coefficients post-2016 reforms, yet residual multiplicity post-2020 tempers these gains (β = -0.12, p &lt; .05 for disclosure indices) (Ejefobihi &amp; Okoye, 2022).</w:t>
      </w:r>
    </w:p>
    <w:p>
      <w:pPr>
        <w:pStyle w:val="BodyText"/>
        <w:ind w:hanging="0" w:left="0" w:right="0"/>
        <w:rPr/>
      </w:pPr>
      <w:r>
        <w:rPr/>
        <w:t>In synthesis, regulatory multiplicity and enforcement challenges in Nigeria's DMB sector not only perpetuate governance erosions but also directly precipitate NPL escalations, challenging stewardship theory assumptions of managerial altruism in institutionally constrained environments (Davis et al., 1997). Addressing Research Question 4, enhanced CBN-SEC harmonisation emerges as a pivotal mechanism for clarity-induced NPL reductions, with policy implications advocating unified codes, bolstered NDIC enforcement capacities, and Basel III-aligned risk management protocols. This evidences that institutional reforms, when coherently enforced, can transform regulatory multiplicity from a liability into a catalyst for resilience in emerging banking systems.</w:t>
      </w:r>
    </w:p>
    <w:p>
      <w:pPr>
        <w:pStyle w:val="Heading4"/>
        <w:bidi w:val="0"/>
        <w:jc w:val="left"/>
        <w:rPr/>
      </w:pPr>
      <w:r>
        <w:rPr/>
        <w:t>2.4.1 The Fragmented Regulatory Landscape in Nigeria</w:t>
      </w:r>
    </w:p>
    <w:p>
      <w:pPr>
        <w:pStyle w:val="BodyText"/>
        <w:ind w:hanging="0" w:left="0" w:right="0"/>
        <w:rPr/>
      </w:pPr>
      <w:r>
        <w:rPr/>
        <w:t>The regulatory framework governing Nigeria's deposit money banking (DMB) sector is characterised by a complex and fragmented web of codes, administered by multiple oversight bodies with overlapping mandates and inconsistent compliance stipulations, thereby precipitating governance ambiguities and enforcement challenges (Abdulmalik &amp; Ahmad, 2020). This multiplicity not only engenders operational inefficiencies but also attenuates the efficacy of governance mechanisms in mitigating default risks, as operationalised through non-performing loan (NPL) ratios. Building upon this foundation, the Companies and Allied Matters Act (CAMA) 2020, under the purview of the Corporate Affairs Commission, establishes a foundational legal scaffold for all registered entities, encompassing provisions on board structures, shareholder rights, and mandatory annual reporting (Muse, 2024). While ostensibly comprehensive, its broad applicability across sectors frequently intersects with bank-specific directives, engendering interpretive conflicts and compliance dilemmas that undermine uniform governance application in the DMB domain (Osemeke &amp; Adegbite, 2016).</w:t>
      </w:r>
    </w:p>
    <w:p>
      <w:pPr>
        <w:pStyle w:val="BodyText"/>
        <w:ind w:hanging="0" w:left="0" w:right="0"/>
        <w:rPr/>
      </w:pPr>
      <w:r>
        <w:rPr/>
        <w:t>Correspondingly, the Nigerian Code of Corporate Governance (NCCG) 2018, promulgated by the Financial Reporting Council of Nigeria, adopts a principles-based "Apply and Explain" paradigm, affording DMBs latitude in tailoring governance principles—such as board diversity, whistleblowing mechanisms, and risk oversight—to institutional contexts, provided justifications for any deviations are articulated (Nwaukwa, 2024). This discretionary flexibility, although intended to accommodate operational variegations, has historically enabled banks to prioritise less stringent codes, thereby fostering disclosure lapses and compliance evasions that precipitated financial misreporting during the 2009 banking crisis. For instance, institutions such as Oceanic Bank concealed escalating NPLs through opaque practices, a vulnerability exacerbated by regulatory leniency (Sanusi, 2009). Empirical scrutiny by Abdulmalik and Ahmad (2020) underscores how such discretionary approaches correlate with diminished audit committee independence and eroded financial reporting integrity, which in turn mediate the pathway to heightened risk management deficiencies and direct escalations in NPL ratios. Extending this critique, Afolabi and Afolabi (2024) delineate how regulatory multiplicity engenders deficiencies in practice indices, particularly in audit committee functions, where mediated relationships between independence and reporting integrity are compromised, culminating in attenuated disclosure compliance and amplified default propensities.</w:t>
      </w:r>
    </w:p>
    <w:p>
      <w:pPr>
        <w:pStyle w:val="BodyText"/>
        <w:ind w:hanging="0" w:left="0" w:right="0"/>
        <w:rPr/>
      </w:pPr>
      <w:r>
        <w:rPr/>
        <w:t>In response to these enduring fragilities, the Central Bank of Nigeria (CBN) introduced the Corporate Governance Guidelines 2023, expressly tailored for DMBs to mandate enhanced board independence, robust practice indices, and comprehensive disclosure protocols, thereby addressing legacies of past crises (Iwedi et al., 2024). These guidelines impose prescriptive thresholds, including minimum independent director quotas and executive remuneration transparency, to fortify governance apparatuses against NPL proliferation. Nonetheless, persistent tensions arise from their intersection with the NCCG 2018's flexibility, particularly in risk committee configurations, where selective adherence prevails and undermines holistic implementation (Odiase, 2024). Similarly, the Securities and Exchange Commission (SEC) Code of Conduct for Capital Market Operators and their Employees 2011 emphasises shareholder rights protection and board independence, incorporating stricter prohibitions on interlocking directorships compared to the CBN's comparatively lenient stipulations, thereby engendering normative clashes that dilute enforcement coherence (Nwaukwa et al., 2024). Survey evidence from Osemeke and Adegbite (2016) reveals that 67 percent of respondents acknowledge significant disparities across these codes, with 80 percent citing regulatory complexity as a substantive impediment to operational efficiency (see Figure 1.2 for a schematic representation of overlapping mandates).</w:t>
      </w:r>
    </w:p>
    <w:p>
      <w:pPr>
        <w:pStyle w:val="BodyText"/>
        <w:ind w:hanging="0" w:left="0" w:right="0"/>
        <w:rPr/>
      </w:pPr>
      <w:r>
        <w:rPr/>
        <w:t>This regulatory multiplicity precipitates tangible adverse outcomes, including escalated compliance costs, protracted decision-making processes, and the exacerbation of agency problems, wherein managerial opportunism exploits interstitial gaps to prioritise self-interest over stakeholder welfare, contributing to NPL ratios surpassing 20 percent in 2017—far exceeding the CBN's five percent prudential threshold (Adegboye, 2020). Ojo and Ojo (2024) further elucidate how inter-code conflicts attenuate practice indices, particularly in audit committee oversight, where weakened mediation of financial reporting integrity erodes risk management frameworks and disclosure efficacy. Recent developments, such as the CBN's Banking Sector Recapitalisation Programme 2024, mandate international banks to attain capital bases of five hundred billion naira, layering additional governance imperatives atop extant codes without achieving full harmonisation (CBN, 2024). This ongoing fragmentation not only aligns with institutional theory's emphasis on coercive isomorphism—wherein external pressures from disparate regulators induce mimetic yet inconsistent adaptations—but also challenges stewardship theory's assumptions of managerial alignment, as conflicting directives foster moral hazard and signalling asymmetries that obscure credible governance commitments to creditors and regulators.</w:t>
      </w:r>
    </w:p>
    <w:p>
      <w:pPr>
        <w:pStyle w:val="BodyText"/>
        <w:ind w:hanging="0" w:left="0" w:right="0"/>
        <w:rPr/>
      </w:pPr>
      <w:r>
        <w:rPr/>
        <w:t>Comparatively, Nigeria's fragmented landscape contrasts with more integrated regimes in peer emerging markets, such as Ghana's unified Banking Act under the Bank of Ghana, which harmonises governance with Basel III principles to yield lower NPL volatility (Bank of Ghana, 2023), or South Africa's King IV Code, which embeds a single "Apply and Comply" framework to enhance disclosure credibility and reduce agency costs (Institute of Directors in Southern Africa, 2016). In OECD jurisdictions, supranational coordination via the Financial Stability Board mitigates multiplicity, facilitating negative correlations between governance indices and NPLs (OECD, 2023). These benchmarks underscore the imperative for Nigeria's regulatory convergence, as envisaged in Research Question 4, to attenuate NPL ratios through clarified enforcement multiplicities post-2020 CBN-SEC harmonisation initiatives. Theoretically, this fragmentation precipitates institutional voids that agency theory posits as conduits for principal-agent divergences, while stewardship perspectives highlight the potential for aligned governance under unified norms. Empirically, such insights inform the thesis's panel fixed-effects models (Research Question 1 and Research Question 3), which control for reform-induced shifts in disclosure-practice-compliance interdependencies, and the bootstrapped mediation analyses (Research Question 2), which probe audit committee independence amid regulatory noise. Policy-wise, addressing these fissures necessitates CBN-led unification to bolster financial stability, avert crisis recurrence, and align with global standards, thereby yielding practicable reductions in default risk within the DMB sector.</w:t>
      </w:r>
    </w:p>
    <w:p>
      <w:pPr>
        <w:pStyle w:val="Normal"/>
        <w:bidi w:val="0"/>
        <w:jc w:val="left"/>
        <w:rPr/>
      </w:pPr>
      <w:r>
        <w:rPr/>
      </w:r>
    </w:p>
    <w:p>
      <w:pPr>
        <w:pStyle w:val="Normal"/>
        <w:bidi w:val="0"/>
        <w:jc w:val="left"/>
        <w:rPr/>
      </w:pPr>
      <w:r>
        <w:rPr/>
      </w:r>
    </w:p>
    <w:p>
      <w:pPr>
        <w:pStyle w:val="Heading4"/>
        <w:bidi w:val="0"/>
        <w:jc w:val="left"/>
        <w:rPr/>
      </w:pPr>
      <w:r>
        <w:rPr/>
        <w:t>2.4.2 Conflicts and Inconsistencies Among Regulatory Codes</w:t>
      </w:r>
    </w:p>
    <w:p>
      <w:pPr>
        <w:pStyle w:val="BodyText"/>
        <w:ind w:hanging="0" w:left="0" w:right="0"/>
        <w:rPr/>
      </w:pPr>
      <w:r>
        <w:rPr/>
        <w:t>The multiplicity of regulatory codes governing Nigeria's deposit money banking sector precipitates specific conflicts that hinder effective governance and, in turn, contribute to elevated default risk, as manifested in persistent non-performing loan ratios. This fragmentation arises from overlapping mandates among key statutes and guidelines, including the Companies and Allied Matters Act (CAMA) 2020, the Nigerian Code of Corporate Governance (NCCG) 2018, the Central Bank of Nigeria (CBN) Code of Corporate Governance 2014 (as updated through subsequent directives), the CBN Guidelines on Corporate Governance for Banks 2023, and the Securities and Exchange Commission (SEC) Code of Corporate Governance 2011. Such overlaps engender interpretive ambiguities and enforcement disparities, undermining the institutional activation of disclosure mechanisms central to Research Question 3 and the perceived regulatory clarity improvements interrogated in Research Question 4.</w:t>
      </w:r>
    </w:p>
    <w:p>
      <w:pPr>
        <w:sectPr>
          <w:type w:val="nextPage"/>
          <w:pgSz w:w="12240" w:h="15840"/>
          <w:pgMar w:left="1134" w:right="1134" w:gutter="0" w:header="0" w:top="1134" w:footer="0" w:bottom="1134"/>
          <w:pgNumType w:fmt="decimal"/>
          <w:formProt w:val="false"/>
          <w:textDirection w:val="lrTb"/>
          <w:docGrid w:type="default" w:linePitch="312" w:charSpace="0"/>
        </w:sectPr>
        <w:pStyle w:val="Normal"/>
        <w:bidi w:val="0"/>
        <w:jc w:val="left"/>
        <w:rPr/>
      </w:pPr>
      <w:r>
        <w:rPr/>
      </w:r>
    </w:p>
    <w:p>
      <w:pPr>
        <w:pStyle w:val="Normal"/>
        <w:bidi w:val="0"/>
        <w:jc w:val="left"/>
        <w:rPr>
          <w:b/>
          <w:bCs/>
        </w:rPr>
      </w:pPr>
      <w:r>
        <w:rPr>
          <w:b/>
          <w:bCs/>
        </w:rPr>
        <w:t xml:space="preserve">Table </w:t>
      </w:r>
      <w:r>
        <w:rPr>
          <w:b/>
          <w:bCs/>
        </w:rPr>
        <w:t>2.2</w:t>
      </w:r>
      <w:r>
        <w:rPr>
          <w:b/>
          <w:bCs/>
        </w:rPr>
        <w:t>: Comparative Analysis of Major Nigerian Corporate Governance Codes (2020–2023): Key Provisions, Inter-Code Conflicts, and Impact on Core Tenets</w:t>
      </w:r>
    </w:p>
    <w:p>
      <w:pPr>
        <w:pStyle w:val="Normal"/>
        <w:bidi w:val="0"/>
        <w:jc w:val="left"/>
        <w:rPr/>
      </w:pPr>
      <w:r>
        <w:rPr/>
      </w:r>
    </w:p>
    <w:p>
      <w:pPr>
        <w:pStyle w:val="Normal"/>
        <w:bidi w:val="0"/>
        <w:jc w:val="left"/>
        <w:rPr/>
      </w:pPr>
      <w:r>
        <w:rPr/>
      </w:r>
    </w:p>
    <w:tbl>
      <w:tblPr>
        <w:tblW w:w="13414" w:type="dxa"/>
        <w:jc w:val="left"/>
        <w:tblInd w:w="36" w:type="dxa"/>
        <w:tblLayout w:type="fixed"/>
        <w:tblCellMar>
          <w:top w:w="0" w:type="dxa"/>
          <w:left w:w="36" w:type="dxa"/>
          <w:bottom w:w="0" w:type="dxa"/>
          <w:right w:w="36" w:type="dxa"/>
        </w:tblCellMar>
      </w:tblPr>
      <w:tblGrid>
        <w:gridCol w:w="1808"/>
        <w:gridCol w:w="4128"/>
        <w:gridCol w:w="3600"/>
        <w:gridCol w:w="3878"/>
      </w:tblGrid>
      <w:tr>
        <w:trPr/>
        <w:tc>
          <w:tcPr>
            <w:tcW w:w="1808" w:type="dxa"/>
            <w:tcBorders/>
          </w:tcPr>
          <w:p>
            <w:pPr>
              <w:pStyle w:val="TableHeading"/>
              <w:tabs>
                <w:tab w:val="clear" w:pos="709"/>
              </w:tabs>
              <w:bidi w:val="0"/>
              <w:rPr>
                <w:lang w:val="en-US"/>
              </w:rPr>
            </w:pPr>
            <w:r>
              <w:rPr>
                <w:rFonts w:ascii="Liberation Serif" w:hAnsi="Liberation Serif"/>
                <w:sz w:val="24"/>
                <w:lang w:val="en-US"/>
              </w:rPr>
              <w:t>Regulator</w:t>
            </w:r>
          </w:p>
        </w:tc>
        <w:tc>
          <w:tcPr>
            <w:tcW w:w="4128" w:type="dxa"/>
            <w:tcBorders/>
          </w:tcPr>
          <w:p>
            <w:pPr>
              <w:pStyle w:val="TableHeading"/>
              <w:tabs>
                <w:tab w:val="clear" w:pos="709"/>
              </w:tabs>
              <w:bidi w:val="0"/>
              <w:rPr>
                <w:lang w:val="en-US"/>
              </w:rPr>
            </w:pPr>
            <w:r>
              <w:rPr>
                <w:rFonts w:ascii="Liberation Serif" w:hAnsi="Liberation Serif"/>
                <w:sz w:val="24"/>
                <w:lang w:val="en-US"/>
              </w:rPr>
              <w:t>Key Provisions</w:t>
            </w:r>
          </w:p>
        </w:tc>
        <w:tc>
          <w:tcPr>
            <w:tcW w:w="3600" w:type="dxa"/>
            <w:tcBorders/>
          </w:tcPr>
          <w:p>
            <w:pPr>
              <w:pStyle w:val="TableHeading"/>
              <w:tabs>
                <w:tab w:val="clear" w:pos="709"/>
              </w:tabs>
              <w:bidi w:val="0"/>
              <w:rPr>
                <w:lang w:val="en-US"/>
              </w:rPr>
            </w:pPr>
            <w:r>
              <w:rPr>
                <w:rFonts w:ascii="Liberation Serif" w:hAnsi="Liberation Serif"/>
                <w:sz w:val="24"/>
                <w:lang w:val="en-US"/>
              </w:rPr>
              <w:t>Conflicts with Other Codes</w:t>
            </w:r>
          </w:p>
        </w:tc>
        <w:tc>
          <w:tcPr>
            <w:tcW w:w="3878" w:type="dxa"/>
            <w:tcBorders/>
          </w:tcPr>
          <w:p>
            <w:pPr>
              <w:pStyle w:val="TableHeading"/>
              <w:tabs>
                <w:tab w:val="clear" w:pos="709"/>
              </w:tabs>
              <w:bidi w:val="0"/>
              <w:rPr>
                <w:lang w:val="en-US"/>
              </w:rPr>
            </w:pPr>
            <w:r>
              <w:rPr>
                <w:rFonts w:ascii="Liberation Serif" w:hAnsi="Liberation Serif"/>
                <w:sz w:val="24"/>
                <w:lang w:val="en-US"/>
              </w:rPr>
              <w:t>Impact on Corporate Governance Tenets</w:t>
            </w:r>
          </w:p>
        </w:tc>
      </w:tr>
      <w:tr>
        <w:trPr/>
        <w:tc>
          <w:tcPr>
            <w:tcW w:w="1808" w:type="dxa"/>
            <w:tcBorders/>
          </w:tcPr>
          <w:p>
            <w:pPr>
              <w:pStyle w:val="TableContents"/>
              <w:tabs>
                <w:tab w:val="clear" w:pos="709"/>
              </w:tabs>
              <w:bidi w:val="0"/>
              <w:jc w:val="left"/>
              <w:rPr>
                <w:lang w:val="en-US"/>
              </w:rPr>
            </w:pPr>
            <w:r>
              <w:rPr>
                <w:rFonts w:ascii="Liberation Serif" w:hAnsi="Liberation Serif"/>
                <w:sz w:val="24"/>
                <w:lang w:val="en-US"/>
              </w:rPr>
              <w:t>Companies and Allied Matters Act 2020</w:t>
            </w:r>
          </w:p>
        </w:tc>
        <w:tc>
          <w:tcPr>
            <w:tcW w:w="4128" w:type="dxa"/>
            <w:tcBorders/>
          </w:tcPr>
          <w:p>
            <w:pPr>
              <w:pStyle w:val="TableContents"/>
              <w:tabs>
                <w:tab w:val="clear" w:pos="709"/>
              </w:tabs>
              <w:bidi w:val="0"/>
              <w:jc w:val="left"/>
              <w:rPr>
                <w:lang w:val="en-US"/>
              </w:rPr>
            </w:pPr>
            <w:r>
              <w:rPr>
                <w:rFonts w:ascii="Liberation Serif" w:hAnsi="Liberation Serif"/>
                <w:sz w:val="24"/>
                <w:lang w:val="en-US"/>
              </w:rPr>
              <w:t>Corporate Affairs Commission ≥2 directors ≥1/3 independent non-executive directors public companies audit committee mandatory equal directors/shareholders legal enforcement fines</w:t>
            </w:r>
          </w:p>
        </w:tc>
        <w:tc>
          <w:tcPr>
            <w:tcW w:w="3600" w:type="dxa"/>
            <w:tcBorders/>
          </w:tcPr>
          <w:p>
            <w:pPr>
              <w:pStyle w:val="TableContents"/>
              <w:tabs>
                <w:tab w:val="clear" w:pos="709"/>
              </w:tabs>
              <w:bidi w:val="0"/>
              <w:jc w:val="left"/>
              <w:rPr>
                <w:lang w:val="en-US"/>
              </w:rPr>
            </w:pPr>
            <w:r>
              <w:rPr>
                <w:rFonts w:ascii="Liberation Serif" w:hAnsi="Liberation Serif"/>
                <w:sz w:val="24"/>
                <w:lang w:val="en-US"/>
              </w:rPr>
              <w:t>Nigerian Code of Corporate Governance flexibility diversity conflict Central Bank of Nigeria remuneration disclosure stricter</w:t>
            </w:r>
          </w:p>
        </w:tc>
        <w:tc>
          <w:tcPr>
            <w:tcW w:w="3878" w:type="dxa"/>
            <w:tcBorders/>
          </w:tcPr>
          <w:p>
            <w:pPr>
              <w:pStyle w:val="TableContents"/>
              <w:tabs>
                <w:tab w:val="clear" w:pos="709"/>
              </w:tabs>
              <w:bidi w:val="0"/>
              <w:jc w:val="left"/>
              <w:rPr>
                <w:lang w:val="en-US"/>
              </w:rPr>
            </w:pPr>
            <w:r>
              <w:rPr>
                <w:rFonts w:ascii="Liberation Serif" w:hAnsi="Liberation Serif"/>
                <w:sz w:val="24"/>
                <w:lang w:val="en-US"/>
              </w:rPr>
              <w:t>Transparency shareholder influence audit committees allow bank practice rigid board structures impact</w:t>
            </w:r>
          </w:p>
        </w:tc>
      </w:tr>
      <w:tr>
        <w:trPr/>
        <w:tc>
          <w:tcPr>
            <w:tcW w:w="1808" w:type="dxa"/>
            <w:tcBorders/>
          </w:tcPr>
          <w:p>
            <w:pPr>
              <w:pStyle w:val="TableContents"/>
              <w:tabs>
                <w:tab w:val="clear" w:pos="709"/>
              </w:tabs>
              <w:bidi w:val="0"/>
              <w:jc w:val="left"/>
              <w:rPr>
                <w:lang w:val="en-US"/>
              </w:rPr>
            </w:pPr>
            <w:r>
              <w:rPr>
                <w:rFonts w:ascii="Liberation Serif" w:hAnsi="Liberation Serif"/>
                <w:sz w:val="24"/>
                <w:lang w:val="en-US"/>
              </w:rPr>
              <w:t>Nigerian Code of Corporate Governance 2018</w:t>
            </w:r>
          </w:p>
        </w:tc>
        <w:tc>
          <w:tcPr>
            <w:tcW w:w="4128" w:type="dxa"/>
            <w:tcBorders/>
          </w:tcPr>
          <w:p>
            <w:pPr>
              <w:pStyle w:val="TableContents"/>
              <w:tabs>
                <w:tab w:val="clear" w:pos="709"/>
              </w:tabs>
              <w:bidi w:val="0"/>
              <w:jc w:val="left"/>
              <w:rPr>
                <w:lang w:val="en-US"/>
              </w:rPr>
            </w:pPr>
            <w:r>
              <w:rPr>
                <w:rFonts w:ascii="Liberation Serif" w:hAnsi="Liberation Serif"/>
                <w:sz w:val="24"/>
                <w:lang w:val="en-US"/>
              </w:rPr>
              <w:t>Financial Reporting Council of Nigeria majority non-executive directors most independent non-executive directors Apply and Explain remuneration committee non-executive director chaired</w:t>
            </w:r>
          </w:p>
        </w:tc>
        <w:tc>
          <w:tcPr>
            <w:tcW w:w="3600" w:type="dxa"/>
            <w:tcBorders/>
          </w:tcPr>
          <w:p>
            <w:pPr>
              <w:pStyle w:val="TableContents"/>
              <w:tabs>
                <w:tab w:val="clear" w:pos="709"/>
              </w:tabs>
              <w:bidi w:val="0"/>
              <w:jc w:val="left"/>
              <w:rPr>
                <w:lang w:val="en-US"/>
              </w:rPr>
            </w:pPr>
            <w:r>
              <w:rPr>
                <w:rFonts w:ascii="Liberation Serif" w:hAnsi="Liberation Serif"/>
                <w:sz w:val="24"/>
                <w:lang w:val="en-US"/>
              </w:rPr>
              <w:t>Central Bank of Nigeria board size less stringent Securities and Exchange Commission shareholder approval conflict</w:t>
            </w:r>
          </w:p>
        </w:tc>
        <w:tc>
          <w:tcPr>
            <w:tcW w:w="3878" w:type="dxa"/>
            <w:tcBorders/>
          </w:tcPr>
          <w:p>
            <w:pPr>
              <w:pStyle w:val="TableContents"/>
              <w:tabs>
                <w:tab w:val="clear" w:pos="709"/>
              </w:tabs>
              <w:bidi w:val="0"/>
              <w:jc w:val="left"/>
              <w:rPr>
                <w:lang w:val="en-US"/>
              </w:rPr>
            </w:pPr>
            <w:r>
              <w:rPr>
                <w:rFonts w:ascii="Liberation Serif" w:hAnsi="Liberation Serif"/>
                <w:sz w:val="24"/>
                <w:lang w:val="en-US"/>
              </w:rPr>
              <w:t>Selective compliance facilitation risk management accountability enervation</w:t>
            </w:r>
          </w:p>
        </w:tc>
      </w:tr>
      <w:tr>
        <w:trPr/>
        <w:tc>
          <w:tcPr>
            <w:tcW w:w="1808" w:type="dxa"/>
            <w:tcBorders/>
          </w:tcPr>
          <w:p>
            <w:pPr>
              <w:pStyle w:val="TableContents"/>
              <w:tabs>
                <w:tab w:val="clear" w:pos="709"/>
              </w:tabs>
              <w:bidi w:val="0"/>
              <w:jc w:val="left"/>
              <w:rPr>
                <w:lang w:val="en-US"/>
              </w:rPr>
            </w:pPr>
            <w:r>
              <w:rPr>
                <w:rFonts w:ascii="Liberation Serif" w:hAnsi="Liberation Serif"/>
                <w:sz w:val="24"/>
                <w:lang w:val="en-US"/>
              </w:rPr>
              <w:t>Central Bank of Nigeria Corporate Governance Guidelines 2023</w:t>
            </w:r>
          </w:p>
        </w:tc>
        <w:tc>
          <w:tcPr>
            <w:tcW w:w="4128" w:type="dxa"/>
            <w:tcBorders/>
          </w:tcPr>
          <w:p>
            <w:pPr>
              <w:pStyle w:val="TableContents"/>
              <w:tabs>
                <w:tab w:val="clear" w:pos="709"/>
              </w:tabs>
              <w:bidi w:val="0"/>
              <w:jc w:val="left"/>
              <w:rPr>
                <w:lang w:val="en-US"/>
              </w:rPr>
            </w:pPr>
            <w:r>
              <w:rPr>
                <w:rFonts w:ascii="Liberation Serif" w:hAnsi="Liberation Serif"/>
                <w:sz w:val="24"/>
                <w:lang w:val="en-US"/>
              </w:rPr>
              <w:t>Central Bank of Nigeria 7-15 directors ≥3 independent independent non-executive directors performance-linked remuneration mandatory fines board dissolution</w:t>
            </w:r>
          </w:p>
        </w:tc>
        <w:tc>
          <w:tcPr>
            <w:tcW w:w="3600" w:type="dxa"/>
            <w:tcBorders/>
          </w:tcPr>
          <w:p>
            <w:pPr>
              <w:pStyle w:val="TableContents"/>
              <w:tabs>
                <w:tab w:val="clear" w:pos="709"/>
              </w:tabs>
              <w:bidi w:val="0"/>
              <w:jc w:val="left"/>
              <w:rPr>
                <w:lang w:val="en-US"/>
              </w:rPr>
            </w:pPr>
            <w:r>
              <w:rPr>
                <w:rFonts w:ascii="Liberation Serif" w:hAnsi="Liberation Serif"/>
                <w:sz w:val="24"/>
                <w:lang w:val="en-US"/>
              </w:rPr>
              <w:t>Securities and Exchange Commission interlocking directorships lenient Nigerian Code of Corporate Governance risk committees stricter</w:t>
            </w:r>
          </w:p>
        </w:tc>
        <w:tc>
          <w:tcPr>
            <w:tcW w:w="3878" w:type="dxa"/>
            <w:tcBorders/>
          </w:tcPr>
          <w:p>
            <w:pPr>
              <w:pStyle w:val="TableContents"/>
              <w:tabs>
                <w:tab w:val="clear" w:pos="709"/>
              </w:tabs>
              <w:bidi w:val="0"/>
              <w:jc w:val="left"/>
              <w:rPr>
                <w:lang w:val="en-US"/>
              </w:rPr>
            </w:pPr>
            <w:r>
              <w:rPr>
                <w:rFonts w:ascii="Liberation Serif" w:hAnsi="Liberation Serif"/>
                <w:sz w:val="24"/>
                <w:lang w:val="en-US"/>
              </w:rPr>
              <w:t>Risk management exaltation conflicts audit independence transparency abatement</w:t>
            </w:r>
          </w:p>
        </w:tc>
      </w:tr>
      <w:tr>
        <w:trPr/>
        <w:tc>
          <w:tcPr>
            <w:tcW w:w="1808" w:type="dxa"/>
            <w:tcBorders/>
          </w:tcPr>
          <w:p>
            <w:pPr>
              <w:pStyle w:val="TableContents"/>
              <w:tabs>
                <w:tab w:val="clear" w:pos="709"/>
              </w:tabs>
              <w:bidi w:val="0"/>
              <w:jc w:val="left"/>
              <w:rPr>
                <w:lang w:val="en-US"/>
              </w:rPr>
            </w:pPr>
            <w:r>
              <w:rPr>
                <w:rFonts w:ascii="Liberation Serif" w:hAnsi="Liberation Serif"/>
                <w:sz w:val="24"/>
                <w:lang w:val="en-US"/>
              </w:rPr>
              <w:t>Securities and Exchange Commission Code 2011</w:t>
            </w:r>
          </w:p>
        </w:tc>
        <w:tc>
          <w:tcPr>
            <w:tcW w:w="4128" w:type="dxa"/>
            <w:tcBorders/>
          </w:tcPr>
          <w:p>
            <w:pPr>
              <w:pStyle w:val="TableContents"/>
              <w:tabs>
                <w:tab w:val="clear" w:pos="709"/>
              </w:tabs>
              <w:bidi w:val="0"/>
              <w:jc w:val="left"/>
              <w:rPr>
                <w:lang w:val="en-US"/>
              </w:rPr>
            </w:pPr>
            <w:r>
              <w:rPr>
                <w:rFonts w:ascii="Liberation Serif" w:hAnsi="Liberation Serif"/>
                <w:sz w:val="24"/>
                <w:lang w:val="en-US"/>
              </w:rPr>
              <w:t>Securities and Exchange Commission ≥1 independent non-executive director separate Chairman/chief executive officer remuneration committee non-executive directors fines delisting</w:t>
            </w:r>
          </w:p>
        </w:tc>
        <w:tc>
          <w:tcPr>
            <w:tcW w:w="3600" w:type="dxa"/>
            <w:tcBorders/>
          </w:tcPr>
          <w:p>
            <w:pPr>
              <w:pStyle w:val="TableContents"/>
              <w:tabs>
                <w:tab w:val="clear" w:pos="709"/>
              </w:tabs>
              <w:bidi w:val="0"/>
              <w:jc w:val="left"/>
              <w:rPr>
                <w:lang w:val="en-US"/>
              </w:rPr>
            </w:pPr>
            <w:r>
              <w:rPr>
                <w:rFonts w:ascii="Liberation Serif" w:hAnsi="Liberation Serif"/>
                <w:sz w:val="24"/>
                <w:lang w:val="en-US"/>
              </w:rPr>
              <w:t>Central Bank of Nigeria family members boards clash Nigerian Code of Corporate Governance monitoring overlap</w:t>
            </w:r>
          </w:p>
        </w:tc>
        <w:tc>
          <w:tcPr>
            <w:tcW w:w="3878" w:type="dxa"/>
            <w:tcBorders/>
          </w:tcPr>
          <w:p>
            <w:pPr>
              <w:pStyle w:val="TableContents"/>
              <w:tabs>
                <w:tab w:val="clear" w:pos="709"/>
              </w:tabs>
              <w:bidi w:val="0"/>
              <w:jc w:val="left"/>
              <w:rPr>
                <w:lang w:val="en-US"/>
              </w:rPr>
            </w:pPr>
            <w:r>
              <w:rPr>
                <w:rFonts w:ascii="Liberation Serif" w:hAnsi="Liberation Serif"/>
                <w:sz w:val="24"/>
                <w:lang w:val="en-US"/>
              </w:rPr>
              <w:t>Accountability support multiplicity bank practice enforcement hindrance</w:t>
            </w:r>
          </w:p>
        </w:tc>
      </w:tr>
    </w:tbl>
    <w:p>
      <w:pPr>
        <w:pStyle w:val="Normal"/>
        <w:bidi w:val="0"/>
        <w:jc w:val="left"/>
        <w:rPr/>
      </w:pPr>
      <w:r>
        <w:rPr/>
      </w:r>
    </w:p>
    <w:p>
      <w:pPr>
        <w:pStyle w:val="Normal"/>
        <w:bidi w:val="0"/>
        <w:jc w:val="left"/>
        <w:rPr/>
      </w:pPr>
      <w:r>
        <w:rPr/>
      </w:r>
    </w:p>
    <w:p>
      <w:pPr>
        <w:pStyle w:val="Normal"/>
        <w:bidi w:val="0"/>
        <w:jc w:val="left"/>
        <w:rPr/>
      </w:pPr>
      <w:r>
        <w:rPr/>
        <w:t>Note: Adapted Central Bank of Nigeria 2023 Financial Reporting Council of Nigeria 2018 Companies and Allied Matters Act 2020 Securities and Exchange Commission 2011. Conflicts ambiguity contribution corporate governance tenets all impact.</w:t>
      </w:r>
    </w:p>
    <w:p>
      <w:pPr>
        <w:pStyle w:val="Normal"/>
        <w:bidi w:val="0"/>
        <w:jc w:val="left"/>
        <w:rPr/>
      </w:pPr>
      <w:r>
        <w:rPr/>
      </w:r>
    </w:p>
    <w:p>
      <w:pPr>
        <w:sectPr>
          <w:type w:val="nextPage"/>
          <w:pgSz w:orient="landscape" w:w="15840" w:h="12240"/>
          <w:pgMar w:left="1134" w:right="1134" w:gutter="0" w:header="0" w:top="1134" w:footer="0" w:bottom="1134"/>
          <w:pgNumType w:fmt="decimal"/>
          <w:formProt w:val="false"/>
          <w:textDirection w:val="lrTb"/>
        </w:sectPr>
        <w:pStyle w:val="Heading4"/>
        <w:bidi w:val="0"/>
        <w:jc w:val="left"/>
        <w:rPr/>
      </w:pPr>
      <w:r>
        <w:rPr/>
      </w:r>
    </w:p>
    <w:p>
      <w:pPr>
        <w:pStyle w:val="BodyText"/>
        <w:ind w:hanging="0" w:left="0" w:right="0"/>
        <w:rPr/>
      </w:pPr>
      <w:r>
        <w:rPr/>
        <w:t>A primary source of conflict lies in the contrasting enforcement philosophies embedded within these frameworks. The CAMA 2020 emphasises legal enforcement through fines and court interventions, thereby imposing a rigid compliance structure on corporate entities, including deposit money banks (DMBs). In contrast, the NCCG 2018 adopts an "apply and explain" flexibility, permitting banks to deviate from prescribed principles—such as board diversity and remuneration policies—provided they articulate justifications in annual reports (Osemeke &amp; Adegbite, 2016). This leniency affords DMBs greater discretion but fosters inconsistencies, as banks may interpret "explanation" as a loophole for suboptimal practices, thereby attenuating the negative linkage between governance disclosure and non-performing loan ratios post-reform, as posited in Research Question 3. Correspondingly, the CBN Guidelines 2023 mandate stricter board composition, stipulating seven to fifteen directors with at least three independent non-executives, while the SEC 2011 Code requires shareholder approval for executive compensation, introducing further inconsistencies in enforcement approaches across remuneration and board independence (Abdulmalik &amp; Ahmad, 2020). These divergences enable banks to engage in regulatory arbitrage, selectively "cherry-picking" rules that align with managerial preferences, a phenomenon corroborated by Osemeke and Adegbite (2016), whose survey of respondents revealed that eighty percent perceived disclosure compliance as subvertible, thereby facilitating financial misreporting and precipitating higher default risk.</w:t>
      </w:r>
    </w:p>
    <w:p>
      <w:pPr>
        <w:pStyle w:val="BodyText"/>
        <w:ind w:hanging="0" w:left="0" w:right="0"/>
        <w:rPr/>
      </w:pPr>
      <w:r>
        <w:rPr/>
        <w:t>Building upon this foundation, weak enforcement consistency exacerbates these challenges, stemming from the paucity of coordination among regulatory bodies such as the CBN, the Financial Reporting Council of Nigeria (FRCN), and the Corporate Affairs Commission (CAC). Nwoke et al. (2023) highlight institutional silos wherein the FRCN lacks authority to override sectoral regulators like the CBN, resulting in fragmented oversight. Shareholder associations, despite their potential role in monitoring, possess limited legal backing, further enervating enforcement credibility (Abdulmalik &amp; Ahmad, 2020). The 2009 banking crisis exemplifies the perils of such inadequacy: falsified financial statements went unchecked, with corrective actions deferred, eroding stakeholder trust and contributing to non-performing loan ratios exceeding thirty-seven percent in affected institutions (Olojede et al., 2020). From an institutional theory perspective, these enforcement lapses represent a failure in coercive isomorphism, where regulatory pressures fail to homogenise governance practices, thereby perpetuating agency conflicts and stewardship deficits that mediate the relationship between audit committee independence and financial reporting integrity, as explored in Research Question 2.</w:t>
      </w:r>
    </w:p>
    <w:p>
      <w:pPr>
        <w:pStyle w:val="BodyText"/>
        <w:ind w:hanging="0" w:left="0" w:right="0"/>
        <w:rPr/>
      </w:pPr>
      <w:r>
        <w:rPr/>
        <w:t>Recent empirical insights further illuminate how institutional weaknesses—characterised by outdated sanctions, resource constraints, and enforcement subversion—sustain governance lapses. Shaba (2024) documents cases of insider lending in family-controlled entities, such as the former Oceanic Bank, where seventy-five percent of non-performing loans originated from related-party transactions enabled by lax oversight (Sanusi, 2009). This fragmented and weakly enforced framework directly contributes to default risk by failing to assure compliance with governance standards essential for risk mitigation. Afolabi and Afolabi (2024) extend this analysis, demonstrating that weak enforcement undermines audit committee independence, thereby perpetuating deficiencies in practice indices and mediating the overall impact of disclosure on non-performing loan ratios. Even the CBN's 2024 recapitalisation directive, which mandates an additional nine hundred billion naira injection into select DMBs, is anticipated to bolster capital buffers; however, absent concomitant enforcement enhancements, non-performing loan risks are likely to perdure (BusinessDay NG, 2024).</w:t>
      </w:r>
    </w:p>
    <w:p>
      <w:pPr>
        <w:pStyle w:val="BodyText"/>
        <w:ind w:hanging="0" w:left="0" w:right="0"/>
        <w:rPr/>
      </w:pPr>
      <w:r>
        <w:rPr/>
        <w:t>Comparatively, these Nigerian conflicts mirror yet diverge from experiences in other emerging markets. In Ghana, the Bank of Ghana's unified code post-2018 has reduced overlaps with the Companies Act, yielding a more coherent enforcement regime and lower non-performing loan ratios relative to pre-reform periods (Bank of Ghana, 2022). South Africa's King IV Code (2016), with its integrated "apply and explain" approach under the Johannesburg Stock Exchange, exemplifies effective harmonisation, contrasting 2023 OECD reports on African governance reforms underscore the necessity of regulatory convergence to align with Basel III principles, wherein disclosure credibility attenuates credit risk (OECD, 2023). In OECD jurisdictions, single-regulator models (e.g., the UK's Financial Conduct Authority) mitigate multiplicity, offering lessons for Nigeria's CBN-SEC harmonisation efforts from 2020 to 2025, which Research Question 4 posits as a causal factor in non-performing loan declines.</w:t>
      </w:r>
    </w:p>
    <w:p>
      <w:pPr>
        <w:pStyle w:val="BodyText"/>
        <w:ind w:hanging="0" w:left="0" w:right="0"/>
        <w:rPr/>
      </w:pPr>
      <w:r>
        <w:rPr/>
        <w:t>Theoretically, these inconsistencies challenge agency theory's assumption of regulatory safeguards against managerial opportunism, while institutional theory elucidates how mimetic and normative pressures falter amid enforcement voids (DiMaggio &amp; Powell, 1983). Stewardship theory, conversely, suggests that aligned incentives could mitigate conflicts, yet empirical evidence from Nigerian DMBs indicates otherwise without robust regulatory clarity. Policymakers, including the CBN and SEC, must prioritise unification to enhance disclosure credibility and audit autonomy, thereby yielding practicable reductions in default risk. This evidences that resolving code conflicts is indispensable for the institutional reforms interrogated across Research Questions 3 and 4, fostering a governance ecosystem conducive to financial stability in Nigeria's deposit money banking sector.</w:t>
      </w:r>
    </w:p>
    <w:p>
      <w:pPr>
        <w:pStyle w:val="Normal"/>
        <w:bidi w:val="0"/>
        <w:jc w:val="left"/>
        <w:rPr/>
      </w:pPr>
      <w:r>
        <w:rPr/>
      </w:r>
    </w:p>
    <w:p>
      <w:pPr>
        <w:pStyle w:val="Normal"/>
        <w:bidi w:val="0"/>
        <w:jc w:val="left"/>
        <w:rPr/>
      </w:pPr>
      <w:r>
        <w:rPr/>
      </w:r>
    </w:p>
    <w:p>
      <w:pPr>
        <w:pStyle w:val="Heading4"/>
        <w:bidi w:val="0"/>
        <w:jc w:val="left"/>
        <w:rPr/>
      </w:pPr>
      <w:r>
        <w:rPr/>
        <w:t>2.4.3 Global Perspectives on Regulatory Harmonization</w:t>
      </w:r>
    </w:p>
    <w:p>
      <w:pPr>
        <w:pStyle w:val="BodyText"/>
        <w:ind w:hanging="0" w:left="0" w:right="0"/>
        <w:rPr/>
      </w:pPr>
      <w:r>
        <w:rPr/>
        <w:t>The global literature on corporate governance underscores the critical importance of regulatory harmonization and enforcement consistency in fostering effective governance mechanisms and attenuating financial risks, including the escalation of non-performing loan ratios in banking sectors (OECD, 2023; Aguilera &amp; Cuervo-Cazurra, 2004). The OECD Principles of Corporate Governance (2023) advocate for a unified regulatory framework that balances flexibility with enforceability, providing clear guidelines, independent oversight, and robust stakeholder protections. Such harmonized regulations serve to abate compliance ambiguities, thereby precipitating enhanced disclosure practices and lower systemic risks. Correspondingly, the European Union’s integrated supervisory frameworks, aligned with Basel III accords, have fortified banking stability by mandating capital adequacy thresholds and risk-weighted disclosures that mitigate default probabilities (BCBS, 2010). Aguilera and Cuervo-Cazurra (2004) further posit that effective governance necessitates the alignment of national codes with global standards, while adapting to local institutional contexts; for instance, Singapore’s harmonized regulations, bolstered by stringent judicial enforcement, have demonstrably minimized agency problems and financial distress in its financial sector.</w:t>
      </w:r>
    </w:p>
    <w:p>
      <w:pPr>
        <w:pStyle w:val="BodyText"/>
        <w:ind w:hanging="0" w:left="0" w:right="0"/>
        <w:rPr/>
      </w:pPr>
      <w:r>
        <w:rPr/>
        <w:t>These global insights resonate profoundly with the challenges confronted in nascent markets like Nigeria, where regulatory multiplicity and weak institutional frameworks exacerbate governance deficiencies (Aguilera &amp; Cuervo-Cazurra, 2009). Building upon this foundation, Brooks (1989) illustrates enforcement inconsistencies through the Canadian experience with multiple overlapping codes, a scenario that parallels the code disparities in Nigerian deposit money banks, enabling compliance evasion and perpetuating elevated non-performing loan ratios (Ofo, 2013). Empirical studies from diverse jurisdictions affirm that enforcement rigor emerges as a pivotal determinant of governance efficacy. Oman (2001) contends that in environments characterized by weak judicial systems—mirroring Nigeria’s context—independent regulatory agencies can serve as efficacious surrogates for courts, a proposition supported by the OECD (2023) and evidenced in Nigerian scholarship (Abdulmalik, 2020). Nonetheless, Nigeria’s enforcement landscape is constrained by overlapping mandates among agencies such as the Central Bank of Nigeria (CBN), Securities and Exchange Commission (SEC), and Nigerian Deposit Insurance Corporation (NDIC), compounded by limited resources, which precipitate model emulation failures and the perdurance of governance lapses (Nwoke et al., 2023).</w:t>
      </w:r>
    </w:p>
    <w:p>
      <w:pPr>
        <w:pStyle w:val="BodyText"/>
        <w:ind w:hanging="0" w:left="0" w:right="0"/>
        <w:rPr/>
      </w:pPr>
      <w:r>
        <w:rPr/>
        <w:t>Macey and O’Hara (2003) argue that self-regulatory codes can bolster investor confidence, yet their efficacy hinges on robust external enforcement; in Nigeria, the voluntary nature of the Nigerian Code of Corporate Governance (NCCG, 2018) has often subverted its impact, contrasting sharply with the CBN’s stricter mandates under the 2014 Code and subsequent guidelines (Tayo-Tiwo, 2020). This dichotomy underscores the exigency of harmonizing regulatory codes to strengthen enforcement consistency, aligning with global best practices to reduce default risks and enhance banking stability. Correspondingly, Ojo and Ojo (2024) draw global comparisons to reveal deficiencies in Nigeria’s integration of audit committee independence and financial reporting integrity as mediators within practice indices, advocating for enhanced disclosure and practice indices to ameliorate bank operations and attenuate non-performing loan ratios.</w:t>
      </w:r>
    </w:p>
    <w:p>
      <w:pPr>
        <w:pStyle w:val="BodyText"/>
        <w:ind w:hanging="0" w:left="0" w:right="0"/>
        <w:rPr/>
      </w:pPr>
      <w:r>
        <w:rPr/>
        <w:t>Recent developments further illuminate pathways toward harmonization. The CBN’s tightening of anti-money laundering compliance requirements in 2024 represents incremental steps toward regulatory convergence, though these fall short of comprehensive reform (Smile ID, 2024). Comparative analyses with Ghana and South Africa highlight instructive models: Ghana’s post-2017 banking cleanup, informed by harmonized CBN-equivalent directives, reduced non-performing loan ratios from 21.2 percent in 2017 to 13.6 percent by 2022 through enforced disclosure mandates and independent board oversight (Bank of Ghana, 2023). Similarly, South Africa’s King IV Report (2016) integrates OECD principles with local enforcement via the Johannesburg Stock Exchange, yielding a negative correlation between governance compliance indices and loan defaults (β = -0.18, p &lt; .01) in panel regressions spanning 2010–2023 (Deloitte South Africa, 2024). These cases, juxtaposed against OECD economies where Basel III convergence has precipitated a 15–20 percent decline in systemic risk premiums post-2014 (IMF, 2022), affirm institutional theory’s emphasis on coercive isomorphism—where regulatory harmonization compels adherence, thereby mediating the governance-non-performing loan nexus.</w:t>
      </w:r>
    </w:p>
    <w:p>
      <w:pPr>
        <w:pStyle w:val="BodyText"/>
        <w:ind w:hanging="0" w:left="0" w:right="0"/>
        <w:rPr/>
      </w:pPr>
      <w:r>
        <w:rPr/>
        <w:t>From an agency theory perspective, harmonization attenuates principal-agent conflicts by standardizing monitoring mechanisms, while stewardship theory suggests that aligned regulations foster intrinsic managerial commitment to risk mitigation. Institutionally, such reforms activate disclosure credibility, directly addressing Research Question 4 by positing that perceived regulatory clarity improvements from CBN-SEC harmonization (2020–2025) engender non-performing loan ratio declines (β &lt; 0, p &lt; .05), even after controlling for economic shocks like currency devaluation and inflation. Policy implications abound: Nigerian regulators must prioritize inter-agency memoranda of understanding to eliminate overlaps, emulate OECD enforceability benchmarks, and mandate Basel III-aligned disclosure indices. Managerially, deposit money banks should integrate harmonized governance into enterprise risk frameworks, potentially yielding a mediated reduction in non-performing loans via enhanced practice and compliance indices, as per Research Question 1 and Research Question 2. These global perspectives thus not only contextualize Nigeria’s reform trajectory post the 2009 crisis but also propel theoretical synthesis, urging empirical extensions through difference-in-differences analyses of pre- and post-harmonization periods to validate causal impacts on banking stability.</w:t>
      </w:r>
    </w:p>
    <w:p>
      <w:pPr>
        <w:pStyle w:val="Normal"/>
        <w:bidi w:val="0"/>
        <w:jc w:val="left"/>
        <w:rPr/>
      </w:pPr>
      <w:r>
        <w:rPr/>
      </w:r>
    </w:p>
    <w:p>
      <w:pPr>
        <w:pStyle w:val="Heading4"/>
        <w:bidi w:val="0"/>
        <w:jc w:val="left"/>
        <w:rPr/>
      </w:pPr>
      <w:r>
        <w:rPr/>
        <w:t>2.4.4 Implications for Default Risk and Non-Performing Loans</w:t>
      </w:r>
    </w:p>
    <w:p>
      <w:pPr>
        <w:pStyle w:val="BodyText"/>
        <w:ind w:hanging="0" w:left="0" w:right="0"/>
        <w:rPr/>
      </w:pPr>
      <w:r>
        <w:rPr/>
        <w:t>The fragmented regulatory framework governing Nigeria's deposit money banking sector, characterised by inconsistent enforcement mechanisms, exerts profound implications for compliance efficacy and, consequently, default risk manifested through elevated non-performing loan ratios. This fragmentation stems from the overlapping mandates of multiple statutes and guidelines, including the Companies and Allied Matters Act 2020, the Nigerian Code of Corporate Governance 2018, the Central Bank of Nigeria Guidelines 2023, and the Securities and Exchange Commission Code 2011. Such regulatory multiplicity engenders an environment conducive to selective compliance, wherein banks exploit ambiguities to prioritise short-term operational gains over long-term stability, thereby precipitating financial concealment and insider lending practices that directly exacerbate non-performing loans (Sanusi, 2009; Abdulmalik &amp; Ahmad, 2020). Building upon this foundation, the absence of robust enforcement mechanisms allows violations of practice indices—such as inadequate board oversight and weak internal controls—to remain unchecked, forging a direct linkage to systemic risks and recurrent banking crises (Nwoke et al., 2023).</w:t>
      </w:r>
    </w:p>
    <w:p>
      <w:pPr>
        <w:pStyle w:val="BodyText"/>
        <w:ind w:hanging="0" w:left="0" w:right="0"/>
        <w:rPr/>
      </w:pPr>
      <w:r>
        <w:rPr/>
        <w:t>Empirical evidence from the Nigerian context underscores how regulatory disharmony has historically amplified default risk. For instance, the 2009 banking upheaval, during which non-performing loan ratios surpassed 37 percent in select institutions, was precipitated in part by regulatory ambiguities that enabled asset concealment and moral hazard among bank executives (Sanusi, 2009). Correspondingly, Abdulmalik and Ahmad (2020) demonstrate that agency inefficiencies arising from multiplicity foster board and management incentives aligned with short-termism, thereby contributing to non-performing loan accumulation. This dynamic is further compounded by enforcement gaps, where historical legacies of institutional fragmentation—rooted in post-independence regulatory evolution—perpetuate weak oversight, as evidenced by persistent insider lending infractions (Osemeke &amp; Adegbite, 2016). Recent analyses reinforce this interplay; Afolabi and Afolabi (2024) highlight how post-2020 reforms, though incremental, have begun prioritising audit committee independence and financial reporting integrity as mediators to ameliorate practice indices and disclosure deficiencies, potentially attenuating non-performing loan trajectories.</w:t>
      </w:r>
    </w:p>
    <w:p>
      <w:pPr>
        <w:pStyle w:val="BodyText"/>
        <w:ind w:hanging="0" w:left="0" w:right="0"/>
        <w:rPr/>
      </w:pPr>
      <w:r>
        <w:rPr/>
        <w:t>In contrast, global literature advocates for unified regulatory frameworks to streamline compliance and deter noncompliance through empowered, independent enforcement authorities, offering instructive lessons for emerging markets like Nigeria (Aguilera &amp; Cuervo-Cazurra, 2004; OECD, 2023). The OECD (2023) principles, for example, emphasise harmonised codes that consolidate governance mandates under a single oversight body, thereby reducing agency conflicts and enhancing signalling mechanisms to creditors and investors. Comparative insights from jurisdictions such as Ghana and South Africa illustrate the efficacy of such unification: Ghana's adoption of a consolidated Banking Act in 2016, aligned with Basel III convergence, correlated with a 15 percent decline in non-performing loan ratios between 2017 and 2022, attributable to strengthened enforcement and reduced regulatory arbitrage (Bank of Ghana, 2022). Similarly, South Africa's Twin Peaks model, implemented post-2008, has fortified financial stability by delineating prudential and market conduct supervision, mitigating default risks through coherent governance enforcement (Financial Sector Conduct Authority, 2023). These precedents underscore the necessity for Nigeria to adopt principles-based harmonisation, potentially through a centralised banking governance code that addresses historical fragmentation and integrates Central Bank of Nigeria mandates with Securities and Exchange Commission oversight (Osemeke &amp; Adegbite, 2016).</w:t>
      </w:r>
    </w:p>
    <w:p>
      <w:pPr>
        <w:pStyle w:val="BodyText"/>
        <w:ind w:hanging="0" w:left="0" w:right="0"/>
        <w:rPr/>
      </w:pPr>
      <w:r>
        <w:rPr/>
        <w:t>From a theoretical standpoint, institutional theory posits that regulatory clarity and enforcement multiplicity attenuate isomorphic pressures that otherwise compel suboptimal governance behaviours in fragmented environments (DiMaggio &amp; Powell, 1983). Agency theory complements this by highlighting how harmonised regulations reduce information asymmetries, thereby curbing managerial opportunism that precipitates non-performing loans (Jensen &amp; Meckling, 1976). Stewardship theory, in turn, suggests that unified frameworks foster intrinsic motivations for ethical compliance among bank leaders, particularly when enforcement is predictable and severe (Davis et al., 1997). Synthesising these perspectives, the Nigerian case reveals that absent such harmonisation, default risk persists despite capital injections; the Central Bank of Nigeria's 2024 recapitalisation directive, mandating an additional nine hundred billion naira in equity, aims to bolster resilience but risks perdurance of non-performing loan vulnerabilities without concomitant enforcement reforms (Central Bank of Nigeria, 2024; BusinessDay NG, 2024).</w:t>
      </w:r>
    </w:p>
    <w:p>
      <w:pPr>
        <w:pStyle w:val="BodyText"/>
        <w:ind w:hanging="0" w:left="0" w:right="0"/>
        <w:rPr/>
      </w:pPr>
      <w:r>
        <w:rPr/>
        <w:t>This subsection's analysis directly informs the thesis's four research questions, underscoring the exigency of regulatory harmonisation for default risk mitigation and banking stability enhancement. Specifically, Research Question 1 examines the modulating effects of governance indices on non-performing loan ratios, controlling for macroeconomic factors, where fragmented enforcement may attenuate disclosure and compliance impacts. Research Question 2 probes audit committee independence as a mediator via financial reporting integrity, a mechanism undermined by regulatory multiplicity. Research Question 3 employs a difference-in-differences framing to assess pre- and post-reform shifts in disclosure-NPL linkages, attributable to Central Bank of Nigeria mandates on board tenure and independence. Finally, Research Question 4 quantifies perceived regulatory clarity improvements from 2020–2025 harmonisation efforts, testing causal declines in non-performing loan ratios (β &lt; 0, p &lt; .05) amid economic shocks. Subsequent sections will explore specific governance mechanisms—disclosure, practice, and compliance indices, alongside audit committee independence and financial reporting mediation—in their impact on non-performing loans within Nigerian deposit money banks, incorporating global challenges and context-specific reforms (Ojo &amp; Ojo, 2024).</w:t>
      </w:r>
    </w:p>
    <w:p>
      <w:pPr>
        <w:pStyle w:val="Heading3"/>
        <w:numPr>
          <w:ilvl w:val="2"/>
          <w:numId w:val="1"/>
        </w:numPr>
        <w:bidi w:val="0"/>
        <w:ind w:hanging="0" w:left="0"/>
        <w:jc w:val="left"/>
        <w:rPr>
          <w:rFonts w:ascii="Nimbus Roman" w:hAnsi="Nimbus Roman"/>
          <w:sz w:val="24"/>
          <w:szCs w:val="24"/>
        </w:rPr>
      </w:pPr>
      <w:r>
        <w:rPr>
          <w:rFonts w:ascii="Nimbus Roman" w:hAnsi="Nimbus Roman"/>
          <w:sz w:val="24"/>
          <w:szCs w:val="24"/>
        </w:rPr>
        <w:t>2.6 Audit Committee Independence and Financial Reporting Integrity</w:t>
      </w:r>
    </w:p>
    <w:p>
      <w:pPr>
        <w:pStyle w:val="BodyText"/>
        <w:ind w:hanging="0" w:left="0" w:right="0"/>
        <w:rPr/>
      </w:pPr>
      <w:r>
        <w:rPr/>
        <w:t>The independence of audit committees has emerged as a cornerstone in fortifying financial reporting integrity within the Nigerian deposit money banking sector, with bank insiders perceiving this mechanism as a pivotal mediator in attenuating governance failures that precipitate elevated non-performing loan ratios (Udo, 2020). In Nigeria, audit committees are formally tasked with overseeing financial reporting processes, internal controls, and risk management frameworks, as stipulated under the Central Bank of Nigeria (CBN) Code of Corporate Governance (2014) and the Nigerian Code of Corporate Governance (NCCG, 2018). However, the efficacy of these committees is frequently undermined by a lack of genuine independence, often resulting from majority shareholder capture, which in turn fosters financial misreporting and amplifies default risk (Adegbite, 2014). This dynamic was starkly evidenced during the 2009 banking crisis, when non-performing loan ratios escalated to 37 percent, far exceeding the CBN's prudential threshold of five percent; by 2017, although ratios had moderated to 20 percent, persistent vulnerabilities underscored the criticality of robust audit committee independence in mitigating such risks through the exaltation of financial reporting integrity (Nwosu, 2020; Adegboye, 2020).</w:t>
      </w:r>
    </w:p>
    <w:p>
      <w:pPr>
        <w:pStyle w:val="BodyText"/>
        <w:ind w:hanging="0" w:left="0" w:right="0"/>
        <w:rPr/>
      </w:pPr>
      <w:r>
        <w:rPr/>
        <w:t>Building upon this foundation, the interplay between audit committee independence and non-performing loan reduction can be theoretically segmented through the lenses of agency theory and resource dependence theory. Agency theory posits that independent audit committees serve as vigilant monitors, alleviating information asymmetries between principals (shareholders) and agents (management) by enforcing rigorous disclosure and compliance standards, thereby curbing opportunistic behaviours that inflate default risks (Jensen &amp; Meckling, 1976). Correspondingly, resource dependence theory frames audit committees as conduits for external expertise and legitimacy, enabling banks to navigate environmental uncertainties—such as regulatory scrutiny and macroeconomic volatility—in emerging markets like Nigeria (Pfeffer &amp; Salancik, 1978). Extant Nigerian literature, however, reveals a conspicuous gap in empirically delineating the mediated pathways through which audit committee independence influences non-performing loans via enhanced oversight; much of the discourse remains descriptive, highlighting instances of committee capture without quantifying its attenuating effects on reporting quality (Okike, 2007; Adegbite, 2015).</w:t>
      </w:r>
    </w:p>
    <w:p>
      <w:pPr>
        <w:pStyle w:val="BodyText"/>
        <w:ind w:hanging="0" w:left="0" w:right="0"/>
        <w:rPr/>
      </w:pPr>
      <w:r>
        <w:rPr/>
        <w:t>This evidences a broader contrast with global standards, where audit committee independence is operationalised through stringent compositional requirements—such as a majority of non-executive directors with financial literacy under the Sarbanes-Oxley Act (2002) in the United States or the OECD Principles of Corporate Governance (2023)—yielding demonstrable reductions in financial misstatements and credit risk. In comparative emerging market contexts, South African banks under the King IV Report (2016) have exhibited stronger linkages between independent audit oversight and lower non-performing loan portfolios, attributable to enforced separation from executive influence and mandatory rotation policies (Rossouw, 2021). Ghana's experience post the 2017–2019 banking sector cleanup similarly illustrates how audit committee reforms, mandating at least three independent members, correlated with a 15 percent decline in impaired loans by bolstering reporting transparency (Bank of Ghana, 2022). These international benchmarks accentuate the institutional voids in Nigeria, where despite post-2009 reforms—including the CBN's 2014 directive for audit committees to comprise solely non-executive directors—implementation lags due to entrenched ownership concentration and weak enforcement multiplicity (Olojede et al., 2020).</w:t>
      </w:r>
    </w:p>
    <w:p>
      <w:pPr>
        <w:pStyle w:val="BodyText"/>
        <w:ind w:hanging="0" w:left="0" w:right="0"/>
        <w:rPr/>
      </w:pPr>
      <w:r>
        <w:rPr/>
        <w:t>Recent empirical advancements further illuminate this nexus. Afolabi and Afolabi (2024) employ a mediated regression framework on panel data from 15 Nigerian deposit money banks (2015–2023), demonstrating that audit committee independence significantly predicts financial reporting integrity (measured via the timeliness and accuracy of disclosures), which in turn partially mediates a negative relationship with non-performing loan ratios (β = -0.28, p &lt; .01). This mediation is reinforced through practice indices encompassing risk management protocols and disclosure compliance, aligning with Basel III convergence imperatives that prioritise audit autonomy to safeguard systemic stability (Basel Committee on Banking Supervision, 2015). Correspondingly, stakeholder perceptions from semi-structured interviews with Nigerian bank executives reveal that perceived independence attenuates moral hazard, yet is contingent upon regulatory harmonisation between the CBN and Securities and Exchange Commission (SEC) to preclude capture (Sanusi, 2014; Yakubu &amp; Abubakar, 2021).</w:t>
      </w:r>
    </w:p>
    <w:p>
      <w:pPr>
        <w:pStyle w:val="BodyText"/>
        <w:ind w:hanging="0" w:left="0" w:right="0"/>
        <w:rPr/>
      </w:pPr>
      <w:r>
        <w:rPr/>
        <w:t>Addressing Research Question 2 directly—to what degree does audit committee independence reduce 2024 non-performing loan ratios in Nigerian deposit money banks, and is this relationship partially mediated by enhanced financial reporting integrity as perceived by bank insiders?—this subsection synthesises theoretical and empirical strands to posit a mediated model. Bootstrapped mediation analyses, as proposed in the methodological framework (Chapter 3), will operationalise this inquiry using cross-sectional survey data from 234 respondents across 10 banks, complemented by Hayes Process Model 4 to estimate indirect effects while controlling for confounding variables such as board size and ownership structure. Such an approach not only bridges agency-stewardship tensions—where independent committees foster stewardship through ethical reporting—but also contributes to institutional theory by elucidating how regulatory mandates activate disclosure credibility, thereby informing policy reforms under the Companies and Allied Matters Act (CAMA, 2020) and CBN Guidelines (2023). In essence, elevating audit committee independence transcends mere compliance; it precipitates a virtuous cycle of integrity that directly attenuates non-performing loan propulsion in Nigeria's fragile banking ecosystem.</w:t>
      </w:r>
    </w:p>
    <w:p>
      <w:pPr>
        <w:pStyle w:val="Heading4"/>
        <w:bidi w:val="0"/>
        <w:jc w:val="left"/>
        <w:rPr/>
      </w:pPr>
      <w:r>
        <w:rPr/>
        <w:t>2.6.1 Theoretical Foundations of Audit Committee Roles</w:t>
      </w:r>
    </w:p>
    <w:p>
      <w:pPr>
        <w:pStyle w:val="Heading4"/>
        <w:spacing w:before="0" w:after="283"/>
        <w:rPr/>
      </w:pPr>
      <w:r>
        <w:rPr/>
        <w:t>2.6.1.1 Agency Theory and Financial Oversight</w:t>
      </w:r>
    </w:p>
    <w:p>
      <w:pPr>
        <w:pStyle w:val="BodyText"/>
        <w:ind w:hanging="0" w:left="0" w:right="0"/>
        <w:rPr/>
      </w:pPr>
      <w:r>
        <w:rPr/>
        <w:t>Agency theory, as articulated by Jensen and Meckling (1976), posits that audit committees serve as a pivotal governance mechanism to mitigate inherent agency conflicts arising between shareholders (as principals) and management (as agents). This mitigation is achieved through the promotion of transparent financial reporting, which attenuates information asymmetry and curtails opportunistic managerial behaviour. Independent audit committees, insulated from undue managerial influence, conduct rigorous reviews of financial statements, thereby enhancing fraud detection and ensuring compliance with regulatory standards (Fama &amp; Jensen, 1983). Building upon this foundation, the theory underscores the committee's role in aligning divergent interests, particularly in environments characterised by high agency costs.</w:t>
      </w:r>
    </w:p>
    <w:p>
      <w:pPr>
        <w:pStyle w:val="BodyText"/>
        <w:ind w:hanging="0" w:left="0" w:right="0"/>
        <w:rPr/>
      </w:pPr>
      <w:r>
        <w:rPr/>
        <w:t>In the context of Nigeria's deposit money banking sector, where mismanagement has historically precipitated elevated non-performing loan ratios, agency theory illuminates the critical function of audit committees in overseeing financial expertise and autonomy to constrain risky lending practices. The 2009 banking crisis, exemplified by the Oceanic Bank debacle, revealed weak oversight mechanisms that facilitated insider loans constituting seventy-five percent of non-performing loans, thereby enabling unchecked default risk accumulation (Sanusi, 2009). Correspondingly, Ojo and Ojo (2024) extend agency theory by empirically linking audit committee roles—operationalised through practice indices—to the amelioration of loan portfolio quality, validating adherence to Central Bank of Nigeria risk-based supervision guidelines. This linkage reinforces financial-reporting integrity, as perceived by bank insiders, and posits that independent audit committees are instrumental in detecting irregularities, such as inflated asset valuations, which directly contribute to unmitigated default risk (Abdulmalik &amp; Ahmad, 2020).</w:t>
      </w:r>
    </w:p>
    <w:p>
      <w:pPr>
        <w:pStyle w:val="BodyText"/>
        <w:ind w:hanging="0" w:left="0" w:right="0"/>
        <w:rPr/>
      </w:pPr>
      <w:r>
        <w:rPr/>
        <w:t>Empirical evidence from emerging markets further substantiates these assertions. For instance, studies in Ghanaian and South African banking sectors demonstrate that audit committee independence significantly moderates agency conflicts, yielding lower non-performing loan ratios post-Basel III convergence (Amoah et al., 2022; Rossouw &amp; Stiglingh, 2021). In Nigeria, post-2014 reforms under the Central Bank of Nigeria Code of Corporate Governance have mandated greater audit committee autonomy, aligning with agency predictions of reduced moral hazard. However, persistent challenges, including managerial entrenchment, underscore the theory's limitations in contexts of regulatory fragmentation, where enforcement multiplicity may dilute oversight efficacy (OECD, 2023). This evidences that, while agency theory provides a robust framework for understanding audit committee contributions to financial oversight, its explanatory power is contingent upon institutional activations that bolster independence and expertise.</w:t>
      </w:r>
    </w:p>
    <w:p>
      <w:pPr>
        <w:pStyle w:val="Heading4"/>
        <w:spacing w:before="0" w:after="283"/>
        <w:rPr/>
      </w:pPr>
      <w:r>
        <w:rPr/>
        <w:t>2.6.1.2 Resource Dependence Theory and Governance Credibility</w:t>
      </w:r>
    </w:p>
    <w:p>
      <w:pPr>
        <w:pStyle w:val="BodyText"/>
        <w:ind w:hanging="0" w:left="0" w:right="0"/>
        <w:rPr/>
      </w:pPr>
      <w:r>
        <w:rPr/>
        <w:t>Complementing agency theory, resource dependence theory (Pfeffer &amp; Salancik, 1978) conceptualises audit committees as conduits for securing critical external resources, thereby enhancing governance credibility and stakeholder trust through effective oversight mechanisms. The theory emphasises that committee members, equipped with financial expertise and external networks, exalt governance quality by aligning practice indices with stakeholder expectations (Hillman et al., 2000). In resource-scarce environments, such as Nigeria's volatile banking sector, independent audit committees fortify perceived financial-reporting integrity among bank insiders, fostering investor confidence and precipitating default risk reduction. Nonetheless, the prevalence of shareholder capture and unqualified management in Nigerian deposit money banks has historically subverted these theoretical benefits, contributing to governance lapses and crisis recurrence (Adegbite, 2014).</w:t>
      </w:r>
    </w:p>
    <w:p>
      <w:pPr>
        <w:pStyle w:val="BodyText"/>
        <w:ind w:hanging="0" w:left="0" w:right="0"/>
        <w:rPr/>
      </w:pPr>
      <w:r>
        <w:rPr/>
        <w:t>Recent scholarship amplifies this perspective by demonstrating how resource dependence theory mediates the impact of practice indices and disclosure on external expertise within audit committees, bridging risk management gaps and aligning with stakeholder demands for robust bank operations. Afolabi and Afolabi (2024) elucidate that skilled audit committees mediate financial-reporting integrity, particularly in aligning with International Financial Reporting Standards compliance, which is paramount in Nigeria's volatile banking sector amid economic shocks like currency devaluation (Ojo &amp; Ojo, 2024). Comparative insights from OECD jurisdictions reveal that resource-rich audit committees—bolstered by diverse directorships—attenuate non-performing loan ratios by twenty to thirty percent through enhanced signalling of governance credibility, a mechanism underexploited in Nigerian contexts due to limited board interlocks (OECD, 2023; Hillman &amp; Dalziel, 2003).</w:t>
      </w:r>
    </w:p>
    <w:p>
      <w:pPr>
        <w:pStyle w:val="BodyText"/>
        <w:ind w:hanging="0" w:left="0" w:right="0"/>
        <w:rPr/>
      </w:pPr>
      <w:r>
        <w:rPr/>
        <w:t>This theoretical lens contrasts with agency theory by shifting focus from conflict resolution to resource acquisition, synthesising a hybrid view where audit committees not only monitor but also legitimise banking operations. In post-reform Nigeria, the Nigerian Code of Corporate Governance (2018) and Companies and Allied Matters Act (2020) have institutionalised resource dependence principles by requiring audit committee members with specialised competencies, thereby addressing prior deficits in expertise that exacerbated the 2009 crisis. Yet, empirical gaps persist; for instance, stewardship theory critiques resource dependence for overlooking intrinsic managerial motivations, suggesting that over-reliance on external resources may undermine internal accountability (Davis et al., 1997). Correspondingly, integrating these theories reveals interdependencies: audit committee independence, per agency logic, enables resource mobilisation, per dependence logic, to mediate financial-reporting integrity and attenuate non-performing loan ratios—a proposition tested in Research Question 2 through bootstrapped mediation on insider perceptions. This synthesis contributes to institutional theory by highlighting how regulatory harmonisation activates these mechanisms, offering practicable insights for emerging market governance reforms.</w:t>
      </w:r>
    </w:p>
    <w:p>
      <w:pPr>
        <w:pStyle w:val="Normal"/>
        <w:bidi w:val="0"/>
        <w:jc w:val="left"/>
        <w:rPr/>
      </w:pPr>
      <w:r>
        <w:rPr/>
      </w:r>
    </w:p>
    <w:p>
      <w:pPr>
        <w:pStyle w:val="Normal"/>
        <w:bidi w:val="0"/>
        <w:jc w:val="left"/>
        <w:rPr/>
      </w:pPr>
      <w:r>
        <w:rPr/>
        <w:t>2.6.2 Challenges to Audit Committee Independence in Nigeria</w:t>
      </w:r>
    </w:p>
    <w:p>
      <w:pPr>
        <w:pStyle w:val="Normal"/>
        <w:bidi w:val="0"/>
        <w:jc w:val="left"/>
        <w:rPr/>
      </w:pPr>
      <w:r>
        <w:rPr/>
      </w:r>
    </w:p>
    <w:p>
      <w:pPr>
        <w:pStyle w:val="Normal"/>
        <w:bidi w:val="0"/>
        <w:jc w:val="left"/>
        <w:rPr/>
      </w:pPr>
      <w:r>
        <w:rPr/>
        <w:t>Nigerian literature audit-committee independence significant challenges majority shareholders capture financial reporting exacerbation default risk primary. Adegbite 2014 Companies and Allied Matters Act 2020 equal representation directors shareholders audit committees mandate Section 359(4) despite committees majority shareholders management behest function rigorous oversight ability subversion. Capture 2009 banking crisis evident audit committees financial statements scrutiny failure banks Oceanic non-performing loans concealment stakeholder distress awareness deferral (Olojede et al., 2020).</w:t>
      </w:r>
    </w:p>
    <w:p>
      <w:pPr>
        <w:pStyle w:val="Normal"/>
        <w:bidi w:val="0"/>
        <w:jc w:val="left"/>
        <w:rPr/>
      </w:pPr>
      <w:r>
        <w:rPr/>
      </w:r>
    </w:p>
    <w:p>
      <w:pPr>
        <w:pStyle w:val="Normal"/>
        <w:bidi w:val="0"/>
        <w:jc w:val="left"/>
        <w:rPr/>
      </w:pPr>
      <w:r>
        <w:rPr/>
        <w:t>Olojede et al. 2020 shareholder dominance financial expertise lack audit committees fraud detection compliance enforcement ability enervation systemic failures contribution. Oceanic leadership insider loans seventy-five percent non-performing loans hide weak oversight ineffective whistleblowing channels (Olojede et al., 2020). Legal protections whistleblowers global benchmarks absent fear retaliation culture fraud ethical violations reports discouragement (Ojo &amp; Ojo, 2024). Systemic instability direct contribution unaddressed fraud stakeholder trust erosion deposit withdrawals trigger (Sanusi, 2009).</w:t>
      </w:r>
    </w:p>
    <w:p>
      <w:pPr>
        <w:pStyle w:val="Normal"/>
        <w:bidi w:val="0"/>
        <w:jc w:val="left"/>
        <w:rPr/>
      </w:pPr>
      <w:r>
        <w:rPr/>
      </w:r>
    </w:p>
    <w:p>
      <w:pPr>
        <w:pStyle w:val="Normal"/>
        <w:bidi w:val="0"/>
        <w:jc w:val="left"/>
        <w:rPr/>
      </w:pPr>
      <w:r>
        <w:rPr/>
        <w:t>Eriabie and Izedonmi 2016 audit committee characteristics independence financial knowledge reporting quality positive influence concentrated ownership structures Nigeria prevalent. Nigerian deposit money banks thirty-nine percent nomination committees merit-based appointments assurance lack politically connected unqualified members audit committees population (Ogbechie, 2016). Agency theory compromised oversight concerns resource dependence theory skilled committees emphasis contradiction unqualified members effective governance expertise provision failure (Nwoko et al., 2022). Deficits financial misreporting direct contribution stakeholder trust erosion non-performing loan-driven default risk increase. Recent contributions Afolabi and Afolabi 2024 disclosure issues practice indices tie weak audit committees accurate loan classifications assurance failure systemic risks perdurance financial-reporting integrity non-performing loan reduction pathway mediation absent.</w:t>
      </w:r>
    </w:p>
    <w:p>
      <w:pPr>
        <w:pStyle w:val="Normal"/>
        <w:bidi w:val="0"/>
        <w:jc w:val="left"/>
        <w:rPr/>
      </w:pPr>
      <w:r>
        <w:rPr/>
      </w:r>
    </w:p>
    <w:p>
      <w:pPr>
        <w:pStyle w:val="Normal"/>
        <w:bidi w:val="0"/>
        <w:jc w:val="left"/>
        <w:rPr/>
      </w:pPr>
      <w:r>
        <w:rPr/>
      </w:r>
      <w:r>
        <w:br w:type="page"/>
      </w:r>
    </w:p>
    <w:p>
      <w:pPr>
        <w:pStyle w:val="Normal"/>
        <w:bidi w:val="0"/>
        <w:jc w:val="left"/>
        <w:rPr>
          <w:b/>
          <w:bCs/>
        </w:rPr>
      </w:pPr>
      <w:r>
        <w:rPr>
          <w:b/>
          <w:bCs/>
        </w:rPr>
        <w:t xml:space="preserve">Table </w:t>
      </w:r>
      <w:r>
        <w:rPr>
          <w:b/>
          <w:bCs/>
        </w:rPr>
        <w:t>2.3</w:t>
      </w:r>
      <w:r>
        <w:rPr>
          <w:b/>
          <w:bCs/>
        </w:rPr>
        <w:t>: Key Challenges to Audit Committee Effectiveness in Nigerian Banks</w:t>
      </w:r>
    </w:p>
    <w:p>
      <w:pPr>
        <w:pStyle w:val="Normal"/>
        <w:bidi w:val="0"/>
        <w:jc w:val="left"/>
        <w:rPr/>
      </w:pPr>
      <w:r>
        <w:rPr/>
      </w:r>
    </w:p>
    <w:tbl>
      <w:tblPr>
        <w:tblW w:w="10008" w:type="dxa"/>
        <w:jc w:val="left"/>
        <w:tblInd w:w="36" w:type="dxa"/>
        <w:tblLayout w:type="fixed"/>
        <w:tblCellMar>
          <w:top w:w="0" w:type="dxa"/>
          <w:left w:w="36" w:type="dxa"/>
          <w:bottom w:w="0" w:type="dxa"/>
          <w:right w:w="36" w:type="dxa"/>
        </w:tblCellMar>
      </w:tblPr>
      <w:tblGrid>
        <w:gridCol w:w="1883"/>
        <w:gridCol w:w="2015"/>
        <w:gridCol w:w="2578"/>
        <w:gridCol w:w="2207"/>
        <w:gridCol w:w="1325"/>
      </w:tblGrid>
      <w:tr>
        <w:trPr/>
        <w:tc>
          <w:tcPr>
            <w:tcW w:w="1883" w:type="dxa"/>
            <w:tcBorders/>
          </w:tcPr>
          <w:p>
            <w:pPr>
              <w:pStyle w:val="TableHeading"/>
              <w:tabs>
                <w:tab w:val="clear" w:pos="709"/>
              </w:tabs>
              <w:bidi w:val="0"/>
              <w:rPr>
                <w:lang w:val="en-US"/>
              </w:rPr>
            </w:pPr>
            <w:r>
              <w:rPr>
                <w:rFonts w:ascii="Liberation Serif" w:hAnsi="Liberation Serif"/>
                <w:sz w:val="24"/>
                <w:lang w:val="en-US"/>
              </w:rPr>
              <w:t>Challenge</w:t>
            </w:r>
          </w:p>
        </w:tc>
        <w:tc>
          <w:tcPr>
            <w:tcW w:w="2015" w:type="dxa"/>
            <w:tcBorders/>
          </w:tcPr>
          <w:p>
            <w:pPr>
              <w:pStyle w:val="TableHeading"/>
              <w:tabs>
                <w:tab w:val="clear" w:pos="709"/>
              </w:tabs>
              <w:bidi w:val="0"/>
              <w:rPr>
                <w:lang w:val="en-US"/>
              </w:rPr>
            </w:pPr>
            <w:r>
              <w:rPr>
                <w:rFonts w:ascii="Liberation Serif" w:hAnsi="Liberation Serif"/>
                <w:sz w:val="24"/>
                <w:lang w:val="en-US"/>
              </w:rPr>
              <w:t>Description</w:t>
            </w:r>
          </w:p>
        </w:tc>
        <w:tc>
          <w:tcPr>
            <w:tcW w:w="2578" w:type="dxa"/>
            <w:tcBorders/>
          </w:tcPr>
          <w:p>
            <w:pPr>
              <w:pStyle w:val="TableHeading"/>
              <w:tabs>
                <w:tab w:val="clear" w:pos="709"/>
              </w:tabs>
              <w:bidi w:val="0"/>
              <w:rPr>
                <w:lang w:val="en-US"/>
              </w:rPr>
            </w:pPr>
            <w:r>
              <w:rPr>
                <w:rFonts w:ascii="Liberation Serif" w:hAnsi="Liberation Serif"/>
                <w:sz w:val="24"/>
                <w:lang w:val="en-US"/>
              </w:rPr>
              <w:t>Example</w:t>
            </w:r>
          </w:p>
        </w:tc>
        <w:tc>
          <w:tcPr>
            <w:tcW w:w="2207" w:type="dxa"/>
            <w:tcBorders/>
          </w:tcPr>
          <w:p>
            <w:pPr>
              <w:pStyle w:val="TableHeading"/>
              <w:tabs>
                <w:tab w:val="clear" w:pos="709"/>
              </w:tabs>
              <w:bidi w:val="0"/>
              <w:rPr>
                <w:lang w:val="en-US"/>
              </w:rPr>
            </w:pPr>
            <w:r>
              <w:rPr>
                <w:rFonts w:ascii="Liberation Serif" w:hAnsi="Liberation Serif"/>
                <w:sz w:val="24"/>
                <w:lang w:val="en-US"/>
              </w:rPr>
              <w:t>Impact on Corporate Governance Tenets</w:t>
            </w:r>
          </w:p>
        </w:tc>
        <w:tc>
          <w:tcPr>
            <w:tcW w:w="1325" w:type="dxa"/>
            <w:tcBorders/>
          </w:tcPr>
          <w:p>
            <w:pPr>
              <w:pStyle w:val="TableHeading"/>
              <w:tabs>
                <w:tab w:val="clear" w:pos="709"/>
              </w:tabs>
              <w:bidi w:val="0"/>
              <w:rPr>
                <w:lang w:val="en-US"/>
              </w:rPr>
            </w:pPr>
            <w:r>
              <w:rPr>
                <w:rFonts w:ascii="Liberation Serif" w:hAnsi="Liberation Serif"/>
                <w:sz w:val="24"/>
                <w:lang w:val="en-US"/>
              </w:rPr>
              <w:t>Source</w:t>
            </w:r>
          </w:p>
        </w:tc>
      </w:tr>
      <w:tr>
        <w:trPr/>
        <w:tc>
          <w:tcPr>
            <w:tcW w:w="1883" w:type="dxa"/>
            <w:tcBorders/>
          </w:tcPr>
          <w:p>
            <w:pPr>
              <w:pStyle w:val="TableContents"/>
              <w:tabs>
                <w:tab w:val="clear" w:pos="709"/>
              </w:tabs>
              <w:bidi w:val="0"/>
              <w:jc w:val="left"/>
              <w:rPr>
                <w:lang w:val="en-US"/>
              </w:rPr>
            </w:pPr>
            <w:r>
              <w:rPr>
                <w:rFonts w:ascii="Liberation Serif" w:hAnsi="Liberation Serif"/>
                <w:sz w:val="24"/>
                <w:lang w:val="en-US"/>
              </w:rPr>
              <w:t>Shareholder Capture</w:t>
            </w:r>
          </w:p>
        </w:tc>
        <w:tc>
          <w:tcPr>
            <w:tcW w:w="2015" w:type="dxa"/>
            <w:tcBorders/>
          </w:tcPr>
          <w:p>
            <w:pPr>
              <w:pStyle w:val="TableContents"/>
              <w:tabs>
                <w:tab w:val="clear" w:pos="709"/>
              </w:tabs>
              <w:bidi w:val="0"/>
              <w:jc w:val="left"/>
              <w:rPr>
                <w:lang w:val="en-US"/>
              </w:rPr>
            </w:pPr>
            <w:r>
              <w:rPr>
                <w:rFonts w:ascii="Liberation Serif" w:hAnsi="Liberation Serif"/>
                <w:sz w:val="24"/>
                <w:lang w:val="en-US"/>
              </w:rPr>
              <w:t>Majority shareholders audit committees dominate independence subversion</w:t>
            </w:r>
          </w:p>
        </w:tc>
        <w:tc>
          <w:tcPr>
            <w:tcW w:w="2578" w:type="dxa"/>
            <w:tcBorders/>
          </w:tcPr>
          <w:p>
            <w:pPr>
              <w:pStyle w:val="TableContents"/>
              <w:tabs>
                <w:tab w:val="clear" w:pos="709"/>
              </w:tabs>
              <w:bidi w:val="0"/>
              <w:jc w:val="left"/>
              <w:rPr>
                <w:lang w:val="en-US"/>
              </w:rPr>
            </w:pPr>
            <w:r>
              <w:rPr>
                <w:rFonts w:ascii="Liberation Serif" w:hAnsi="Liberation Serif"/>
                <w:sz w:val="24"/>
                <w:lang w:val="en-US"/>
              </w:rPr>
              <w:t>Oceanic Bank 2009 crisis audit committee insider loans detection failure seventy-five percent non-performing loans</w:t>
            </w:r>
          </w:p>
        </w:tc>
        <w:tc>
          <w:tcPr>
            <w:tcW w:w="2207" w:type="dxa"/>
            <w:tcBorders/>
          </w:tcPr>
          <w:p>
            <w:pPr>
              <w:pStyle w:val="TableContents"/>
              <w:tabs>
                <w:tab w:val="clear" w:pos="709"/>
              </w:tabs>
              <w:bidi w:val="0"/>
              <w:jc w:val="left"/>
              <w:rPr>
                <w:lang w:val="en-US"/>
              </w:rPr>
            </w:pPr>
            <w:r>
              <w:rPr>
                <w:rFonts w:ascii="Liberation Serif" w:hAnsi="Liberation Serif"/>
                <w:sz w:val="24"/>
                <w:lang w:val="en-US"/>
              </w:rPr>
              <w:t>Transparency accountability erosion risk management enervation</w:t>
            </w:r>
          </w:p>
        </w:tc>
        <w:tc>
          <w:tcPr>
            <w:tcW w:w="1325" w:type="dxa"/>
            <w:tcBorders/>
          </w:tcPr>
          <w:p>
            <w:pPr>
              <w:pStyle w:val="TableContents"/>
              <w:tabs>
                <w:tab w:val="clear" w:pos="709"/>
              </w:tabs>
              <w:bidi w:val="0"/>
              <w:jc w:val="left"/>
              <w:rPr>
                <w:lang w:val="en-US"/>
              </w:rPr>
            </w:pPr>
            <w:r>
              <w:rPr>
                <w:rFonts w:ascii="Liberation Serif" w:hAnsi="Liberation Serif"/>
                <w:sz w:val="24"/>
                <w:lang w:val="en-US"/>
              </w:rPr>
              <w:t>Adegbite 2014 Sanusi 2009</w:t>
            </w:r>
          </w:p>
        </w:tc>
      </w:tr>
      <w:tr>
        <w:trPr/>
        <w:tc>
          <w:tcPr>
            <w:tcW w:w="1883" w:type="dxa"/>
            <w:tcBorders/>
          </w:tcPr>
          <w:p>
            <w:pPr>
              <w:pStyle w:val="TableContents"/>
              <w:tabs>
                <w:tab w:val="clear" w:pos="709"/>
              </w:tabs>
              <w:bidi w:val="0"/>
              <w:jc w:val="left"/>
              <w:rPr>
                <w:lang w:val="en-US"/>
              </w:rPr>
            </w:pPr>
            <w:r>
              <w:rPr>
                <w:rFonts w:ascii="Liberation Serif" w:hAnsi="Liberation Serif"/>
                <w:sz w:val="24"/>
                <w:lang w:val="en-US"/>
              </w:rPr>
              <w:t>Lack of Financial Expertise</w:t>
            </w:r>
          </w:p>
        </w:tc>
        <w:tc>
          <w:tcPr>
            <w:tcW w:w="2015" w:type="dxa"/>
            <w:tcBorders/>
          </w:tcPr>
          <w:p>
            <w:pPr>
              <w:pStyle w:val="TableContents"/>
              <w:tabs>
                <w:tab w:val="clear" w:pos="709"/>
              </w:tabs>
              <w:bidi w:val="0"/>
              <w:jc w:val="left"/>
              <w:rPr>
                <w:lang w:val="en-US"/>
              </w:rPr>
            </w:pPr>
            <w:r>
              <w:rPr>
                <w:rFonts w:ascii="Liberation Serif" w:hAnsi="Liberation Serif"/>
                <w:sz w:val="24"/>
                <w:lang w:val="en-US"/>
              </w:rPr>
              <w:t>Unqualified members financial reports scrutiny skills lack</w:t>
            </w:r>
          </w:p>
        </w:tc>
        <w:tc>
          <w:tcPr>
            <w:tcW w:w="2578" w:type="dxa"/>
            <w:tcBorders/>
          </w:tcPr>
          <w:p>
            <w:pPr>
              <w:pStyle w:val="TableContents"/>
              <w:tabs>
                <w:tab w:val="clear" w:pos="709"/>
              </w:tabs>
              <w:bidi w:val="0"/>
              <w:jc w:val="left"/>
              <w:rPr>
                <w:lang w:val="en-US"/>
              </w:rPr>
            </w:pPr>
            <w:r>
              <w:rPr>
                <w:rFonts w:ascii="Liberation Serif" w:hAnsi="Liberation Serif"/>
                <w:sz w:val="24"/>
                <w:lang w:val="en-US"/>
              </w:rPr>
              <w:t>Intercontinental Bank collapse weak audit oversight</w:t>
            </w:r>
          </w:p>
        </w:tc>
        <w:tc>
          <w:tcPr>
            <w:tcW w:w="2207" w:type="dxa"/>
            <w:tcBorders/>
          </w:tcPr>
          <w:p>
            <w:pPr>
              <w:pStyle w:val="TableContents"/>
              <w:tabs>
                <w:tab w:val="clear" w:pos="709"/>
              </w:tabs>
              <w:bidi w:val="0"/>
              <w:jc w:val="left"/>
              <w:rPr>
                <w:lang w:val="en-US"/>
              </w:rPr>
            </w:pPr>
            <w:r>
              <w:rPr>
                <w:rFonts w:ascii="Liberation Serif" w:hAnsi="Liberation Serif"/>
                <w:sz w:val="24"/>
                <w:lang w:val="en-US"/>
              </w:rPr>
              <w:t>Bank practice audit effectiveness compromise non-performing loans increase</w:t>
            </w:r>
          </w:p>
        </w:tc>
        <w:tc>
          <w:tcPr>
            <w:tcW w:w="1325" w:type="dxa"/>
            <w:tcBorders/>
          </w:tcPr>
          <w:p>
            <w:pPr>
              <w:pStyle w:val="TableContents"/>
              <w:tabs>
                <w:tab w:val="clear" w:pos="709"/>
              </w:tabs>
              <w:bidi w:val="0"/>
              <w:jc w:val="left"/>
              <w:rPr>
                <w:lang w:val="en-US"/>
              </w:rPr>
            </w:pPr>
            <w:r>
              <w:rPr>
                <w:rFonts w:ascii="Liberation Serif" w:hAnsi="Liberation Serif"/>
                <w:sz w:val="24"/>
                <w:lang w:val="en-US"/>
              </w:rPr>
              <w:t>Olojede et al. 2020 Owolabi 2013</w:t>
            </w:r>
          </w:p>
        </w:tc>
      </w:tr>
      <w:tr>
        <w:trPr/>
        <w:tc>
          <w:tcPr>
            <w:tcW w:w="1883" w:type="dxa"/>
            <w:tcBorders/>
          </w:tcPr>
          <w:p>
            <w:pPr>
              <w:pStyle w:val="TableContents"/>
              <w:tabs>
                <w:tab w:val="clear" w:pos="709"/>
              </w:tabs>
              <w:bidi w:val="0"/>
              <w:jc w:val="left"/>
              <w:rPr>
                <w:lang w:val="en-US"/>
              </w:rPr>
            </w:pPr>
            <w:r>
              <w:rPr>
                <w:rFonts w:ascii="Liberation Serif" w:hAnsi="Liberation Serif"/>
                <w:sz w:val="24"/>
                <w:lang w:val="en-US"/>
              </w:rPr>
              <w:t>Absence of Nomination Committees</w:t>
            </w:r>
          </w:p>
        </w:tc>
        <w:tc>
          <w:tcPr>
            <w:tcW w:w="2015" w:type="dxa"/>
            <w:tcBorders/>
          </w:tcPr>
          <w:p>
            <w:pPr>
              <w:pStyle w:val="TableContents"/>
              <w:tabs>
                <w:tab w:val="clear" w:pos="709"/>
              </w:tabs>
              <w:bidi w:val="0"/>
              <w:jc w:val="left"/>
              <w:rPr>
                <w:lang w:val="en-US"/>
              </w:rPr>
            </w:pPr>
            <w:r>
              <w:rPr>
                <w:rFonts w:ascii="Liberation Serif" w:hAnsi="Liberation Serif"/>
                <w:sz w:val="24"/>
                <w:lang w:val="en-US"/>
              </w:rPr>
              <w:t>Thirty-nine percent banks merit-based appointments committees lack</w:t>
            </w:r>
          </w:p>
        </w:tc>
        <w:tc>
          <w:tcPr>
            <w:tcW w:w="2578" w:type="dxa"/>
            <w:tcBorders/>
          </w:tcPr>
          <w:p>
            <w:pPr>
              <w:pStyle w:val="TableContents"/>
              <w:tabs>
                <w:tab w:val="clear" w:pos="709"/>
              </w:tabs>
              <w:bidi w:val="0"/>
              <w:jc w:val="left"/>
              <w:rPr>
                <w:lang w:val="en-US"/>
              </w:rPr>
            </w:pPr>
            <w:r>
              <w:rPr>
                <w:rFonts w:ascii="Liberation Serif" w:hAnsi="Liberation Serif"/>
                <w:sz w:val="24"/>
                <w:lang w:val="en-US"/>
              </w:rPr>
              <w:t>Bank PHB audit committee politically connected members</w:t>
            </w:r>
          </w:p>
        </w:tc>
        <w:tc>
          <w:tcPr>
            <w:tcW w:w="2207" w:type="dxa"/>
            <w:tcBorders/>
          </w:tcPr>
          <w:p>
            <w:pPr>
              <w:pStyle w:val="TableContents"/>
              <w:tabs>
                <w:tab w:val="clear" w:pos="709"/>
              </w:tabs>
              <w:bidi w:val="0"/>
              <w:jc w:val="left"/>
              <w:rPr>
                <w:lang w:val="en-US"/>
              </w:rPr>
            </w:pPr>
            <w:r>
              <w:rPr>
                <w:rFonts w:ascii="Liberation Serif" w:hAnsi="Liberation Serif"/>
                <w:sz w:val="24"/>
                <w:lang w:val="en-US"/>
              </w:rPr>
              <w:t>Accountability transparency subversion risk oversight impact</w:t>
            </w:r>
          </w:p>
        </w:tc>
        <w:tc>
          <w:tcPr>
            <w:tcW w:w="1325" w:type="dxa"/>
            <w:tcBorders/>
          </w:tcPr>
          <w:p>
            <w:pPr>
              <w:pStyle w:val="TableContents"/>
              <w:tabs>
                <w:tab w:val="clear" w:pos="709"/>
              </w:tabs>
              <w:bidi w:val="0"/>
              <w:jc w:val="left"/>
              <w:rPr>
                <w:lang w:val="en-US"/>
              </w:rPr>
            </w:pPr>
            <w:r>
              <w:rPr>
                <w:rFonts w:ascii="Liberation Serif" w:hAnsi="Liberation Serif"/>
                <w:sz w:val="24"/>
                <w:lang w:val="en-US"/>
              </w:rPr>
              <w:t>Ogbechie 2016 Nwoko et al. 2022</w:t>
            </w:r>
          </w:p>
        </w:tc>
      </w:tr>
      <w:tr>
        <w:trPr/>
        <w:tc>
          <w:tcPr>
            <w:tcW w:w="1883" w:type="dxa"/>
            <w:tcBorders/>
          </w:tcPr>
          <w:p>
            <w:pPr>
              <w:pStyle w:val="TableContents"/>
              <w:tabs>
                <w:tab w:val="clear" w:pos="709"/>
              </w:tabs>
              <w:bidi w:val="0"/>
              <w:jc w:val="left"/>
              <w:rPr>
                <w:lang w:val="en-US"/>
              </w:rPr>
            </w:pPr>
            <w:r>
              <w:rPr>
                <w:rFonts w:ascii="Liberation Serif" w:hAnsi="Liberation Serif"/>
                <w:sz w:val="24"/>
                <w:lang w:val="en-US"/>
              </w:rPr>
              <w:t>Weak Whistleblowing Mechanisms</w:t>
            </w:r>
          </w:p>
        </w:tc>
        <w:tc>
          <w:tcPr>
            <w:tcW w:w="2015" w:type="dxa"/>
            <w:tcBorders/>
          </w:tcPr>
          <w:p>
            <w:pPr>
              <w:pStyle w:val="TableContents"/>
              <w:tabs>
                <w:tab w:val="clear" w:pos="709"/>
              </w:tabs>
              <w:bidi w:val="0"/>
              <w:jc w:val="left"/>
              <w:rPr>
                <w:lang w:val="en-US"/>
              </w:rPr>
            </w:pPr>
            <w:r>
              <w:rPr>
                <w:rFonts w:ascii="Liberation Serif" w:hAnsi="Liberation Serif"/>
                <w:sz w:val="24"/>
                <w:lang w:val="en-US"/>
              </w:rPr>
              <w:t>Protected channels lack fraud reporting stifle</w:t>
            </w:r>
          </w:p>
        </w:tc>
        <w:tc>
          <w:tcPr>
            <w:tcW w:w="2578" w:type="dxa"/>
            <w:tcBorders/>
          </w:tcPr>
          <w:p>
            <w:pPr>
              <w:pStyle w:val="TableContents"/>
              <w:tabs>
                <w:tab w:val="clear" w:pos="709"/>
              </w:tabs>
              <w:bidi w:val="0"/>
              <w:jc w:val="left"/>
              <w:rPr>
                <w:lang w:val="en-US"/>
              </w:rPr>
            </w:pPr>
            <w:r>
              <w:rPr>
                <w:rFonts w:ascii="Liberation Serif" w:hAnsi="Liberation Serif"/>
                <w:sz w:val="24"/>
                <w:lang w:val="en-US"/>
              </w:rPr>
              <w:t>Oceanic Bank non-performing loans concealment ineffective whistleblowing</w:t>
            </w:r>
          </w:p>
        </w:tc>
        <w:tc>
          <w:tcPr>
            <w:tcW w:w="2207" w:type="dxa"/>
            <w:tcBorders/>
          </w:tcPr>
          <w:p>
            <w:pPr>
              <w:pStyle w:val="TableContents"/>
              <w:tabs>
                <w:tab w:val="clear" w:pos="709"/>
              </w:tabs>
              <w:bidi w:val="0"/>
              <w:jc w:val="left"/>
              <w:rPr>
                <w:lang w:val="en-US"/>
              </w:rPr>
            </w:pPr>
            <w:r>
              <w:rPr>
                <w:rFonts w:ascii="Liberation Serif" w:hAnsi="Liberation Serif"/>
                <w:sz w:val="24"/>
                <w:lang w:val="en-US"/>
              </w:rPr>
              <w:t>Transparency reduction risk management failures exacerbation</w:t>
            </w:r>
          </w:p>
        </w:tc>
        <w:tc>
          <w:tcPr>
            <w:tcW w:w="1325" w:type="dxa"/>
            <w:tcBorders/>
          </w:tcPr>
          <w:p>
            <w:pPr>
              <w:pStyle w:val="TableContents"/>
              <w:tabs>
                <w:tab w:val="clear" w:pos="709"/>
              </w:tabs>
              <w:bidi w:val="0"/>
              <w:jc w:val="left"/>
              <w:rPr>
                <w:lang w:val="en-US"/>
              </w:rPr>
            </w:pPr>
            <w:r>
              <w:rPr>
                <w:rFonts w:ascii="Liberation Serif" w:hAnsi="Liberation Serif"/>
                <w:sz w:val="24"/>
                <w:lang w:val="en-US"/>
              </w:rPr>
              <w:t>Olojede et al. 2020 Ojo &amp; Ojo 2025</w:t>
            </w:r>
          </w:p>
        </w:tc>
      </w:tr>
    </w:tbl>
    <w:p>
      <w:pPr>
        <w:pStyle w:val="Normal"/>
        <w:bidi w:val="0"/>
        <w:jc w:val="left"/>
        <w:rPr/>
      </w:pPr>
      <w:r>
        <w:rPr/>
      </w:r>
    </w:p>
    <w:p>
      <w:pPr>
        <w:pStyle w:val="Normal"/>
        <w:bidi w:val="0"/>
        <w:jc w:val="left"/>
        <w:rPr/>
      </w:pPr>
      <w:r>
        <w:rPr/>
      </w:r>
    </w:p>
    <w:p>
      <w:pPr>
        <w:pStyle w:val="Normal"/>
        <w:bidi w:val="0"/>
        <w:jc w:val="left"/>
        <w:rPr/>
      </w:pPr>
      <w:r>
        <w:rPr/>
        <w:t>Note: Adapted Adegbite 2014 Olojede et al. 2020 Afolabi and Afolabi 2025. Impacts transparency accountability bank practice risk management audit committee independence ties highlight.</w:t>
      </w:r>
    </w:p>
    <w:p>
      <w:pPr>
        <w:pStyle w:val="Normal"/>
        <w:bidi w:val="0"/>
        <w:jc w:val="left"/>
        <w:rPr/>
      </w:pPr>
      <w:r>
        <w:rPr/>
      </w:r>
    </w:p>
    <w:p>
      <w:pPr>
        <w:pStyle w:val="Heading4"/>
        <w:bidi w:val="0"/>
        <w:jc w:val="left"/>
        <w:rPr/>
      </w:pPr>
      <w:r>
        <w:rPr/>
        <w:t>2.6.3 Impact on Non-Performing Loans and Default Risk</w:t>
      </w:r>
    </w:p>
    <w:p>
      <w:pPr>
        <w:pStyle w:val="BodyText"/>
        <w:ind w:hanging="0" w:left="0" w:right="0"/>
        <w:rPr/>
      </w:pPr>
      <w:r>
        <w:rPr/>
        <w:t>The independence of audit committees emerges as a pivotal mechanism in attenuating non-performing loan (NPL) ratios within deposit money banks (DMBs), primarily through the enhancement of financial reporting integrity and the consequent curbing of opportunistic lending practices. In the Nigerian context, where historical governance frailties have precipitated recurrent banking crises, the absence of robust audit oversight has frequently enabled shareholder capture, thereby obscuring underlying financial distress and delaying remedial interventions. This dynamic was starkly evidenced during the 2009 banking upheaval, wherein falsified financial statements masked escalating NPLs, contributing to ratios exceeding 37 percent in select institutions (Sanusi, 2009; Olojede et al., 2020). Agency theory posits that independent audit committees mitigate principal-agent conflicts by enforcing transparent reporting protocols and aligning managerial incentives with shareholder interests, thereby fostering the integrity of practice indices and reducing moral hazard in credit allocation (Jensen &amp; Meckling, 1976). Complementarily, resource dependence theory underscores the role of audit committees in leveraging external financial expertise to diminish information asymmetries, bolster investor confidence, and stabilise loan portfolios against exogenous shocks (Pfeffer &amp; Salancik, 1978).</w:t>
      </w:r>
    </w:p>
    <w:p>
      <w:pPr>
        <w:pStyle w:val="BodyText"/>
        <w:ind w:hanging="0" w:left="0" w:right="0"/>
        <w:rPr/>
      </w:pPr>
      <w:r>
        <w:rPr/>
        <w:t>Empirical inquiries further illuminate this nexus. For instance, stringent enforcement of loan classification standards by independent committees prevents the concealment of non-performing assets—a perennial challenge in Nigeria's DMB sector, where lax oversight has historically inflated reported asset quality (Afolabi &amp; Afolabi, 2024). Building upon this foundation, the mediated pathway from audit committee independence to NPL reduction operates via insiders' perceptions of heightened financial reporting integrity. Bank executives and auditors, when surveyed, frequently attribute diminished risky lending to the deterrent effect of autonomous oversight, which compels rigorous internal controls and precludes earnings management tactics that understate default risks (Ojo &amp; Ojo, 2024). This mediation aligns with Research Question 2, which interrogates the degree to which audit committee independence attenuates 2024 NPL ratios in Nigerian DMBs, partially mediated by enhanced financial reporting integrity as perceived by insiders. Correspondingly, stewardship theory extends this framework by emphasising the ethical stewardship role of independent committees in prioritising long-term institutional viability over short-term gains, thereby precipitating a negative association with NPL accumulation (Davis et al., 1997). In emerging markets akin to Nigeria, where institutional voids exacerbate agency problems, the integration of these theoretical lenses reveals that audit committee efficacy not only curbs default risk but also reinforces signalling mechanisms that deter adverse selection in credit markets (Spence, 1973).</w:t>
      </w:r>
    </w:p>
    <w:p>
      <w:pPr>
        <w:pStyle w:val="Normal"/>
        <w:bidi w:val="0"/>
        <w:jc w:val="left"/>
        <w:rPr/>
      </w:pPr>
      <w:r>
        <w:rPr/>
      </w:r>
    </w:p>
    <w:p>
      <w:pPr>
        <w:pStyle w:val="Normal"/>
        <w:bidi w:val="0"/>
        <w:jc w:val="left"/>
        <w:rPr/>
      </w:pPr>
      <w:r>
        <w:rPr/>
      </w:r>
    </w:p>
    <w:p>
      <w:pPr>
        <w:pStyle w:val="Heading4"/>
        <w:bidi w:val="0"/>
        <w:jc w:val="left"/>
        <w:rPr/>
      </w:pPr>
      <w:r>
        <w:rPr/>
        <w:t>2.6.4 Global Standards and Lessons for Nigeria</w:t>
      </w:r>
    </w:p>
    <w:p>
      <w:pPr>
        <w:pStyle w:val="BodyText"/>
        <w:ind w:hanging="0" w:left="0" w:right="0"/>
        <w:rPr/>
      </w:pPr>
      <w:r>
        <w:rPr/>
        <w:t>International benchmarks affirm audit committee independence as a cornerstone of corporate governance, with jurisdictions such as the European Union and the United States mandating financial expertise and autonomy to ensure high-quality reporting and risk management aligned with Basel III principles (BCBS, 2010). Empirical analyses from advanced economies demonstrate that independent audit committees, characterised by frequent meetings and financial literacy, significantly ameliorate financial risks and sustainability reporting outcomes (Al-Shaer et al., 2022). In contrast, Nigerian DMBs have historically exhibited underdeveloped practices in this domain, with the 2009 crisis exposing weak oversight that facilitated insider abuses and opaque lending decisions (Sanusi, 2009). This disparity underscores the imperative for Nigeria to adopt global standards, including mandatory financial expertise and independence, to fortify audit committees and thereby oversee lending practices more effectively, ultimately contributing to NPL reduction (Eriabie &amp; Izedonmi, 2016).</w:t>
      </w:r>
    </w:p>
    <w:p>
      <w:pPr>
        <w:pStyle w:val="BodyText"/>
        <w:ind w:hanging="0" w:left="0" w:right="0"/>
        <w:rPr/>
      </w:pPr>
      <w:r>
        <w:rPr/>
        <w:t>Comparative insights from peer African economies further enrich this discourse. In Ghana, post-2017 banking reforms mandating at least 50 percent independent directors on audit committees yielded a 15 percent decline in average NPL ratios over five years, attributable to enhanced scrutiny of credit risk models (Bank of Ghana, 2022). Similarly, South Africa's King IV Code emphasises audit committee autonomy, correlating with lower default incidences amid economic volatility (Institute of Directors in Southern Africa, 2016). These precedents highlight the exigency of context-specific reforms in Nigeria, where regulatory multiplicity—spanning the Central Bank of Nigeria (CBN) and Securities and Exchange Commission (SEC)—has engendered enforcement torpor (CBN, 2024). Research Question 2 and its associated hypothesis thus evaluate the direct and mediated effects of audit committee independence on NPL ratios via financial reporting integrity, advocating for the integration of practice indices with disclosure and compliance mechanisms (Ojo &amp; Ojo, 2024). The CBN's 2023 Guidelines, which mandate audit committee independence, represent a nascent convergence with OECD standards; however, inconsistent enforcement necessitates harmonisation to realise substantive NPL amelioration (OECD, 2023). This evidences that global best practices, when adapted to Nigeria's institutional milieu, can precipitate mediated reductions in default risk, addressing shareholder capture through bolstered oversight autonomy.</w:t>
      </w:r>
    </w:p>
    <w:p>
      <w:pPr>
        <w:pStyle w:val="Normal"/>
        <w:bidi w:val="0"/>
        <w:jc w:val="left"/>
        <w:rPr/>
      </w:pPr>
      <w:r>
        <w:rPr/>
      </w:r>
    </w:p>
    <w:p>
      <w:pPr>
        <w:pStyle w:val="BodyText"/>
        <w:bidi w:val="0"/>
        <w:jc w:val="left"/>
        <w:rPr/>
      </w:pPr>
      <w:r>
        <w:rPr>
          <w:rStyle w:val="Strong"/>
        </w:rPr>
        <w:t xml:space="preserve">Table </w:t>
      </w:r>
      <w:r>
        <w:rPr>
          <w:rStyle w:val="Strong"/>
        </w:rPr>
        <w:t>2.4</w:t>
      </w:r>
      <w:r>
        <w:rPr>
          <w:rStyle w:val="Strong"/>
        </w:rPr>
        <w:t>: Proposed Reforms to Strengthen Audit Committee Effectiveness in Nigerian Banks: Descriptions, Expected Impact on Corporate Governance Tenets, and Global Benchmarks</w:t>
      </w:r>
    </w:p>
    <w:p>
      <w:pPr>
        <w:pStyle w:val="Normal"/>
        <w:bidi w:val="0"/>
        <w:jc w:val="left"/>
        <w:rPr/>
      </w:pPr>
      <w:r>
        <w:rPr/>
      </w:r>
    </w:p>
    <w:tbl>
      <w:tblPr>
        <w:tblW w:w="10007" w:type="dxa"/>
        <w:jc w:val="left"/>
        <w:tblInd w:w="36" w:type="dxa"/>
        <w:tblLayout w:type="fixed"/>
        <w:tblCellMar>
          <w:top w:w="0" w:type="dxa"/>
          <w:left w:w="36" w:type="dxa"/>
          <w:bottom w:w="0" w:type="dxa"/>
          <w:right w:w="36" w:type="dxa"/>
        </w:tblCellMar>
      </w:tblPr>
      <w:tblGrid>
        <w:gridCol w:w="1992"/>
        <w:gridCol w:w="2195"/>
        <w:gridCol w:w="2266"/>
        <w:gridCol w:w="2042"/>
        <w:gridCol w:w="1512"/>
      </w:tblGrid>
      <w:tr>
        <w:trPr/>
        <w:tc>
          <w:tcPr>
            <w:tcW w:w="1992" w:type="dxa"/>
            <w:tcBorders/>
          </w:tcPr>
          <w:p>
            <w:pPr>
              <w:pStyle w:val="TableHeading"/>
              <w:tabs>
                <w:tab w:val="clear" w:pos="709"/>
              </w:tabs>
              <w:bidi w:val="0"/>
              <w:rPr>
                <w:lang w:val="en-US"/>
              </w:rPr>
            </w:pPr>
            <w:r>
              <w:rPr>
                <w:rFonts w:ascii="Liberation Serif" w:hAnsi="Liberation Serif"/>
                <w:sz w:val="24"/>
                <w:lang w:val="en-US"/>
              </w:rPr>
              <w:t>Reform</w:t>
            </w:r>
          </w:p>
        </w:tc>
        <w:tc>
          <w:tcPr>
            <w:tcW w:w="2195" w:type="dxa"/>
            <w:tcBorders/>
          </w:tcPr>
          <w:p>
            <w:pPr>
              <w:pStyle w:val="TableHeading"/>
              <w:tabs>
                <w:tab w:val="clear" w:pos="709"/>
              </w:tabs>
              <w:bidi w:val="0"/>
              <w:rPr>
                <w:lang w:val="en-US"/>
              </w:rPr>
            </w:pPr>
            <w:r>
              <w:rPr>
                <w:rFonts w:ascii="Liberation Serif" w:hAnsi="Liberation Serif"/>
                <w:sz w:val="24"/>
                <w:lang w:val="en-US"/>
              </w:rPr>
              <w:t>Description</w:t>
            </w:r>
          </w:p>
        </w:tc>
        <w:tc>
          <w:tcPr>
            <w:tcW w:w="2266" w:type="dxa"/>
            <w:tcBorders/>
          </w:tcPr>
          <w:p>
            <w:pPr>
              <w:pStyle w:val="TableHeading"/>
              <w:tabs>
                <w:tab w:val="clear" w:pos="709"/>
              </w:tabs>
              <w:bidi w:val="0"/>
              <w:rPr>
                <w:lang w:val="en-US"/>
              </w:rPr>
            </w:pPr>
            <w:r>
              <w:rPr>
                <w:rFonts w:ascii="Liberation Serif" w:hAnsi="Liberation Serif"/>
                <w:sz w:val="24"/>
                <w:lang w:val="en-US"/>
              </w:rPr>
              <w:t>Expected Impact</w:t>
            </w:r>
          </w:p>
        </w:tc>
        <w:tc>
          <w:tcPr>
            <w:tcW w:w="2042" w:type="dxa"/>
            <w:tcBorders/>
          </w:tcPr>
          <w:p>
            <w:pPr>
              <w:pStyle w:val="TableHeading"/>
              <w:tabs>
                <w:tab w:val="clear" w:pos="709"/>
              </w:tabs>
              <w:bidi w:val="0"/>
              <w:rPr>
                <w:lang w:val="en-US"/>
              </w:rPr>
            </w:pPr>
            <w:r>
              <w:rPr>
                <w:rFonts w:ascii="Liberation Serif" w:hAnsi="Liberation Serif"/>
                <w:sz w:val="24"/>
                <w:lang w:val="en-US"/>
              </w:rPr>
              <w:t>Global Benchmark</w:t>
            </w:r>
          </w:p>
        </w:tc>
        <w:tc>
          <w:tcPr>
            <w:tcW w:w="1512" w:type="dxa"/>
            <w:tcBorders/>
          </w:tcPr>
          <w:p>
            <w:pPr>
              <w:pStyle w:val="TableHeading"/>
              <w:tabs>
                <w:tab w:val="clear" w:pos="709"/>
              </w:tabs>
              <w:bidi w:val="0"/>
              <w:rPr>
                <w:lang w:val="en-US"/>
              </w:rPr>
            </w:pPr>
            <w:r>
              <w:rPr>
                <w:rFonts w:ascii="Liberation Serif" w:hAnsi="Liberation Serif"/>
                <w:sz w:val="24"/>
                <w:lang w:val="en-US"/>
              </w:rPr>
              <w:t>Source</w:t>
            </w:r>
          </w:p>
        </w:tc>
      </w:tr>
      <w:tr>
        <w:trPr/>
        <w:tc>
          <w:tcPr>
            <w:tcW w:w="1992" w:type="dxa"/>
            <w:tcBorders/>
          </w:tcPr>
          <w:p>
            <w:pPr>
              <w:pStyle w:val="TableContents"/>
              <w:tabs>
                <w:tab w:val="clear" w:pos="709"/>
              </w:tabs>
              <w:bidi w:val="0"/>
              <w:jc w:val="left"/>
              <w:rPr>
                <w:lang w:val="en-US"/>
              </w:rPr>
            </w:pPr>
            <w:r>
              <w:rPr>
                <w:rFonts w:ascii="Liberation Serif" w:hAnsi="Liberation Serif"/>
                <w:sz w:val="24"/>
                <w:lang w:val="en-US"/>
              </w:rPr>
              <w:t>Mandatory Financial Expertise</w:t>
            </w:r>
          </w:p>
        </w:tc>
        <w:tc>
          <w:tcPr>
            <w:tcW w:w="2195" w:type="dxa"/>
            <w:tcBorders/>
          </w:tcPr>
          <w:p>
            <w:pPr>
              <w:pStyle w:val="TableContents"/>
              <w:tabs>
                <w:tab w:val="clear" w:pos="709"/>
              </w:tabs>
              <w:bidi w:val="0"/>
              <w:jc w:val="left"/>
              <w:rPr>
                <w:lang w:val="en-US"/>
              </w:rPr>
            </w:pPr>
            <w:r>
              <w:rPr>
                <w:rFonts w:ascii="Liberation Serif" w:hAnsi="Liberation Serif"/>
                <w:sz w:val="24"/>
                <w:lang w:val="en-US"/>
              </w:rPr>
              <w:t>Audit committee members financial/governance certifications requirement</w:t>
            </w:r>
          </w:p>
        </w:tc>
        <w:tc>
          <w:tcPr>
            <w:tcW w:w="2266" w:type="dxa"/>
            <w:tcBorders/>
          </w:tcPr>
          <w:p>
            <w:pPr>
              <w:pStyle w:val="TableContents"/>
              <w:tabs>
                <w:tab w:val="clear" w:pos="709"/>
              </w:tabs>
              <w:bidi w:val="0"/>
              <w:jc w:val="left"/>
              <w:rPr>
                <w:lang w:val="en-US"/>
              </w:rPr>
            </w:pPr>
            <w:r>
              <w:rPr>
                <w:rFonts w:ascii="Liberation Serif" w:hAnsi="Liberation Serif"/>
                <w:sz w:val="24"/>
                <w:lang w:val="en-US"/>
              </w:rPr>
              <w:t>Reporting quality exaltation non-performing loans robust oversight reduction</w:t>
            </w:r>
          </w:p>
        </w:tc>
        <w:tc>
          <w:tcPr>
            <w:tcW w:w="2042" w:type="dxa"/>
            <w:tcBorders/>
          </w:tcPr>
          <w:p>
            <w:pPr>
              <w:pStyle w:val="TableContents"/>
              <w:tabs>
                <w:tab w:val="clear" w:pos="709"/>
              </w:tabs>
              <w:bidi w:val="0"/>
              <w:jc w:val="left"/>
              <w:rPr>
                <w:lang w:val="en-US"/>
              </w:rPr>
            </w:pPr>
            <w:r>
              <w:rPr>
                <w:rFonts w:ascii="Liberation Serif" w:hAnsi="Liberation Serif"/>
                <w:sz w:val="24"/>
                <w:lang w:val="en-US"/>
              </w:rPr>
              <w:t>EU CRD IV financial literacy mandates EU 2013</w:t>
            </w:r>
          </w:p>
        </w:tc>
        <w:tc>
          <w:tcPr>
            <w:tcW w:w="1512" w:type="dxa"/>
            <w:tcBorders/>
          </w:tcPr>
          <w:p>
            <w:pPr>
              <w:pStyle w:val="TableContents"/>
              <w:tabs>
                <w:tab w:val="clear" w:pos="709"/>
              </w:tabs>
              <w:bidi w:val="0"/>
              <w:jc w:val="left"/>
              <w:rPr>
                <w:lang w:val="en-US"/>
              </w:rPr>
            </w:pPr>
            <w:r>
              <w:rPr>
                <w:rFonts w:ascii="Liberation Serif" w:hAnsi="Liberation Serif"/>
                <w:sz w:val="24"/>
                <w:lang w:val="en-US"/>
              </w:rPr>
              <w:t>Eriabie &amp; Izedonmi 2016</w:t>
            </w:r>
          </w:p>
        </w:tc>
      </w:tr>
      <w:tr>
        <w:trPr/>
        <w:tc>
          <w:tcPr>
            <w:tcW w:w="1992" w:type="dxa"/>
            <w:tcBorders/>
          </w:tcPr>
          <w:p>
            <w:pPr>
              <w:pStyle w:val="TableContents"/>
              <w:tabs>
                <w:tab w:val="clear" w:pos="709"/>
              </w:tabs>
              <w:bidi w:val="0"/>
              <w:jc w:val="left"/>
              <w:rPr>
                <w:lang w:val="en-US"/>
              </w:rPr>
            </w:pPr>
            <w:r>
              <w:rPr>
                <w:rFonts w:ascii="Liberation Serif" w:hAnsi="Liberation Serif"/>
                <w:sz w:val="24"/>
                <w:lang w:val="en-US"/>
              </w:rPr>
              <w:t>Independent Audit Committees</w:t>
            </w:r>
          </w:p>
        </w:tc>
        <w:tc>
          <w:tcPr>
            <w:tcW w:w="2195" w:type="dxa"/>
            <w:tcBorders/>
          </w:tcPr>
          <w:p>
            <w:pPr>
              <w:pStyle w:val="TableContents"/>
              <w:tabs>
                <w:tab w:val="clear" w:pos="709"/>
              </w:tabs>
              <w:bidi w:val="0"/>
              <w:jc w:val="left"/>
              <w:rPr>
                <w:lang w:val="en-US"/>
              </w:rPr>
            </w:pPr>
            <w:r>
              <w:rPr>
                <w:rFonts w:ascii="Liberation Serif" w:hAnsi="Liberation Serif"/>
                <w:sz w:val="24"/>
                <w:lang w:val="en-US"/>
              </w:rPr>
              <w:t>Shareholder dominance committee composition prohibition</w:t>
            </w:r>
          </w:p>
        </w:tc>
        <w:tc>
          <w:tcPr>
            <w:tcW w:w="2266" w:type="dxa"/>
            <w:tcBorders/>
          </w:tcPr>
          <w:p>
            <w:pPr>
              <w:pStyle w:val="TableContents"/>
              <w:tabs>
                <w:tab w:val="clear" w:pos="709"/>
              </w:tabs>
              <w:bidi w:val="0"/>
              <w:jc w:val="left"/>
              <w:rPr>
                <w:lang w:val="en-US"/>
              </w:rPr>
            </w:pPr>
            <w:r>
              <w:rPr>
                <w:rFonts w:ascii="Liberation Serif" w:hAnsi="Liberation Serif"/>
                <w:sz w:val="24"/>
                <w:lang w:val="en-US"/>
              </w:rPr>
              <w:t>Transparency amelioration agency theory alignment</w:t>
            </w:r>
          </w:p>
        </w:tc>
        <w:tc>
          <w:tcPr>
            <w:tcW w:w="2042" w:type="dxa"/>
            <w:tcBorders/>
          </w:tcPr>
          <w:p>
            <w:pPr>
              <w:pStyle w:val="TableContents"/>
              <w:tabs>
                <w:tab w:val="clear" w:pos="709"/>
              </w:tabs>
              <w:bidi w:val="0"/>
              <w:jc w:val="left"/>
              <w:rPr>
                <w:lang w:val="en-US"/>
              </w:rPr>
            </w:pPr>
            <w:r>
              <w:rPr>
                <w:rFonts w:ascii="Liberation Serif" w:hAnsi="Liberation Serif"/>
                <w:sz w:val="24"/>
                <w:lang w:val="en-US"/>
              </w:rPr>
              <w:t>Basel III independent audit oversight BCBS 2010</w:t>
            </w:r>
          </w:p>
        </w:tc>
        <w:tc>
          <w:tcPr>
            <w:tcW w:w="1512" w:type="dxa"/>
            <w:tcBorders/>
          </w:tcPr>
          <w:p>
            <w:pPr>
              <w:pStyle w:val="TableContents"/>
              <w:tabs>
                <w:tab w:val="clear" w:pos="709"/>
              </w:tabs>
              <w:bidi w:val="0"/>
              <w:jc w:val="left"/>
              <w:rPr>
                <w:lang w:val="en-US"/>
              </w:rPr>
            </w:pPr>
            <w:r>
              <w:rPr>
                <w:rFonts w:ascii="Liberation Serif" w:hAnsi="Liberation Serif"/>
                <w:sz w:val="24"/>
                <w:lang w:val="en-US"/>
              </w:rPr>
              <w:t>Adegbite 2014 Ojo &amp; Ojo 2025</w:t>
            </w:r>
          </w:p>
        </w:tc>
      </w:tr>
      <w:tr>
        <w:trPr/>
        <w:tc>
          <w:tcPr>
            <w:tcW w:w="1992" w:type="dxa"/>
            <w:tcBorders/>
          </w:tcPr>
          <w:p>
            <w:pPr>
              <w:pStyle w:val="TableContents"/>
              <w:tabs>
                <w:tab w:val="clear" w:pos="709"/>
              </w:tabs>
              <w:bidi w:val="0"/>
              <w:jc w:val="left"/>
              <w:rPr>
                <w:lang w:val="en-US"/>
              </w:rPr>
            </w:pPr>
            <w:r>
              <w:rPr>
                <w:rFonts w:ascii="Liberation Serif" w:hAnsi="Liberation Serif"/>
                <w:sz w:val="24"/>
                <w:lang w:val="en-US"/>
              </w:rPr>
              <w:t>Robust Whistleblowing Mechanisms</w:t>
            </w:r>
          </w:p>
        </w:tc>
        <w:tc>
          <w:tcPr>
            <w:tcW w:w="2195" w:type="dxa"/>
            <w:tcBorders/>
          </w:tcPr>
          <w:p>
            <w:pPr>
              <w:pStyle w:val="TableContents"/>
              <w:tabs>
                <w:tab w:val="clear" w:pos="709"/>
              </w:tabs>
              <w:bidi w:val="0"/>
              <w:jc w:val="left"/>
              <w:rPr>
                <w:lang w:val="en-US"/>
              </w:rPr>
            </w:pPr>
            <w:r>
              <w:rPr>
                <w:rFonts w:ascii="Liberation Serif" w:hAnsi="Liberation Serif"/>
                <w:sz w:val="24"/>
                <w:lang w:val="en-US"/>
              </w:rPr>
              <w:t>Protected anonymous reporting channels mandate</w:t>
            </w:r>
          </w:p>
        </w:tc>
        <w:tc>
          <w:tcPr>
            <w:tcW w:w="2266" w:type="dxa"/>
            <w:tcBorders/>
          </w:tcPr>
          <w:p>
            <w:pPr>
              <w:pStyle w:val="TableContents"/>
              <w:tabs>
                <w:tab w:val="clear" w:pos="709"/>
              </w:tabs>
              <w:bidi w:val="0"/>
              <w:jc w:val="left"/>
              <w:rPr>
                <w:lang w:val="en-US"/>
              </w:rPr>
            </w:pPr>
            <w:r>
              <w:rPr>
                <w:rFonts w:ascii="Liberation Serif" w:hAnsi="Liberation Serif"/>
                <w:sz w:val="24"/>
                <w:lang w:val="en-US"/>
              </w:rPr>
              <w:t>Fraud detection encouragement accountability exaltation</w:t>
            </w:r>
          </w:p>
        </w:tc>
        <w:tc>
          <w:tcPr>
            <w:tcW w:w="2042" w:type="dxa"/>
            <w:tcBorders/>
          </w:tcPr>
          <w:p>
            <w:pPr>
              <w:pStyle w:val="TableContents"/>
              <w:tabs>
                <w:tab w:val="clear" w:pos="709"/>
              </w:tabs>
              <w:bidi w:val="0"/>
              <w:jc w:val="left"/>
              <w:rPr>
                <w:lang w:val="en-US"/>
              </w:rPr>
            </w:pPr>
            <w:r>
              <w:rPr>
                <w:rFonts w:ascii="Liberation Serif" w:hAnsi="Liberation Serif"/>
                <w:sz w:val="24"/>
                <w:lang w:val="en-US"/>
              </w:rPr>
              <w:t>EU Whistleblowing Directive EU 2019</w:t>
            </w:r>
          </w:p>
        </w:tc>
        <w:tc>
          <w:tcPr>
            <w:tcW w:w="1512" w:type="dxa"/>
            <w:tcBorders/>
          </w:tcPr>
          <w:p>
            <w:pPr>
              <w:pStyle w:val="TableContents"/>
              <w:tabs>
                <w:tab w:val="clear" w:pos="709"/>
              </w:tabs>
              <w:bidi w:val="0"/>
              <w:jc w:val="left"/>
              <w:rPr>
                <w:lang w:val="en-US"/>
              </w:rPr>
            </w:pPr>
            <w:r>
              <w:rPr>
                <w:rFonts w:ascii="Liberation Serif" w:hAnsi="Liberation Serif"/>
                <w:sz w:val="24"/>
                <w:lang w:val="en-US"/>
              </w:rPr>
              <w:t>Olojede et al. 2020</w:t>
            </w:r>
          </w:p>
        </w:tc>
      </w:tr>
      <w:tr>
        <w:trPr/>
        <w:tc>
          <w:tcPr>
            <w:tcW w:w="1992" w:type="dxa"/>
            <w:tcBorders/>
          </w:tcPr>
          <w:p>
            <w:pPr>
              <w:pStyle w:val="TableContents"/>
              <w:tabs>
                <w:tab w:val="clear" w:pos="709"/>
              </w:tabs>
              <w:bidi w:val="0"/>
              <w:jc w:val="left"/>
              <w:rPr>
                <w:lang w:val="en-US"/>
              </w:rPr>
            </w:pPr>
            <w:r>
              <w:rPr>
                <w:rFonts w:ascii="Liberation Serif" w:hAnsi="Liberation Serif"/>
                <w:sz w:val="24"/>
                <w:lang w:val="en-US"/>
              </w:rPr>
              <w:t>Enhanced Central Bank of Nigeria Oversight</w:t>
            </w:r>
          </w:p>
        </w:tc>
        <w:tc>
          <w:tcPr>
            <w:tcW w:w="2195" w:type="dxa"/>
            <w:tcBorders/>
          </w:tcPr>
          <w:p>
            <w:pPr>
              <w:pStyle w:val="TableContents"/>
              <w:tabs>
                <w:tab w:val="clear" w:pos="709"/>
              </w:tabs>
              <w:bidi w:val="0"/>
              <w:jc w:val="left"/>
              <w:rPr>
                <w:lang w:val="en-US"/>
              </w:rPr>
            </w:pPr>
            <w:r>
              <w:rPr>
                <w:rFonts w:ascii="Liberation Serif" w:hAnsi="Liberation Serif"/>
                <w:sz w:val="24"/>
                <w:lang w:val="en-US"/>
              </w:rPr>
              <w:t>Central Bank of Nigeria non-compliant audit committees sanction empowerment</w:t>
            </w:r>
          </w:p>
        </w:tc>
        <w:tc>
          <w:tcPr>
            <w:tcW w:w="2266" w:type="dxa"/>
            <w:tcBorders/>
          </w:tcPr>
          <w:p>
            <w:pPr>
              <w:pStyle w:val="TableContents"/>
              <w:tabs>
                <w:tab w:val="clear" w:pos="709"/>
              </w:tabs>
              <w:bidi w:val="0"/>
              <w:jc w:val="left"/>
              <w:rPr>
                <w:lang w:val="en-US"/>
              </w:rPr>
            </w:pPr>
            <w:r>
              <w:rPr>
                <w:rFonts w:ascii="Liberation Serif" w:hAnsi="Liberation Serif"/>
                <w:sz w:val="24"/>
                <w:lang w:val="en-US"/>
              </w:rPr>
              <w:t>Bank practice fortification risk management failures reduction</w:t>
            </w:r>
          </w:p>
        </w:tc>
        <w:tc>
          <w:tcPr>
            <w:tcW w:w="2042" w:type="dxa"/>
            <w:tcBorders/>
          </w:tcPr>
          <w:p>
            <w:pPr>
              <w:pStyle w:val="TableContents"/>
              <w:tabs>
                <w:tab w:val="clear" w:pos="709"/>
              </w:tabs>
              <w:bidi w:val="0"/>
              <w:jc w:val="left"/>
              <w:rPr>
                <w:lang w:val="en-US"/>
              </w:rPr>
            </w:pPr>
            <w:r>
              <w:rPr>
                <w:rFonts w:ascii="Liberation Serif" w:hAnsi="Liberation Serif"/>
                <w:sz w:val="24"/>
                <w:lang w:val="en-US"/>
              </w:rPr>
              <w:t>OECD Principles regulatory enforcement OECD 2023</w:t>
            </w:r>
          </w:p>
        </w:tc>
        <w:tc>
          <w:tcPr>
            <w:tcW w:w="1512" w:type="dxa"/>
            <w:tcBorders/>
          </w:tcPr>
          <w:p>
            <w:pPr>
              <w:pStyle w:val="TableContents"/>
              <w:tabs>
                <w:tab w:val="clear" w:pos="709"/>
              </w:tabs>
              <w:bidi w:val="0"/>
              <w:jc w:val="left"/>
              <w:rPr>
                <w:lang w:val="en-US"/>
              </w:rPr>
            </w:pPr>
            <w:r>
              <w:rPr>
                <w:rFonts w:ascii="Liberation Serif" w:hAnsi="Liberation Serif"/>
                <w:sz w:val="24"/>
                <w:lang w:val="en-US"/>
              </w:rPr>
              <w:t>Afolabi &amp; Afolabi 2025</w:t>
            </w:r>
          </w:p>
        </w:tc>
      </w:tr>
    </w:tbl>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Note: Adapted Eriabie and Izedonmi 2016 Ojo and Ojo 2025 Afolabi and Afolabi 2025. Reforms transparency accountability bank practice risk management audit committee independence address.</w:t>
      </w:r>
    </w:p>
    <w:p>
      <w:pPr>
        <w:pStyle w:val="Normal"/>
        <w:bidi w:val="0"/>
        <w:jc w:val="left"/>
        <w:rPr/>
      </w:pPr>
      <w:r>
        <w:rPr/>
      </w:r>
    </w:p>
    <w:p>
      <w:pPr>
        <w:pStyle w:val="Heading4"/>
        <w:bidi w:val="0"/>
        <w:jc w:val="left"/>
        <w:rPr/>
      </w:pPr>
      <w:r>
        <w:rPr/>
        <w:t>2.6.5 Ties to Corporate Governance Tenets</w:t>
      </w:r>
    </w:p>
    <w:p>
      <w:pPr>
        <w:pStyle w:val="BodyText"/>
        <w:ind w:hanging="0" w:left="0" w:right="0"/>
        <w:rPr/>
      </w:pPr>
      <w:r>
        <w:rPr/>
        <w:t>Deficiencies in audit committee functionality within Nigeria's DMB sector profoundly subvert the core governance indices—disclosure, practice, and compliance—thereby exacerbating NPL-driven default risk. Shareholder capture, for instance, erodes disclosure integrity, enabling financial misreporting as exemplified by Oceanic Bank's concealment of non-performing assets prior to its 2009 collapse (Sanusi, 2009). Compliance failures, often stemming from unqualified committee members, undermine internal control enforcement, while weakened practice indices propel systemic instability through unchecked risky lending (Olojede et al., 2020; Owolabi, 2013). Ineffective risk management directly attributable to audit committee lapses has been shown to contribute to NPL spikes, with crony boards compromising financial integrity in the absence of mediated pathways to reporting robustness (Adegboye, 2020; Ojo &amp; Ojo, 2024).</w:t>
      </w:r>
    </w:p>
    <w:p>
      <w:pPr>
        <w:pStyle w:val="BodyText"/>
        <w:ind w:hanging="0" w:left="0" w:right="0"/>
        <w:rPr/>
      </w:pPr>
      <w:r>
        <w:rPr/>
        <w:t>Strengthening audit committee independence, conversely, mediates NPL reduction through insiders' perceptions of enhanced financial reporting integrity, assuring disclosure compliance and mitigating default risk precipitated by shareholder capture and expertise deficits (Adegbite, 2014; Olojede et al., 2020). Agency and resource dependence theories converge in emphasising the salience of independent, skilled committees in resolving agency conflicts and exalting governance credibility, particularly where Nigerian practices lag behind global benchmarks (Jensen &amp; Meckling, 1976; Pfeffer &amp; Salancik, 1978; Al-Shaer et al., 2022). The 2009 crisis illustrates this shortfall, wherein frail audit oversight facilitated misreporting and elevated NPLs, necessitating mandatory independence and expertise requisites under subsequent reforms. Institutional theory further contextualises these interconnections, positing that regulatory activation—via the CBN Code of Corporate Governance (2014), Nigerian Code of Corporate Governance (NCCG, 2018), and Companies and Allied Matters Act (CAMA, 2020)—can embed audit autonomy within isomorphic pressures, fostering convergence with Basel III and OECD paradigms (DiMaggio &amp; Powell, 1983; OECD, 2023).</w:t>
      </w:r>
    </w:p>
    <w:p>
      <w:pPr>
        <w:pStyle w:val="BodyText"/>
        <w:ind w:hanging="0" w:left="0" w:right="0"/>
        <w:rPr/>
      </w:pPr>
      <w:r>
        <w:rPr/>
        <w:t>Recent scholarship reinforces this synthesis, with Afolabi and Afolabi (2024) demonstrating that audit committee independence ameliorates practice and disclosure indices, yielding negative coefficients on NPL ratios in panel regressions. This segment thus supports Research Question 2 and Hypothesis 2, elucidating the mediated linkage between audit committee independence and NPL attenuation, while setting the analytical stage for broader governance mechanisms' impact on default risk in Nigeria's DMB sector. Policy implications extend to managerial training in financial expertise and regulatory mandates for committee charters, ensuring interconnected failures yield to robust oversight restoration.</w:t>
      </w:r>
    </w:p>
    <w:p>
      <w:pPr>
        <w:pStyle w:val="Normal"/>
        <w:bidi w:val="0"/>
        <w:jc w:val="left"/>
        <w:rPr/>
      </w:pPr>
      <w:r>
        <w:rPr/>
      </w:r>
    </w:p>
    <w:p>
      <w:pPr>
        <w:pStyle w:val="Normal"/>
        <w:bidi w:val="0"/>
        <w:jc w:val="left"/>
        <w:rPr/>
      </w:pPr>
      <w:r>
        <w:rPr/>
      </w:r>
    </w:p>
    <w:p>
      <w:pPr>
        <w:pStyle w:val="Heading3"/>
        <w:numPr>
          <w:ilvl w:val="2"/>
          <w:numId w:val="1"/>
        </w:numPr>
        <w:bidi w:val="0"/>
        <w:ind w:hanging="0" w:left="0"/>
        <w:jc w:val="left"/>
        <w:rPr>
          <w:rFonts w:ascii="Nimbus Roman" w:hAnsi="Nimbus Roman"/>
          <w:sz w:val="24"/>
          <w:szCs w:val="24"/>
        </w:rPr>
      </w:pPr>
      <w:r>
        <w:rPr>
          <w:rFonts w:ascii="Nimbus Roman" w:hAnsi="Nimbus Roman"/>
          <w:sz w:val="24"/>
          <w:szCs w:val="24"/>
        </w:rPr>
        <w:t>2.8 Risk Management Failures and Fraud Concealment</w:t>
      </w:r>
    </w:p>
    <w:p>
      <w:pPr>
        <w:pStyle w:val="BodyText"/>
        <w:ind w:hanging="0" w:left="0" w:right="0"/>
        <w:rPr/>
      </w:pPr>
      <w:r>
        <w:rPr/>
        <w:t>The efficacy of corporate governance practice indices, particularly those incorporating robust whistleblowing mechanisms, emerges as a pivotal element in attenuating default risk and safeguarding financial stability within Nigeria's deposit money banking sector. Systemic deficiencies in these practice indices, manifested through inadequate whistleblowing frameworks, have historically precipitated elevated non-performing loan ratios, reaching thirty-seven percent in 2009 and persisting at twenty percent in 2017, far exceeding the Central Bank of Nigeria's five percent prudential threshold and thereby fostering systemic instability (Nwosu, 2020; Adegboye, 2020; Udo, 2020). Such failures in fraud concealment and lax risk controls not only subvert stakeholder trust but also exacerbate financial distress, as vividly illustrated by the 2009 banking crisis, where governance lapses propelled widespread institutional vulnerabilities (Sanusi, 2009).</w:t>
      </w:r>
    </w:p>
    <w:p>
      <w:pPr>
        <w:pStyle w:val="BodyText"/>
        <w:ind w:hanging="0" w:left="0" w:right="0"/>
        <w:rPr/>
      </w:pPr>
      <w:r>
        <w:rPr/>
        <w:t>Building upon this foundation, the Nigerian scholarly discourse on practice index deficiencies and frail whistleblowing mechanisms is segmented and juxtaposed against global benchmarks, including Basel III accords and European Union whistleblowing directives, to elucidate their linkages with default risk and systemic instability. This comparative lens directly aligns with the thesis's research objectives, particularly in addressing how governance failures propel non-performing loans, thereby informing Research Question 1 on the modulating role of practice indices in non-performing loan ratios and Research Question 2 on the mediated pathways through audit committee independence and financial reporting integrity (Afolabi &amp; Afolabi, 2024). Correspondingly, empirical inquiries underscore the nexus between risk management failures, audit committee independence, and the mediating influence of financial reporting integrity on practice indices, with profound implications for disclosure impacts and overall default risk mitigation.</w:t>
      </w:r>
    </w:p>
    <w:p>
      <w:pPr>
        <w:pStyle w:val="Heading4"/>
        <w:spacing w:before="0" w:after="283"/>
        <w:rPr/>
      </w:pPr>
      <w:r>
        <w:rPr/>
        <w:t>2.8.1 Risk Management Deficiencies in Nigeria</w:t>
      </w:r>
    </w:p>
    <w:p>
      <w:pPr>
        <w:pStyle w:val="BodyText"/>
        <w:ind w:hanging="0" w:left="0" w:right="0"/>
        <w:rPr/>
      </w:pPr>
      <w:r>
        <w:rPr/>
        <w:t>Extant studies on Nigerian deposit money banks consistently identify practice index failures as pervasive contributors to elevated non-performing loans, wherein governance breakdowns serve as primary catalysts. Adegboye (2020) delineates how practice deficiencies, including lax lending protocols and insufficient credit assessment procedures, culminated in non-performing loan ratios approximating twenty percent by 2017, starkly contravening the Central Bank of Nigeria's five percent benchmark. These lapses are further compounded by weak internal controls, as evidenced in the case of Intercontinental Bank, where credit extensions occurred absent rigorous due diligence, precipitating acute financial distress (Owolabi, 2013). The absence of robust risk assessment frameworks—encompassing stress testing, continuous portfolio monitoring, and proactive impairment recognition—has enabled the approval of high-risk loans, thereby exacerbating default risk across the sector (Adegboye, 2020). During the 2009 crisis, institutions such as Oceanic Bank exemplified poor practice indices through insider loans constituting seventy-five percent of non-performing assets, propelled by inadequate oversight mechanisms (Sanusi, 2009).</w:t>
      </w:r>
    </w:p>
    <w:p>
      <w:pPr>
        <w:pStyle w:val="BodyText"/>
        <w:ind w:hanging="0" w:left="0" w:right="0"/>
        <w:rPr/>
      </w:pPr>
      <w:r>
        <w:rPr/>
        <w:t>Afolabi and Afolabi (2024) extend this analysis by illuminating the interplay between weak practice indices and audit committee independence failures, positing financial reporting integrity as a partial mediator that precludes effective oversight, accurate loan classification, and disclosure compliance, ultimately subverting governance efficacy. This mediated relationship resonates with agency theory, wherein misaligned incentives between managers and shareholders foster opportunistic behaviors, such as fraud concealment, that inflate non-performing loan ratios; stewardship theory, conversely, anticipates that committed leadership could mitigate such risks through intrinsic ethical oversight, yet empirical realities in Nigeria reveal stewardship deficits amid entrenched principal-agent conflicts (Jensen &amp; Meckling, 1976; Davis et al., 1997).</w:t>
      </w:r>
    </w:p>
    <w:p>
      <w:pPr>
        <w:pStyle w:val="BodyText"/>
        <w:ind w:hanging="0" w:left="0" w:right="0"/>
        <w:rPr/>
      </w:pPr>
      <w:r>
        <w:rPr/>
        <w:t>Further enervating practice indices in Nigerian deposit money banks are unqualified management appointments and board inefficiencies, often rooted in politically motivated selections that prioritize patronage over competence (Nwoko et al., 2022). The conspicuous absence of independent risk committees—mandated under global standards such as Basel III—intensifies these vulnerabilities, as demonstrated by Bank PHB's frail controls that amplified systemic risks (Owolabi, 2013). Concentrated ownership structures, prevalent in the Nigerian context, incentivize managerial pursuit of short-term gains at the expense of long-term stability, resulting in deteriorated loan portfolio quality and heightened default probabilities (Adegboye, 2020). Institutional theory provides a complementary lens, framing these deficiencies as outcomes of coercive, mimetic, and normative pressures within a fragmented regulatory environment, where banks mimic suboptimal practices amid weak enforcement (DiMaggio &amp; Powell, 1983).</w:t>
      </w:r>
    </w:p>
    <w:p>
      <w:pPr>
        <w:pStyle w:val="BodyText"/>
        <w:ind w:hanging="0" w:left="0" w:right="0"/>
        <w:rPr/>
      </w:pPr>
      <w:r>
        <w:rPr/>
        <w:t>Regulatory multiplicity introduces additional complexities, with overlapping and occasionally conflicting stipulations from the Companies and Allied Matters Act 2020, the Nigerian Code of Corporate Governance 2018, and the Central Bank of Nigeria Guidelines 2023 complicating practice indices and enabling selective compliance that facilitates financial concealment and non-performing loan-driven default risk (Abdulmalik &amp; Ahmad, 2020). Ojo and Ojo (2024) integrate these elements by demonstrating the direct repercussions of practice index deficiencies on enfeebled risk frameworks, impaired audit committee functions, and the mediating role of financial reporting integrity, which collectively erode disclosure quality and perpetuate governance failures.</w:t>
      </w:r>
    </w:p>
    <w:p>
      <w:pPr>
        <w:pStyle w:val="BodyText"/>
        <w:ind w:hanging="0" w:left="0" w:right="0"/>
        <w:rPr/>
      </w:pPr>
      <w:r>
        <w:rPr/>
        <w:t>Comparatively, while South African banks under the King IV Code exhibit stronger whistleblowing integration and risk committee autonomy, reducing non-performing loans to below three percent post-global financial crisis, Ghanaian counterparts grappling with similar emerging market constraints mirror Nigeria's challenges, albeit with partial amelioration through post-2017 Bank of Ghana reforms emphasizing independent oversight (OECD, 2023; PwC Ghana, 2022). These cross-jurisdictional insights underscore the potential for Basel III convergence to attenuate risk management deficiencies in Nigeria, aligning with post-2014 reforms such as the Central Bank of Nigeria Code 2014, which sought to fortify practice indices through enhanced whistleblowing protocols and risk governance mandates. Theoretically, synthesizing agency, stewardship, and institutional perspectives reveals that risk management failures not only precipitate immediate non-performing loan surges but also engender longitudinal institutional decay, necessitating unified governance reforms to restore credibility and mitigate default risk in line with Research Question 1 and Research Question 3's emphasis on reform-induced shifts in disclosure-practice linkages.</w:t>
      </w:r>
    </w:p>
    <w:p>
      <w:pPr>
        <w:pStyle w:val="Normal"/>
        <w:bidi w:val="0"/>
        <w:jc w:val="left"/>
        <w:rPr/>
      </w:pPr>
      <w:r>
        <w:rPr/>
      </w:r>
    </w:p>
    <w:p>
      <w:pPr>
        <w:sectPr>
          <w:type w:val="nextPage"/>
          <w:pgSz w:w="12240" w:h="15840"/>
          <w:pgMar w:left="1134" w:right="1134" w:gutter="0" w:header="0" w:top="1134" w:footer="0" w:bottom="1134"/>
          <w:pgNumType w:fmt="decimal"/>
          <w:formProt w:val="false"/>
          <w:textDirection w:val="lrTb"/>
          <w:docGrid w:type="default" w:linePitch="312" w:charSpace="0"/>
        </w:sectPr>
        <w:pStyle w:val="BodyText"/>
        <w:bidi w:val="0"/>
        <w:jc w:val="left"/>
        <w:rPr>
          <w:rStyle w:val="Strong"/>
        </w:rPr>
      </w:pPr>
      <w:r>
        <w:rPr/>
      </w:r>
    </w:p>
    <w:p>
      <w:pPr>
        <w:pStyle w:val="BodyText"/>
        <w:bidi w:val="0"/>
        <w:jc w:val="left"/>
        <w:rPr/>
      </w:pPr>
      <w:r>
        <w:rPr>
          <w:rStyle w:val="Strong"/>
        </w:rPr>
        <w:t xml:space="preserve">Table </w:t>
      </w:r>
      <w:r>
        <w:rPr>
          <w:rStyle w:val="Strong"/>
        </w:rPr>
        <w:t>2.5</w:t>
      </w:r>
      <w:r>
        <w:rPr>
          <w:rStyle w:val="Strong"/>
        </w:rPr>
        <w:t>: Critical Governance Failures in Nigerian Banks: Issues, Descriptions, Real-World Examples, and Impact on Corporate Governance Indices</w:t>
      </w:r>
    </w:p>
    <w:p>
      <w:pPr>
        <w:pStyle w:val="Normal"/>
        <w:bidi w:val="0"/>
        <w:jc w:val="left"/>
        <w:rPr/>
      </w:pPr>
      <w:r>
        <w:rPr/>
      </w:r>
    </w:p>
    <w:tbl>
      <w:tblPr>
        <w:tblW w:w="13500" w:type="dxa"/>
        <w:jc w:val="left"/>
        <w:tblInd w:w="36" w:type="dxa"/>
        <w:tblLayout w:type="fixed"/>
        <w:tblCellMar>
          <w:top w:w="0" w:type="dxa"/>
          <w:left w:w="36" w:type="dxa"/>
          <w:bottom w:w="0" w:type="dxa"/>
          <w:right w:w="36" w:type="dxa"/>
        </w:tblCellMar>
      </w:tblPr>
      <w:tblGrid>
        <w:gridCol w:w="1574"/>
        <w:gridCol w:w="2926"/>
        <w:gridCol w:w="2344"/>
        <w:gridCol w:w="3515"/>
        <w:gridCol w:w="3141"/>
      </w:tblGrid>
      <w:tr>
        <w:trPr/>
        <w:tc>
          <w:tcPr>
            <w:tcW w:w="1574" w:type="dxa"/>
            <w:tcBorders/>
          </w:tcPr>
          <w:p>
            <w:pPr>
              <w:pStyle w:val="TableHeading"/>
              <w:tabs>
                <w:tab w:val="clear" w:pos="709"/>
              </w:tabs>
              <w:bidi w:val="0"/>
              <w:rPr>
                <w:lang w:val="en-US"/>
              </w:rPr>
            </w:pPr>
            <w:r>
              <w:rPr>
                <w:rFonts w:ascii="Liberation Serif" w:hAnsi="Liberation Serif"/>
                <w:sz w:val="24"/>
                <w:lang w:val="en-US"/>
              </w:rPr>
              <w:t>Issue</w:t>
            </w:r>
          </w:p>
        </w:tc>
        <w:tc>
          <w:tcPr>
            <w:tcW w:w="2926" w:type="dxa"/>
            <w:tcBorders/>
          </w:tcPr>
          <w:p>
            <w:pPr>
              <w:pStyle w:val="TableHeading"/>
              <w:tabs>
                <w:tab w:val="clear" w:pos="709"/>
              </w:tabs>
              <w:bidi w:val="0"/>
              <w:rPr>
                <w:lang w:val="en-US"/>
              </w:rPr>
            </w:pPr>
            <w:r>
              <w:rPr>
                <w:rFonts w:ascii="Liberation Serif" w:hAnsi="Liberation Serif"/>
                <w:sz w:val="24"/>
                <w:lang w:val="en-US"/>
              </w:rPr>
              <w:t>Description</w:t>
            </w:r>
          </w:p>
        </w:tc>
        <w:tc>
          <w:tcPr>
            <w:tcW w:w="2344" w:type="dxa"/>
            <w:tcBorders/>
          </w:tcPr>
          <w:p>
            <w:pPr>
              <w:pStyle w:val="TableHeading"/>
              <w:tabs>
                <w:tab w:val="clear" w:pos="709"/>
              </w:tabs>
              <w:bidi w:val="0"/>
              <w:rPr>
                <w:lang w:val="en-US"/>
              </w:rPr>
            </w:pPr>
            <w:r>
              <w:rPr>
                <w:rFonts w:ascii="Liberation Serif" w:hAnsi="Liberation Serif"/>
                <w:sz w:val="24"/>
                <w:lang w:val="en-US"/>
              </w:rPr>
              <w:t>Example</w:t>
            </w:r>
          </w:p>
        </w:tc>
        <w:tc>
          <w:tcPr>
            <w:tcW w:w="3515" w:type="dxa"/>
            <w:tcBorders/>
          </w:tcPr>
          <w:p>
            <w:pPr>
              <w:pStyle w:val="TableHeading"/>
              <w:tabs>
                <w:tab w:val="clear" w:pos="709"/>
              </w:tabs>
              <w:bidi w:val="0"/>
              <w:rPr>
                <w:lang w:val="en-US"/>
              </w:rPr>
            </w:pPr>
            <w:r>
              <w:rPr>
                <w:rFonts w:ascii="Liberation Serif" w:hAnsi="Liberation Serif"/>
                <w:sz w:val="24"/>
                <w:lang w:val="en-US"/>
              </w:rPr>
              <w:t>Impact on Corporate Governance Indices</w:t>
            </w:r>
          </w:p>
        </w:tc>
        <w:tc>
          <w:tcPr>
            <w:tcW w:w="3141" w:type="dxa"/>
            <w:tcBorders/>
          </w:tcPr>
          <w:p>
            <w:pPr>
              <w:pStyle w:val="TableHeading"/>
              <w:tabs>
                <w:tab w:val="clear" w:pos="709"/>
              </w:tabs>
              <w:bidi w:val="0"/>
              <w:rPr>
                <w:lang w:val="en-US"/>
              </w:rPr>
            </w:pPr>
            <w:r>
              <w:rPr>
                <w:rFonts w:ascii="Liberation Serif" w:hAnsi="Liberation Serif"/>
                <w:sz w:val="24"/>
                <w:lang w:val="en-US"/>
              </w:rPr>
              <w:t>Source</w:t>
            </w:r>
          </w:p>
        </w:tc>
      </w:tr>
      <w:tr>
        <w:trPr/>
        <w:tc>
          <w:tcPr>
            <w:tcW w:w="1574" w:type="dxa"/>
            <w:tcBorders/>
          </w:tcPr>
          <w:p>
            <w:pPr>
              <w:pStyle w:val="TableContents"/>
              <w:tabs>
                <w:tab w:val="clear" w:pos="709"/>
              </w:tabs>
              <w:bidi w:val="0"/>
              <w:jc w:val="left"/>
              <w:rPr>
                <w:lang w:val="en-US"/>
              </w:rPr>
            </w:pPr>
            <w:r>
              <w:rPr>
                <w:rFonts w:ascii="Liberation Serif" w:hAnsi="Liberation Serif"/>
                <w:sz w:val="24"/>
                <w:lang w:val="en-US"/>
              </w:rPr>
              <w:t>Lax Lending Practices</w:t>
            </w:r>
          </w:p>
        </w:tc>
        <w:tc>
          <w:tcPr>
            <w:tcW w:w="2926" w:type="dxa"/>
            <w:tcBorders/>
          </w:tcPr>
          <w:p>
            <w:pPr>
              <w:pStyle w:val="TableContents"/>
              <w:tabs>
                <w:tab w:val="clear" w:pos="709"/>
              </w:tabs>
              <w:bidi w:val="0"/>
              <w:jc w:val="left"/>
              <w:rPr>
                <w:lang w:val="en-US"/>
              </w:rPr>
            </w:pPr>
            <w:r>
              <w:rPr>
                <w:rFonts w:ascii="Liberation Serif" w:hAnsi="Liberation Serif"/>
                <w:sz w:val="24"/>
                <w:lang w:val="en-US"/>
              </w:rPr>
              <w:t>Inadequate credit assessment high-risk loans propulsion</w:t>
            </w:r>
          </w:p>
        </w:tc>
        <w:tc>
          <w:tcPr>
            <w:tcW w:w="2344" w:type="dxa"/>
            <w:tcBorders/>
          </w:tcPr>
          <w:p>
            <w:pPr>
              <w:pStyle w:val="TableContents"/>
              <w:tabs>
                <w:tab w:val="clear" w:pos="709"/>
              </w:tabs>
              <w:bidi w:val="0"/>
              <w:jc w:val="left"/>
              <w:rPr>
                <w:lang w:val="en-US"/>
              </w:rPr>
            </w:pPr>
            <w:r>
              <w:rPr>
                <w:rFonts w:ascii="Liberation Serif" w:hAnsi="Liberation Serif"/>
                <w:sz w:val="24"/>
                <w:lang w:val="en-US"/>
              </w:rPr>
              <w:t>Intercontinental Bank collapse poor due diligence</w:t>
            </w:r>
          </w:p>
        </w:tc>
        <w:tc>
          <w:tcPr>
            <w:tcW w:w="3515" w:type="dxa"/>
            <w:tcBorders/>
          </w:tcPr>
          <w:p>
            <w:pPr>
              <w:pStyle w:val="TableContents"/>
              <w:tabs>
                <w:tab w:val="clear" w:pos="709"/>
              </w:tabs>
              <w:bidi w:val="0"/>
              <w:jc w:val="left"/>
              <w:rPr>
                <w:lang w:val="en-US"/>
              </w:rPr>
            </w:pPr>
            <w:r>
              <w:rPr>
                <w:rFonts w:ascii="Liberation Serif" w:hAnsi="Liberation Serif"/>
                <w:sz w:val="24"/>
                <w:lang w:val="en-US"/>
              </w:rPr>
              <w:t>Practice indices subversion non-performing loans increase disclosure impact</w:t>
            </w:r>
          </w:p>
        </w:tc>
        <w:tc>
          <w:tcPr>
            <w:tcW w:w="3141" w:type="dxa"/>
            <w:tcBorders/>
          </w:tcPr>
          <w:p>
            <w:pPr>
              <w:pStyle w:val="TableContents"/>
              <w:tabs>
                <w:tab w:val="clear" w:pos="709"/>
              </w:tabs>
              <w:bidi w:val="0"/>
              <w:jc w:val="left"/>
              <w:rPr>
                <w:lang w:val="en-US"/>
              </w:rPr>
            </w:pPr>
            <w:r>
              <w:rPr>
                <w:rFonts w:ascii="Liberation Serif" w:hAnsi="Liberation Serif"/>
                <w:sz w:val="24"/>
                <w:lang w:val="en-US"/>
              </w:rPr>
              <w:t>Adegboye 2020 Owolabi 2013</w:t>
            </w:r>
          </w:p>
        </w:tc>
      </w:tr>
      <w:tr>
        <w:trPr/>
        <w:tc>
          <w:tcPr>
            <w:tcW w:w="1574" w:type="dxa"/>
            <w:tcBorders/>
          </w:tcPr>
          <w:p>
            <w:pPr>
              <w:pStyle w:val="TableContents"/>
              <w:tabs>
                <w:tab w:val="clear" w:pos="709"/>
              </w:tabs>
              <w:bidi w:val="0"/>
              <w:jc w:val="left"/>
              <w:rPr>
                <w:lang w:val="en-US"/>
              </w:rPr>
            </w:pPr>
            <w:r>
              <w:rPr>
                <w:rFonts w:ascii="Liberation Serif" w:hAnsi="Liberation Serif"/>
                <w:sz w:val="24"/>
                <w:lang w:val="en-US"/>
              </w:rPr>
              <w:t>Absence of Risk Committees</w:t>
            </w:r>
          </w:p>
        </w:tc>
        <w:tc>
          <w:tcPr>
            <w:tcW w:w="2926" w:type="dxa"/>
            <w:tcBorders/>
          </w:tcPr>
          <w:p>
            <w:pPr>
              <w:pStyle w:val="TableContents"/>
              <w:tabs>
                <w:tab w:val="clear" w:pos="709"/>
              </w:tabs>
              <w:bidi w:val="0"/>
              <w:jc w:val="left"/>
              <w:rPr>
                <w:lang w:val="en-US"/>
              </w:rPr>
            </w:pPr>
            <w:r>
              <w:rPr>
                <w:rFonts w:ascii="Liberation Serif" w:hAnsi="Liberation Serif"/>
                <w:sz w:val="24"/>
                <w:lang w:val="en-US"/>
              </w:rPr>
              <w:t>Independent risk committees lack global standards antithesis</w:t>
            </w:r>
          </w:p>
        </w:tc>
        <w:tc>
          <w:tcPr>
            <w:tcW w:w="2344" w:type="dxa"/>
            <w:tcBorders/>
          </w:tcPr>
          <w:p>
            <w:pPr>
              <w:pStyle w:val="TableContents"/>
              <w:tabs>
                <w:tab w:val="clear" w:pos="709"/>
              </w:tabs>
              <w:bidi w:val="0"/>
              <w:jc w:val="left"/>
              <w:rPr>
                <w:lang w:val="en-US"/>
              </w:rPr>
            </w:pPr>
            <w:r>
              <w:rPr>
                <w:rFonts w:ascii="Liberation Serif" w:hAnsi="Liberation Serif"/>
                <w:sz w:val="24"/>
                <w:lang w:val="en-US"/>
              </w:rPr>
              <w:t>Bank PHB weak controls systemic risks propulsion</w:t>
            </w:r>
          </w:p>
        </w:tc>
        <w:tc>
          <w:tcPr>
            <w:tcW w:w="3515" w:type="dxa"/>
            <w:tcBorders/>
          </w:tcPr>
          <w:p>
            <w:pPr>
              <w:pStyle w:val="TableContents"/>
              <w:tabs>
                <w:tab w:val="clear" w:pos="709"/>
              </w:tabs>
              <w:bidi w:val="0"/>
              <w:jc w:val="left"/>
              <w:rPr>
                <w:lang w:val="en-US"/>
              </w:rPr>
            </w:pPr>
            <w:r>
              <w:rPr>
                <w:rFonts w:ascii="Liberation Serif" w:hAnsi="Liberation Serif"/>
                <w:sz w:val="24"/>
                <w:lang w:val="en-US"/>
              </w:rPr>
              <w:t>Compliance risk oversight enervation disclosure erosion</w:t>
            </w:r>
          </w:p>
        </w:tc>
        <w:tc>
          <w:tcPr>
            <w:tcW w:w="3141" w:type="dxa"/>
            <w:tcBorders/>
          </w:tcPr>
          <w:p>
            <w:pPr>
              <w:pStyle w:val="TableContents"/>
              <w:tabs>
                <w:tab w:val="clear" w:pos="709"/>
              </w:tabs>
              <w:bidi w:val="0"/>
              <w:jc w:val="left"/>
              <w:rPr>
                <w:lang w:val="en-US"/>
              </w:rPr>
            </w:pPr>
            <w:r>
              <w:rPr>
                <w:rFonts w:ascii="Liberation Serif" w:hAnsi="Liberation Serif"/>
                <w:sz w:val="24"/>
                <w:lang w:val="en-US"/>
              </w:rPr>
              <w:t>Nwoko et al. 2022 Owolabi 2013</w:t>
            </w:r>
          </w:p>
        </w:tc>
      </w:tr>
      <w:tr>
        <w:trPr/>
        <w:tc>
          <w:tcPr>
            <w:tcW w:w="1574" w:type="dxa"/>
            <w:tcBorders/>
          </w:tcPr>
          <w:p>
            <w:pPr>
              <w:pStyle w:val="TableContents"/>
              <w:tabs>
                <w:tab w:val="clear" w:pos="709"/>
              </w:tabs>
              <w:bidi w:val="0"/>
              <w:jc w:val="left"/>
              <w:rPr>
                <w:lang w:val="en-US"/>
              </w:rPr>
            </w:pPr>
            <w:r>
              <w:rPr>
                <w:rFonts w:ascii="Liberation Serif" w:hAnsi="Liberation Serif"/>
                <w:sz w:val="24"/>
                <w:lang w:val="en-US"/>
              </w:rPr>
              <w:t>Unqualified Management</w:t>
            </w:r>
          </w:p>
        </w:tc>
        <w:tc>
          <w:tcPr>
            <w:tcW w:w="2926" w:type="dxa"/>
            <w:tcBorders/>
          </w:tcPr>
          <w:p>
            <w:pPr>
              <w:pStyle w:val="TableContents"/>
              <w:tabs>
                <w:tab w:val="clear" w:pos="709"/>
              </w:tabs>
              <w:bidi w:val="0"/>
              <w:jc w:val="left"/>
              <w:rPr>
                <w:lang w:val="en-US"/>
              </w:rPr>
            </w:pPr>
            <w:r>
              <w:rPr>
                <w:rFonts w:ascii="Liberation Serif" w:hAnsi="Liberation Serif"/>
                <w:sz w:val="24"/>
                <w:lang w:val="en-US"/>
              </w:rPr>
              <w:t>Politically motivated appointments risk expertise lack</w:t>
            </w:r>
          </w:p>
        </w:tc>
        <w:tc>
          <w:tcPr>
            <w:tcW w:w="2344" w:type="dxa"/>
            <w:tcBorders/>
          </w:tcPr>
          <w:p>
            <w:pPr>
              <w:pStyle w:val="TableContents"/>
              <w:tabs>
                <w:tab w:val="clear" w:pos="709"/>
              </w:tabs>
              <w:bidi w:val="0"/>
              <w:jc w:val="left"/>
              <w:rPr>
                <w:lang w:val="en-US"/>
              </w:rPr>
            </w:pPr>
            <w:r>
              <w:rPr>
                <w:rFonts w:ascii="Liberation Serif" w:hAnsi="Liberation Serif"/>
                <w:sz w:val="24"/>
                <w:lang w:val="en-US"/>
              </w:rPr>
              <w:t>Oceanic Bank insider loans seventy-five percent non-performing loans poor oversight</w:t>
            </w:r>
          </w:p>
        </w:tc>
        <w:tc>
          <w:tcPr>
            <w:tcW w:w="3515" w:type="dxa"/>
            <w:tcBorders/>
          </w:tcPr>
          <w:p>
            <w:pPr>
              <w:pStyle w:val="TableContents"/>
              <w:tabs>
                <w:tab w:val="clear" w:pos="709"/>
              </w:tabs>
              <w:bidi w:val="0"/>
              <w:jc w:val="left"/>
              <w:rPr>
                <w:lang w:val="en-US"/>
              </w:rPr>
            </w:pPr>
            <w:r>
              <w:rPr>
                <w:rFonts w:ascii="Liberation Serif" w:hAnsi="Liberation Serif"/>
                <w:sz w:val="24"/>
                <w:lang w:val="en-US"/>
              </w:rPr>
              <w:t>Practice indices audit committee independence compromise</w:t>
            </w:r>
          </w:p>
        </w:tc>
        <w:tc>
          <w:tcPr>
            <w:tcW w:w="3141" w:type="dxa"/>
            <w:tcBorders/>
          </w:tcPr>
          <w:p>
            <w:pPr>
              <w:pStyle w:val="TableContents"/>
              <w:tabs>
                <w:tab w:val="clear" w:pos="709"/>
              </w:tabs>
              <w:bidi w:val="0"/>
              <w:jc w:val="left"/>
              <w:rPr>
                <w:lang w:val="en-US"/>
              </w:rPr>
            </w:pPr>
            <w:r>
              <w:rPr>
                <w:rFonts w:ascii="Liberation Serif" w:hAnsi="Liberation Serif"/>
                <w:sz w:val="24"/>
                <w:lang w:val="en-US"/>
              </w:rPr>
              <w:t>Sanusi 2009 Ojo &amp; Ojo 2024</w:t>
            </w:r>
          </w:p>
        </w:tc>
      </w:tr>
      <w:tr>
        <w:trPr/>
        <w:tc>
          <w:tcPr>
            <w:tcW w:w="1574" w:type="dxa"/>
            <w:tcBorders/>
          </w:tcPr>
          <w:p>
            <w:pPr>
              <w:pStyle w:val="TableContents"/>
              <w:tabs>
                <w:tab w:val="clear" w:pos="709"/>
              </w:tabs>
              <w:bidi w:val="0"/>
              <w:jc w:val="left"/>
              <w:rPr>
                <w:lang w:val="en-US"/>
              </w:rPr>
            </w:pPr>
            <w:r>
              <w:rPr>
                <w:rFonts w:ascii="Liberation Serif" w:hAnsi="Liberation Serif"/>
                <w:sz w:val="24"/>
                <w:lang w:val="en-US"/>
              </w:rPr>
              <w:t>Regulatory Multiplicity</w:t>
            </w:r>
          </w:p>
        </w:tc>
        <w:tc>
          <w:tcPr>
            <w:tcW w:w="2926" w:type="dxa"/>
            <w:tcBorders/>
          </w:tcPr>
          <w:p>
            <w:pPr>
              <w:pStyle w:val="TableContents"/>
              <w:tabs>
                <w:tab w:val="clear" w:pos="709"/>
              </w:tabs>
              <w:bidi w:val="0"/>
              <w:jc w:val="left"/>
              <w:rPr>
                <w:lang w:val="en-US"/>
              </w:rPr>
            </w:pPr>
            <w:r>
              <w:rPr>
                <w:rFonts w:ascii="Liberation Serif" w:hAnsi="Liberation Serif"/>
                <w:sz w:val="24"/>
                <w:lang w:val="en-US"/>
              </w:rPr>
              <w:t>Conflicting codes selective compliance enablement</w:t>
            </w:r>
          </w:p>
        </w:tc>
        <w:tc>
          <w:tcPr>
            <w:tcW w:w="2344" w:type="dxa"/>
            <w:tcBorders/>
          </w:tcPr>
          <w:p>
            <w:pPr>
              <w:pStyle w:val="TableContents"/>
              <w:tabs>
                <w:tab w:val="clear" w:pos="709"/>
              </w:tabs>
              <w:bidi w:val="0"/>
              <w:jc w:val="left"/>
              <w:rPr>
                <w:lang w:val="en-US"/>
              </w:rPr>
            </w:pPr>
            <w:r>
              <w:rPr>
                <w:rFonts w:ascii="Liberation Serif" w:hAnsi="Liberation Serif"/>
                <w:sz w:val="24"/>
                <w:lang w:val="en-US"/>
              </w:rPr>
              <w:t>Banks Companies and Allied Matters Act/Nigerian Code of Corporate Governance gaps risk controls evasion</w:t>
            </w:r>
          </w:p>
        </w:tc>
        <w:tc>
          <w:tcPr>
            <w:tcW w:w="3515" w:type="dxa"/>
            <w:tcBorders/>
          </w:tcPr>
          <w:p>
            <w:pPr>
              <w:pStyle w:val="TableContents"/>
              <w:tabs>
                <w:tab w:val="clear" w:pos="709"/>
              </w:tabs>
              <w:bidi w:val="0"/>
              <w:jc w:val="left"/>
              <w:rPr>
                <w:lang w:val="en-US"/>
              </w:rPr>
            </w:pPr>
            <w:r>
              <w:rPr>
                <w:rFonts w:ascii="Liberation Serif" w:hAnsi="Liberation Serif"/>
                <w:sz w:val="24"/>
                <w:lang w:val="en-US"/>
              </w:rPr>
              <w:t>Disclosure reduction practice compliance subversion</w:t>
            </w:r>
          </w:p>
        </w:tc>
        <w:tc>
          <w:tcPr>
            <w:tcW w:w="3141" w:type="dxa"/>
            <w:tcBorders/>
          </w:tcPr>
          <w:p>
            <w:pPr>
              <w:pStyle w:val="TableContents"/>
              <w:tabs>
                <w:tab w:val="clear" w:pos="709"/>
              </w:tabs>
              <w:bidi w:val="0"/>
              <w:jc w:val="left"/>
              <w:rPr>
                <w:lang w:val="en-US"/>
              </w:rPr>
            </w:pPr>
            <w:r>
              <w:rPr>
                <w:rFonts w:ascii="Liberation Serif" w:hAnsi="Liberation Serif"/>
                <w:sz w:val="24"/>
                <w:lang w:val="en-US"/>
              </w:rPr>
              <w:t>Abdulmalik &amp; Ahmad 2020 Afolabi &amp; Afolabi 2024</w:t>
            </w:r>
          </w:p>
        </w:tc>
      </w:tr>
    </w:tbl>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Note: Adapted Adegboye 2020 Nwoko et al. 2022 Afolabi and Afolabi 2024. Impacts disclosure practice compliance audit committee independence ties highlight.</w:t>
      </w:r>
    </w:p>
    <w:p>
      <w:pPr>
        <w:pStyle w:val="Normal"/>
        <w:bidi w:val="0"/>
        <w:jc w:val="left"/>
        <w:rPr/>
      </w:pPr>
      <w:r>
        <w:rPr/>
      </w:r>
    </w:p>
    <w:p>
      <w:pPr>
        <w:sectPr>
          <w:type w:val="nextPage"/>
          <w:pgSz w:orient="landscape" w:w="15840" w:h="12240"/>
          <w:pgMar w:left="1134" w:right="1134" w:gutter="0" w:header="0" w:top="1134" w:footer="0" w:bottom="1134"/>
          <w:pgNumType w:fmt="decimal"/>
          <w:formProt w:val="false"/>
          <w:textDirection w:val="lrTb"/>
        </w:sectPr>
        <w:pStyle w:val="Normal"/>
        <w:bidi w:val="0"/>
        <w:jc w:val="left"/>
        <w:rPr>
          <w:b/>
          <w:bCs/>
        </w:rPr>
      </w:pPr>
      <w:r>
        <w:rPr>
          <w:b/>
          <w:bCs/>
        </w:rPr>
      </w:r>
    </w:p>
    <w:p>
      <w:pPr>
        <w:pStyle w:val="Normal"/>
        <w:bidi w:val="0"/>
        <w:jc w:val="left"/>
        <w:rPr>
          <w:b/>
          <w:bCs/>
        </w:rPr>
      </w:pPr>
      <w:r>
        <w:rPr>
          <w:b/>
          <w:bCs/>
        </w:rPr>
        <w:t>2</w:t>
      </w:r>
      <w:r>
        <w:rPr>
          <w:b/>
          <w:bCs/>
        </w:rPr>
        <w:t>.8.2 Weak Whistleblowing Mechanisms</w:t>
      </w:r>
    </w:p>
    <w:p>
      <w:pPr>
        <w:pStyle w:val="Normal"/>
        <w:bidi w:val="0"/>
        <w:jc w:val="left"/>
        <w:rPr/>
      </w:pPr>
      <w:r>
        <w:rPr/>
      </w:r>
    </w:p>
    <w:p>
      <w:pPr>
        <w:pStyle w:val="Normal"/>
        <w:bidi w:val="0"/>
        <w:jc w:val="left"/>
        <w:rPr/>
      </w:pPr>
      <w:r>
        <w:rPr/>
        <w:t>Robust whistleblowing mechanisms absence practice index failures exacerbation fraud concealment enablement Nigeria banking crises critical factor. Olojede et al. 2020 Nigeria whistleblowing frameworks anonymity protection international standards offer lack fraud ethical violations reports discouragement. Governance gap 2009 crisis stakeholders misconduct exposure ability stifle deposit money banks Oceanic financial distress falsified reporting concealment (Sanusi, 2009).</w:t>
      </w:r>
    </w:p>
    <w:p>
      <w:pPr>
        <w:pStyle w:val="Normal"/>
        <w:bidi w:val="0"/>
        <w:jc w:val="left"/>
        <w:rPr/>
      </w:pPr>
      <w:r>
        <w:rPr/>
      </w:r>
    </w:p>
    <w:p>
      <w:pPr>
        <w:pStyle w:val="Normal"/>
        <w:bidi w:val="0"/>
        <w:jc w:val="left"/>
        <w:rPr/>
      </w:pPr>
      <w:r>
        <w:rPr/>
        <w:t>Oceanic leadership insider loans seventy-five percent non-performing loans hide weak oversight ineffective whistleblowing channels (Olojede et al., 2020). Legal protections whistleblowers global benchmarks absent fear retaliation culture financial impropriety reports suppression corrective actions delay (Ojo &amp; Ojo, 2024). Systemic instability direct contribution unaddressed fraud stakeholder trust erosion deposit withdrawals trigger (Sanusi, 2009).</w:t>
      </w:r>
    </w:p>
    <w:p>
      <w:pPr>
        <w:pStyle w:val="Normal"/>
        <w:bidi w:val="0"/>
        <w:jc w:val="left"/>
        <w:rPr/>
      </w:pPr>
      <w:r>
        <w:rPr/>
      </w:r>
    </w:p>
    <w:p>
      <w:pPr>
        <w:pStyle w:val="Normal"/>
        <w:bidi w:val="0"/>
        <w:jc w:val="left"/>
        <w:rPr>
          <w:b/>
          <w:bCs/>
        </w:rPr>
      </w:pPr>
      <w:r>
        <w:rPr>
          <w:b/>
          <w:bCs/>
        </w:rPr>
        <w:t>2.8.3 Global Standards for Risk Management and Whistleblowing</w:t>
      </w:r>
    </w:p>
    <w:p>
      <w:pPr>
        <w:pStyle w:val="Normal"/>
        <w:bidi w:val="0"/>
        <w:jc w:val="left"/>
        <w:rPr/>
      </w:pPr>
      <w:r>
        <w:rPr/>
      </w:r>
    </w:p>
    <w:p>
      <w:pPr>
        <w:pStyle w:val="Normal"/>
        <w:bidi w:val="0"/>
        <w:jc w:val="left"/>
        <w:rPr/>
      </w:pPr>
      <w:r>
        <w:rPr/>
        <w:t>Global standards Basel III European Union whistleblowing frameworks effective practice indices fraud prevention benchmark Nigeria deficiencies stark contrast. Basel III Basel Committee on Banking Supervision 2010 robust practice indices stringent capital adequacy liquidity requirements independent risk committees credit risk mitigation financial stability assurance emphasis. Standards comprehensive risk assessment frameworks stress testing credit portfolio monitoring mandate European Union jurisdictions non-performing loans reduction oversight exaltation (BCBS, 2010).</w:t>
      </w:r>
    </w:p>
    <w:p>
      <w:pPr>
        <w:pStyle w:val="Normal"/>
        <w:bidi w:val="0"/>
        <w:jc w:val="left"/>
        <w:rPr/>
      </w:pPr>
      <w:r>
        <w:rPr/>
      </w:r>
    </w:p>
    <w:p>
      <w:pPr>
        <w:pStyle w:val="Normal"/>
        <w:bidi w:val="0"/>
        <w:jc w:val="left"/>
        <w:rPr/>
      </w:pPr>
      <w:r>
        <w:rPr/>
        <w:t>Nigerian deposit money banks frameworks adoption failure Adegboye 2020 note weak practice indices non-performing loan spikes contribution. 2009 crisis Nigeria Basel-aligned practice indices lack European Union banks integrated risk governance benefit contrast (Sanusi, 2009). Ojo and Ojo 2024 global standards Nigerian practices comparison disclosure audit-committee integration financial-reporting integrity mediation deficiencies revelation.</w:t>
      </w:r>
    </w:p>
    <w:p>
      <w:pPr>
        <w:pStyle w:val="Normal"/>
        <w:bidi w:val="0"/>
        <w:jc w:val="left"/>
        <w:rPr/>
      </w:pPr>
      <w:r>
        <w:rPr/>
      </w:r>
    </w:p>
    <w:p>
      <w:pPr>
        <w:pStyle w:val="Normal"/>
        <w:bidi w:val="0"/>
        <w:jc w:val="left"/>
        <w:rPr/>
      </w:pPr>
      <w:r>
        <w:rPr/>
        <w:t>European Union whistleblowing framework EU 2019 global standard protected anonymous reporting channels financial misconduct disclosure encouragement compliance disclosure exaltation mandate. Framework European banks fraud early detection systemic risks reduction effective (Olojede et al., 2020). Nigeria whistleblowing mechanisms underdeveloped legal protections whistleblowers absent fear retaliation culture fear retaliation culture fraud reports suppression (Olojede et al., 2020). European Union practices whistleblowing financial scandals early intervention contribution Nigeria robust legally backed systems exigency underscore (EU, 2019). Afolabi and Afolabi 2024 European Union-style frameworks adoption practice indices audit-committee independence financial-reporting integrity mediation amelioration compliance culture fosterage.</w:t>
      </w:r>
    </w:p>
    <w:p>
      <w:pPr>
        <w:pStyle w:val="BodyText"/>
        <w:bidi w:val="0"/>
        <w:jc w:val="left"/>
        <w:rPr>
          <w:rStyle w:val="Strong"/>
        </w:rPr>
      </w:pPr>
      <w:r>
        <w:rPr/>
      </w:r>
    </w:p>
    <w:p>
      <w:pPr>
        <w:sectPr>
          <w:type w:val="nextPage"/>
          <w:pgSz w:w="12240" w:h="15840"/>
          <w:pgMar w:left="1134" w:right="1134" w:gutter="0" w:header="0" w:top="1134" w:footer="0" w:bottom="1134"/>
          <w:pgNumType w:fmt="decimal"/>
          <w:formProt w:val="false"/>
          <w:textDirection w:val="lrTb"/>
          <w:docGrid w:type="default" w:linePitch="312" w:charSpace="0"/>
        </w:sectPr>
        <w:pStyle w:val="BodyText"/>
        <w:bidi w:val="0"/>
        <w:jc w:val="left"/>
        <w:rPr>
          <w:rStyle w:val="Strong"/>
        </w:rPr>
      </w:pPr>
      <w:r>
        <w:rPr/>
      </w:r>
    </w:p>
    <w:p>
      <w:pPr>
        <w:pStyle w:val="BodyText"/>
        <w:bidi w:val="0"/>
        <w:jc w:val="left"/>
        <w:rPr/>
      </w:pPr>
      <w:r>
        <w:rPr>
          <w:rStyle w:val="Strong"/>
        </w:rPr>
        <w:t xml:space="preserve">Table </w:t>
      </w:r>
      <w:r>
        <w:rPr>
          <w:rStyle w:val="Strong"/>
        </w:rPr>
        <w:t>2.6</w:t>
      </w:r>
      <w:r>
        <w:rPr>
          <w:rStyle w:val="Strong"/>
        </w:rPr>
        <w:t>: Comparative Analysis of Nigerian Banking Governance Practices vs. Global Standards (Basel III &amp; EU Directives): Key Gaps and Impact on Corporate Governance Indices</w:t>
      </w:r>
    </w:p>
    <w:p>
      <w:pPr>
        <w:pStyle w:val="Normal"/>
        <w:bidi w:val="0"/>
        <w:jc w:val="left"/>
        <w:rPr/>
      </w:pPr>
      <w:r>
        <w:rPr/>
      </w:r>
    </w:p>
    <w:p>
      <w:pPr>
        <w:pStyle w:val="Normal"/>
        <w:bidi w:val="0"/>
        <w:jc w:val="left"/>
        <w:rPr/>
      </w:pPr>
      <w:r>
        <w:rPr/>
      </w:r>
    </w:p>
    <w:tbl>
      <w:tblPr>
        <w:tblW w:w="13586" w:type="dxa"/>
        <w:jc w:val="left"/>
        <w:tblInd w:w="36" w:type="dxa"/>
        <w:tblLayout w:type="fixed"/>
        <w:tblCellMar>
          <w:top w:w="0" w:type="dxa"/>
          <w:left w:w="36" w:type="dxa"/>
          <w:bottom w:w="0" w:type="dxa"/>
          <w:right w:w="36" w:type="dxa"/>
        </w:tblCellMar>
      </w:tblPr>
      <w:tblGrid>
        <w:gridCol w:w="1769"/>
        <w:gridCol w:w="2195"/>
        <w:gridCol w:w="2250"/>
        <w:gridCol w:w="1972"/>
        <w:gridCol w:w="3332"/>
        <w:gridCol w:w="2068"/>
      </w:tblGrid>
      <w:tr>
        <w:trPr/>
        <w:tc>
          <w:tcPr>
            <w:tcW w:w="1769" w:type="dxa"/>
            <w:tcBorders/>
          </w:tcPr>
          <w:p>
            <w:pPr>
              <w:pStyle w:val="TableHeading"/>
              <w:tabs>
                <w:tab w:val="clear" w:pos="709"/>
              </w:tabs>
              <w:bidi w:val="0"/>
              <w:rPr>
                <w:lang w:val="en-US"/>
              </w:rPr>
            </w:pPr>
            <w:r>
              <w:rPr>
                <w:rFonts w:ascii="Liberation Serif" w:hAnsi="Liberation Serif"/>
                <w:sz w:val="24"/>
                <w:lang w:val="en-US"/>
              </w:rPr>
              <w:t>Aspect</w:t>
            </w:r>
          </w:p>
        </w:tc>
        <w:tc>
          <w:tcPr>
            <w:tcW w:w="2195" w:type="dxa"/>
            <w:tcBorders/>
          </w:tcPr>
          <w:p>
            <w:pPr>
              <w:pStyle w:val="TableHeading"/>
              <w:tabs>
                <w:tab w:val="clear" w:pos="709"/>
              </w:tabs>
              <w:bidi w:val="0"/>
              <w:rPr>
                <w:lang w:val="en-US"/>
              </w:rPr>
            </w:pPr>
            <w:r>
              <w:rPr>
                <w:rFonts w:ascii="Liberation Serif" w:hAnsi="Liberation Serif"/>
                <w:sz w:val="24"/>
                <w:lang w:val="en-US"/>
              </w:rPr>
              <w:t>Nigeria Practice</w:t>
            </w:r>
          </w:p>
        </w:tc>
        <w:tc>
          <w:tcPr>
            <w:tcW w:w="2250" w:type="dxa"/>
            <w:tcBorders/>
          </w:tcPr>
          <w:p>
            <w:pPr>
              <w:pStyle w:val="TableHeading"/>
              <w:tabs>
                <w:tab w:val="clear" w:pos="709"/>
              </w:tabs>
              <w:bidi w:val="0"/>
              <w:rPr>
                <w:lang w:val="en-US"/>
              </w:rPr>
            </w:pPr>
            <w:r>
              <w:rPr>
                <w:rFonts w:ascii="Liberation Serif" w:hAnsi="Liberation Serif"/>
                <w:sz w:val="24"/>
                <w:lang w:val="en-US"/>
              </w:rPr>
              <w:t>Global Standard Basel III/European Union</w:t>
            </w:r>
          </w:p>
        </w:tc>
        <w:tc>
          <w:tcPr>
            <w:tcW w:w="1972" w:type="dxa"/>
            <w:tcBorders/>
          </w:tcPr>
          <w:p>
            <w:pPr>
              <w:pStyle w:val="TableHeading"/>
              <w:tabs>
                <w:tab w:val="clear" w:pos="709"/>
              </w:tabs>
              <w:bidi w:val="0"/>
              <w:rPr>
                <w:lang w:val="en-US"/>
              </w:rPr>
            </w:pPr>
            <w:r>
              <w:rPr>
                <w:rFonts w:ascii="Liberation Serif" w:hAnsi="Liberation Serif"/>
                <w:sz w:val="24"/>
                <w:lang w:val="en-US"/>
              </w:rPr>
              <w:t>Gap</w:t>
            </w:r>
          </w:p>
        </w:tc>
        <w:tc>
          <w:tcPr>
            <w:tcW w:w="3332" w:type="dxa"/>
            <w:tcBorders/>
          </w:tcPr>
          <w:p>
            <w:pPr>
              <w:pStyle w:val="TableHeading"/>
              <w:tabs>
                <w:tab w:val="clear" w:pos="709"/>
              </w:tabs>
              <w:bidi w:val="0"/>
              <w:rPr>
                <w:lang w:val="en-US"/>
              </w:rPr>
            </w:pPr>
            <w:r>
              <w:rPr>
                <w:rFonts w:ascii="Liberation Serif" w:hAnsi="Liberation Serif"/>
                <w:sz w:val="24"/>
                <w:lang w:val="en-US"/>
              </w:rPr>
              <w:t>Impact on Corporate Governance Indices</w:t>
            </w:r>
          </w:p>
        </w:tc>
        <w:tc>
          <w:tcPr>
            <w:tcW w:w="2068" w:type="dxa"/>
            <w:tcBorders/>
          </w:tcPr>
          <w:p>
            <w:pPr>
              <w:pStyle w:val="TableHeading"/>
              <w:tabs>
                <w:tab w:val="clear" w:pos="709"/>
              </w:tabs>
              <w:bidi w:val="0"/>
              <w:rPr>
                <w:lang w:val="en-US"/>
              </w:rPr>
            </w:pPr>
            <w:r>
              <w:rPr>
                <w:rFonts w:ascii="Liberation Serif" w:hAnsi="Liberation Serif"/>
                <w:sz w:val="24"/>
                <w:lang w:val="en-US"/>
              </w:rPr>
              <w:t>Source</w:t>
            </w:r>
          </w:p>
        </w:tc>
      </w:tr>
      <w:tr>
        <w:trPr/>
        <w:tc>
          <w:tcPr>
            <w:tcW w:w="1769" w:type="dxa"/>
            <w:tcBorders/>
          </w:tcPr>
          <w:p>
            <w:pPr>
              <w:pStyle w:val="TableContents"/>
              <w:tabs>
                <w:tab w:val="clear" w:pos="709"/>
              </w:tabs>
              <w:bidi w:val="0"/>
              <w:jc w:val="left"/>
              <w:rPr>
                <w:lang w:val="en-US"/>
              </w:rPr>
            </w:pPr>
            <w:r>
              <w:rPr>
                <w:rFonts w:ascii="Liberation Serif" w:hAnsi="Liberation Serif"/>
                <w:sz w:val="24"/>
                <w:lang w:val="en-US"/>
              </w:rPr>
              <w:t>Risk Committees</w:t>
            </w:r>
          </w:p>
        </w:tc>
        <w:tc>
          <w:tcPr>
            <w:tcW w:w="2195" w:type="dxa"/>
            <w:tcBorders/>
          </w:tcPr>
          <w:p>
            <w:pPr>
              <w:pStyle w:val="TableContents"/>
              <w:tabs>
                <w:tab w:val="clear" w:pos="709"/>
              </w:tabs>
              <w:bidi w:val="0"/>
              <w:jc w:val="left"/>
              <w:rPr>
                <w:lang w:val="en-US"/>
              </w:rPr>
            </w:pPr>
            <w:r>
              <w:rPr>
                <w:rFonts w:ascii="Liberation Serif" w:hAnsi="Liberation Serif"/>
                <w:sz w:val="24"/>
                <w:lang w:val="en-US"/>
              </w:rPr>
              <w:t>Most banks absent weak oversight</w:t>
            </w:r>
          </w:p>
        </w:tc>
        <w:tc>
          <w:tcPr>
            <w:tcW w:w="2250" w:type="dxa"/>
            <w:tcBorders/>
          </w:tcPr>
          <w:p>
            <w:pPr>
              <w:pStyle w:val="TableContents"/>
              <w:tabs>
                <w:tab w:val="clear" w:pos="709"/>
              </w:tabs>
              <w:bidi w:val="0"/>
              <w:jc w:val="left"/>
              <w:rPr>
                <w:lang w:val="en-US"/>
              </w:rPr>
            </w:pPr>
            <w:r>
              <w:rPr>
                <w:rFonts w:ascii="Liberation Serif" w:hAnsi="Liberation Serif"/>
                <w:sz w:val="24"/>
                <w:lang w:val="en-US"/>
              </w:rPr>
              <w:t>Basel III independent risk committees mandate</w:t>
            </w:r>
          </w:p>
        </w:tc>
        <w:tc>
          <w:tcPr>
            <w:tcW w:w="1972" w:type="dxa"/>
            <w:tcBorders/>
          </w:tcPr>
          <w:p>
            <w:pPr>
              <w:pStyle w:val="TableContents"/>
              <w:tabs>
                <w:tab w:val="clear" w:pos="709"/>
              </w:tabs>
              <w:bidi w:val="0"/>
              <w:jc w:val="left"/>
              <w:rPr>
                <w:lang w:val="en-US"/>
              </w:rPr>
            </w:pPr>
            <w:r>
              <w:rPr>
                <w:rFonts w:ascii="Liberation Serif" w:hAnsi="Liberation Serif"/>
                <w:sz w:val="24"/>
                <w:lang w:val="en-US"/>
              </w:rPr>
              <w:t>Structured risk oversight lack</w:t>
            </w:r>
          </w:p>
        </w:tc>
        <w:tc>
          <w:tcPr>
            <w:tcW w:w="3332" w:type="dxa"/>
            <w:tcBorders/>
          </w:tcPr>
          <w:p>
            <w:pPr>
              <w:pStyle w:val="TableContents"/>
              <w:tabs>
                <w:tab w:val="clear" w:pos="709"/>
              </w:tabs>
              <w:bidi w:val="0"/>
              <w:jc w:val="left"/>
              <w:rPr>
                <w:lang w:val="en-US"/>
              </w:rPr>
            </w:pPr>
            <w:r>
              <w:rPr>
                <w:rFonts w:ascii="Liberation Serif" w:hAnsi="Liberation Serif"/>
                <w:sz w:val="24"/>
                <w:lang w:val="en-US"/>
              </w:rPr>
              <w:t>Practice indices enervation disclosure subversion</w:t>
            </w:r>
          </w:p>
        </w:tc>
        <w:tc>
          <w:tcPr>
            <w:tcW w:w="2068" w:type="dxa"/>
            <w:tcBorders/>
          </w:tcPr>
          <w:p>
            <w:pPr>
              <w:pStyle w:val="TableContents"/>
              <w:tabs>
                <w:tab w:val="clear" w:pos="709"/>
              </w:tabs>
              <w:bidi w:val="0"/>
              <w:jc w:val="left"/>
              <w:rPr>
                <w:lang w:val="en-US"/>
              </w:rPr>
            </w:pPr>
            <w:r>
              <w:rPr>
                <w:rFonts w:ascii="Liberation Serif" w:hAnsi="Liberation Serif"/>
                <w:sz w:val="24"/>
                <w:lang w:val="en-US"/>
              </w:rPr>
              <w:t>BCBS 2010 Adegboye 2020</w:t>
            </w:r>
          </w:p>
        </w:tc>
      </w:tr>
      <w:tr>
        <w:trPr/>
        <w:tc>
          <w:tcPr>
            <w:tcW w:w="1769" w:type="dxa"/>
            <w:tcBorders/>
          </w:tcPr>
          <w:p>
            <w:pPr>
              <w:pStyle w:val="TableContents"/>
              <w:tabs>
                <w:tab w:val="clear" w:pos="709"/>
              </w:tabs>
              <w:bidi w:val="0"/>
              <w:jc w:val="left"/>
              <w:rPr>
                <w:lang w:val="en-US"/>
              </w:rPr>
            </w:pPr>
            <w:r>
              <w:rPr>
                <w:rFonts w:ascii="Liberation Serif" w:hAnsi="Liberation Serif"/>
                <w:sz w:val="24"/>
                <w:lang w:val="en-US"/>
              </w:rPr>
              <w:t>Credit Assessment</w:t>
            </w:r>
          </w:p>
        </w:tc>
        <w:tc>
          <w:tcPr>
            <w:tcW w:w="2195" w:type="dxa"/>
            <w:tcBorders/>
          </w:tcPr>
          <w:p>
            <w:pPr>
              <w:pStyle w:val="TableContents"/>
              <w:tabs>
                <w:tab w:val="clear" w:pos="709"/>
              </w:tabs>
              <w:bidi w:val="0"/>
              <w:jc w:val="left"/>
              <w:rPr>
                <w:lang w:val="en-US"/>
              </w:rPr>
            </w:pPr>
            <w:r>
              <w:rPr>
                <w:rFonts w:ascii="Liberation Serif" w:hAnsi="Liberation Serif"/>
                <w:sz w:val="24"/>
                <w:lang w:val="en-US"/>
              </w:rPr>
              <w:t>Lax due diligence insider lending</w:t>
            </w:r>
          </w:p>
        </w:tc>
        <w:tc>
          <w:tcPr>
            <w:tcW w:w="2250" w:type="dxa"/>
            <w:tcBorders/>
          </w:tcPr>
          <w:p>
            <w:pPr>
              <w:pStyle w:val="TableContents"/>
              <w:tabs>
                <w:tab w:val="clear" w:pos="709"/>
              </w:tabs>
              <w:bidi w:val="0"/>
              <w:jc w:val="left"/>
              <w:rPr>
                <w:lang w:val="en-US"/>
              </w:rPr>
            </w:pPr>
            <w:r>
              <w:rPr>
                <w:rFonts w:ascii="Liberation Serif" w:hAnsi="Liberation Serif"/>
                <w:sz w:val="24"/>
                <w:lang w:val="en-US"/>
              </w:rPr>
              <w:t>Basel III stress testing portfolio monitoring requirement</w:t>
            </w:r>
          </w:p>
        </w:tc>
        <w:tc>
          <w:tcPr>
            <w:tcW w:w="1972" w:type="dxa"/>
            <w:tcBorders/>
          </w:tcPr>
          <w:p>
            <w:pPr>
              <w:pStyle w:val="TableContents"/>
              <w:tabs>
                <w:tab w:val="clear" w:pos="709"/>
              </w:tabs>
              <w:bidi w:val="0"/>
              <w:jc w:val="left"/>
              <w:rPr>
                <w:lang w:val="en-US"/>
              </w:rPr>
            </w:pPr>
            <w:r>
              <w:rPr>
                <w:rFonts w:ascii="Liberation Serif" w:hAnsi="Liberation Serif"/>
                <w:sz w:val="24"/>
                <w:lang w:val="en-US"/>
              </w:rPr>
              <w:t>Poor loan quality control</w:t>
            </w:r>
          </w:p>
        </w:tc>
        <w:tc>
          <w:tcPr>
            <w:tcW w:w="3332" w:type="dxa"/>
            <w:tcBorders/>
          </w:tcPr>
          <w:p>
            <w:pPr>
              <w:pStyle w:val="TableContents"/>
              <w:tabs>
                <w:tab w:val="clear" w:pos="709"/>
              </w:tabs>
              <w:bidi w:val="0"/>
              <w:jc w:val="left"/>
              <w:rPr>
                <w:lang w:val="en-US"/>
              </w:rPr>
            </w:pPr>
            <w:r>
              <w:rPr>
                <w:rFonts w:ascii="Liberation Serif" w:hAnsi="Liberation Serif"/>
                <w:sz w:val="24"/>
                <w:lang w:val="en-US"/>
              </w:rPr>
              <w:t>Non-performing loans increase disclosure erosion</w:t>
            </w:r>
          </w:p>
        </w:tc>
        <w:tc>
          <w:tcPr>
            <w:tcW w:w="2068" w:type="dxa"/>
            <w:tcBorders/>
          </w:tcPr>
          <w:p>
            <w:pPr>
              <w:pStyle w:val="TableContents"/>
              <w:tabs>
                <w:tab w:val="clear" w:pos="709"/>
              </w:tabs>
              <w:bidi w:val="0"/>
              <w:jc w:val="left"/>
              <w:rPr>
                <w:lang w:val="en-US"/>
              </w:rPr>
            </w:pPr>
            <w:r>
              <w:rPr>
                <w:rFonts w:ascii="Liberation Serif" w:hAnsi="Liberation Serif"/>
                <w:sz w:val="24"/>
                <w:lang w:val="en-US"/>
              </w:rPr>
              <w:t>Sanusi 2009 Ojo &amp; Ojo 2024</w:t>
            </w:r>
          </w:p>
        </w:tc>
      </w:tr>
      <w:tr>
        <w:trPr/>
        <w:tc>
          <w:tcPr>
            <w:tcW w:w="1769" w:type="dxa"/>
            <w:tcBorders/>
          </w:tcPr>
          <w:p>
            <w:pPr>
              <w:pStyle w:val="TableContents"/>
              <w:tabs>
                <w:tab w:val="clear" w:pos="709"/>
              </w:tabs>
              <w:bidi w:val="0"/>
              <w:jc w:val="left"/>
              <w:rPr>
                <w:lang w:val="en-US"/>
              </w:rPr>
            </w:pPr>
            <w:r>
              <w:rPr>
                <w:rFonts w:ascii="Liberation Serif" w:hAnsi="Liberation Serif"/>
                <w:sz w:val="24"/>
                <w:lang w:val="en-US"/>
              </w:rPr>
              <w:t>Whistleblowing</w:t>
            </w:r>
          </w:p>
        </w:tc>
        <w:tc>
          <w:tcPr>
            <w:tcW w:w="2195" w:type="dxa"/>
            <w:tcBorders/>
          </w:tcPr>
          <w:p>
            <w:pPr>
              <w:pStyle w:val="TableContents"/>
              <w:tabs>
                <w:tab w:val="clear" w:pos="709"/>
              </w:tabs>
              <w:bidi w:val="0"/>
              <w:jc w:val="left"/>
              <w:rPr>
                <w:lang w:val="en-US"/>
              </w:rPr>
            </w:pPr>
            <w:r>
              <w:rPr>
                <w:rFonts w:ascii="Liberation Serif" w:hAnsi="Liberation Serif"/>
                <w:sz w:val="24"/>
                <w:lang w:val="en-US"/>
              </w:rPr>
              <w:t>Legal protections absent fear retaliation</w:t>
            </w:r>
          </w:p>
        </w:tc>
        <w:tc>
          <w:tcPr>
            <w:tcW w:w="2250" w:type="dxa"/>
            <w:tcBorders/>
          </w:tcPr>
          <w:p>
            <w:pPr>
              <w:pStyle w:val="TableContents"/>
              <w:tabs>
                <w:tab w:val="clear" w:pos="709"/>
              </w:tabs>
              <w:bidi w:val="0"/>
              <w:jc w:val="left"/>
              <w:rPr>
                <w:lang w:val="en-US"/>
              </w:rPr>
            </w:pPr>
            <w:r>
              <w:rPr>
                <w:rFonts w:ascii="Liberation Serif" w:hAnsi="Liberation Serif"/>
                <w:sz w:val="24"/>
                <w:lang w:val="en-US"/>
              </w:rPr>
              <w:t>European Union anonymous protected channels mandate</w:t>
            </w:r>
          </w:p>
        </w:tc>
        <w:tc>
          <w:tcPr>
            <w:tcW w:w="1972" w:type="dxa"/>
            <w:tcBorders/>
          </w:tcPr>
          <w:p>
            <w:pPr>
              <w:pStyle w:val="TableContents"/>
              <w:tabs>
                <w:tab w:val="clear" w:pos="709"/>
              </w:tabs>
              <w:bidi w:val="0"/>
              <w:jc w:val="left"/>
              <w:rPr>
                <w:lang w:val="en-US"/>
              </w:rPr>
            </w:pPr>
            <w:r>
              <w:rPr>
                <w:rFonts w:ascii="Liberation Serif" w:hAnsi="Liberation Serif"/>
                <w:sz w:val="24"/>
                <w:lang w:val="en-US"/>
              </w:rPr>
              <w:t>Suppressed fraud reporting</w:t>
            </w:r>
          </w:p>
        </w:tc>
        <w:tc>
          <w:tcPr>
            <w:tcW w:w="3332" w:type="dxa"/>
            <w:tcBorders/>
          </w:tcPr>
          <w:p>
            <w:pPr>
              <w:pStyle w:val="TableContents"/>
              <w:tabs>
                <w:tab w:val="clear" w:pos="709"/>
              </w:tabs>
              <w:bidi w:val="0"/>
              <w:jc w:val="left"/>
              <w:rPr>
                <w:lang w:val="en-US"/>
              </w:rPr>
            </w:pPr>
            <w:r>
              <w:rPr>
                <w:rFonts w:ascii="Liberation Serif" w:hAnsi="Liberation Serif"/>
                <w:sz w:val="24"/>
                <w:lang w:val="en-US"/>
              </w:rPr>
              <w:t>Compliance reduction disclosure compromise</w:t>
            </w:r>
          </w:p>
        </w:tc>
        <w:tc>
          <w:tcPr>
            <w:tcW w:w="2068" w:type="dxa"/>
            <w:tcBorders/>
          </w:tcPr>
          <w:p>
            <w:pPr>
              <w:pStyle w:val="TableContents"/>
              <w:tabs>
                <w:tab w:val="clear" w:pos="709"/>
              </w:tabs>
              <w:bidi w:val="0"/>
              <w:jc w:val="left"/>
              <w:rPr>
                <w:lang w:val="en-US"/>
              </w:rPr>
            </w:pPr>
            <w:r>
              <w:rPr>
                <w:rFonts w:ascii="Liberation Serif" w:hAnsi="Liberation Serif"/>
                <w:sz w:val="24"/>
                <w:lang w:val="en-US"/>
              </w:rPr>
              <w:t>EU 2019 Olojede et al. 2020</w:t>
            </w:r>
          </w:p>
        </w:tc>
      </w:tr>
      <w:tr>
        <w:trPr/>
        <w:tc>
          <w:tcPr>
            <w:tcW w:w="1769" w:type="dxa"/>
            <w:tcBorders/>
          </w:tcPr>
          <w:p>
            <w:pPr>
              <w:pStyle w:val="TableContents"/>
              <w:tabs>
                <w:tab w:val="clear" w:pos="709"/>
              </w:tabs>
              <w:bidi w:val="0"/>
              <w:jc w:val="left"/>
              <w:rPr>
                <w:lang w:val="en-US"/>
              </w:rPr>
            </w:pPr>
            <w:r>
              <w:rPr>
                <w:rFonts w:ascii="Liberation Serif" w:hAnsi="Liberation Serif"/>
                <w:sz w:val="24"/>
                <w:lang w:val="en-US"/>
              </w:rPr>
              <w:t>Regulatory Enforcement</w:t>
            </w:r>
          </w:p>
        </w:tc>
        <w:tc>
          <w:tcPr>
            <w:tcW w:w="2195" w:type="dxa"/>
            <w:tcBorders/>
          </w:tcPr>
          <w:p>
            <w:pPr>
              <w:pStyle w:val="TableContents"/>
              <w:tabs>
                <w:tab w:val="clear" w:pos="709"/>
              </w:tabs>
              <w:bidi w:val="0"/>
              <w:jc w:val="left"/>
              <w:rPr>
                <w:lang w:val="en-US"/>
              </w:rPr>
            </w:pPr>
            <w:r>
              <w:rPr>
                <w:rFonts w:ascii="Liberation Serif" w:hAnsi="Liberation Serif"/>
                <w:sz w:val="24"/>
                <w:lang w:val="en-US"/>
              </w:rPr>
              <w:t>Multiplicity resource constraints torpor</w:t>
            </w:r>
          </w:p>
        </w:tc>
        <w:tc>
          <w:tcPr>
            <w:tcW w:w="2250" w:type="dxa"/>
            <w:tcBorders/>
          </w:tcPr>
          <w:p>
            <w:pPr>
              <w:pStyle w:val="TableContents"/>
              <w:tabs>
                <w:tab w:val="clear" w:pos="709"/>
              </w:tabs>
              <w:bidi w:val="0"/>
              <w:jc w:val="left"/>
              <w:rPr>
                <w:lang w:val="en-US"/>
              </w:rPr>
            </w:pPr>
            <w:r>
              <w:rPr>
                <w:rFonts w:ascii="Liberation Serif" w:hAnsi="Liberation Serif"/>
                <w:sz w:val="24"/>
                <w:lang w:val="en-US"/>
              </w:rPr>
              <w:t>Basel III/European Union strong enforcement emphasis</w:t>
            </w:r>
          </w:p>
        </w:tc>
        <w:tc>
          <w:tcPr>
            <w:tcW w:w="1972" w:type="dxa"/>
            <w:tcBorders/>
          </w:tcPr>
          <w:p>
            <w:pPr>
              <w:pStyle w:val="TableContents"/>
              <w:tabs>
                <w:tab w:val="clear" w:pos="709"/>
              </w:tabs>
              <w:bidi w:val="0"/>
              <w:jc w:val="left"/>
              <w:rPr>
                <w:lang w:val="en-US"/>
              </w:rPr>
            </w:pPr>
            <w:r>
              <w:rPr>
                <w:rFonts w:ascii="Liberation Serif" w:hAnsi="Liberation Serif"/>
                <w:sz w:val="24"/>
                <w:lang w:val="en-US"/>
              </w:rPr>
              <w:t>Ineffective sanctions</w:t>
            </w:r>
          </w:p>
        </w:tc>
        <w:tc>
          <w:tcPr>
            <w:tcW w:w="3332" w:type="dxa"/>
            <w:tcBorders/>
          </w:tcPr>
          <w:p>
            <w:pPr>
              <w:pStyle w:val="TableContents"/>
              <w:tabs>
                <w:tab w:val="clear" w:pos="709"/>
              </w:tabs>
              <w:bidi w:val="0"/>
              <w:jc w:val="left"/>
              <w:rPr>
                <w:lang w:val="en-US"/>
              </w:rPr>
            </w:pPr>
            <w:r>
              <w:rPr>
                <w:rFonts w:ascii="Liberation Serif" w:hAnsi="Liberation Serif"/>
                <w:sz w:val="24"/>
                <w:lang w:val="en-US"/>
              </w:rPr>
              <w:t>Practice audit committee independence subversion</w:t>
            </w:r>
          </w:p>
        </w:tc>
        <w:tc>
          <w:tcPr>
            <w:tcW w:w="2068" w:type="dxa"/>
            <w:tcBorders/>
          </w:tcPr>
          <w:p>
            <w:pPr>
              <w:pStyle w:val="TableContents"/>
              <w:tabs>
                <w:tab w:val="clear" w:pos="709"/>
              </w:tabs>
              <w:bidi w:val="0"/>
              <w:jc w:val="left"/>
              <w:rPr>
                <w:lang w:val="en-US"/>
              </w:rPr>
            </w:pPr>
            <w:r>
              <w:rPr>
                <w:rFonts w:ascii="Liberation Serif" w:hAnsi="Liberation Serif"/>
                <w:sz w:val="24"/>
                <w:lang w:val="en-US"/>
              </w:rPr>
              <w:t>Abdulmalik &amp; Ahmad 2020 Afolabi &amp; Afolabi 2024</w:t>
            </w:r>
          </w:p>
        </w:tc>
      </w:tr>
    </w:tbl>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Note: Adapted BCBS 2010 EU 2019 Afolabi and Afolabi 2024. Gaps disclosure practice compliance audit committee independence deficiencies highlight.</w:t>
      </w:r>
    </w:p>
    <w:p>
      <w:pPr>
        <w:pStyle w:val="Normal"/>
        <w:bidi w:val="0"/>
        <w:jc w:val="left"/>
        <w:rPr/>
      </w:pPr>
      <w:r>
        <w:rPr/>
      </w:r>
    </w:p>
    <w:p>
      <w:pPr>
        <w:sectPr>
          <w:type w:val="nextPage"/>
          <w:pgSz w:orient="landscape" w:w="15840" w:h="12240"/>
          <w:pgMar w:left="1134" w:right="1134" w:gutter="0" w:header="0" w:top="1134" w:footer="0" w:bottom="1134"/>
          <w:pgNumType w:fmt="decimal"/>
          <w:formProt w:val="false"/>
          <w:textDirection w:val="lrTb"/>
        </w:sectPr>
        <w:pStyle w:val="Heading4"/>
        <w:bidi w:val="0"/>
        <w:jc w:val="left"/>
        <w:rPr/>
      </w:pPr>
      <w:r>
        <w:rPr/>
      </w:r>
    </w:p>
    <w:p>
      <w:pPr>
        <w:pStyle w:val="Heading4"/>
        <w:bidi w:val="0"/>
        <w:jc w:val="left"/>
        <w:rPr/>
      </w:pPr>
      <w:r>
        <w:rPr/>
        <w:t>2.8.4 Impact on Default Risk and Systemic Instability</w:t>
      </w:r>
    </w:p>
    <w:p>
      <w:pPr>
        <w:pStyle w:val="BodyText"/>
        <w:ind w:hanging="0" w:left="0" w:right="0"/>
        <w:rPr/>
      </w:pPr>
      <w:r>
        <w:rPr/>
        <w:t>Failures in the practice index, particularly those manifesting as weak whistleblowing mechanisms within Nigeria's deposit money banking (DMB) sector, exert a direct and precipitous influence on default risk and systemic instability. This interdependency finds vivid illustration in the 2009 banking crisis, where governance erosions precipitated a cascade of institutional failures. Sanusi (2009) elucidates how attenuated practice indices facilitated fraud concealment in select banks, including Oceanic, Afribank, and Union Bank, culminating in non-performing loan (NPL) ratios exceeding thirty-seven percent and necessitating Central Bank of Nigeria (CBN) intervention amounting to approximately three point nine billion United States dollars. The absence of effective risk controls further enabled insider lending and unauthorized credits; for instance, Oceanic Bank's NPL portfolio reached seventy-five percent attributable to exposures to family-controlled entities, underscoring the pernicious role of entrenched ownership structures in amplifying default probabilities (Sanusi, 2009).</w:t>
      </w:r>
    </w:p>
    <w:p>
      <w:pPr>
        <w:pStyle w:val="BodyText"/>
        <w:ind w:hanging="0" w:left="0" w:right="0"/>
        <w:rPr/>
      </w:pPr>
      <w:r>
        <w:rPr/>
        <w:t>Correspondingly, weak whistleblowing mechanisms preclude the timely exposure of such abuses, thereby delaying corrective interventions and eroding stakeholder confidence. This erosion precipitates deposit withdrawals, liquidity spirals, and contagion effects across the sector (Olojede et al., 2020). Building upon this foundation, Adegboye (2020) posits that governance failures engender a vicious cycle of inadequate risk assessment and fraud concealment, which enervates banks' capital and liquidity positions, as evidenced by the collapse of Intercontinental Bank amid unchecked insider abuses (Owolabi, 2013). From an institutional theory perspective, these practice deficiencies reflect normative isomorphic pressures that perpetuate suboptimal risk cultures, particularly in emerging markets where regulatory enforcement remains fragmented (DiMaggio &amp; Powell, 1983).</w:t>
      </w:r>
    </w:p>
    <w:p>
      <w:pPr>
        <w:pStyle w:val="BodyText"/>
        <w:ind w:hanging="0" w:left="0" w:right="0"/>
        <w:rPr/>
      </w:pPr>
      <w:r>
        <w:rPr/>
        <w:t>The ramifications of such failures transcend individual institutions, posing a critical threat to systemic stability given the pivotal role of banks in Nigeria's economic growth (King &amp; Levine, 1993). The 2009 crisis exemplifies how NPL accumulation, driven by insider lending and weak practice indices, shifts risks onto taxpayers through costly bailouts, imposing a profound social burden and highlighting agency conflicts between managers and broader stakeholders (Sanusi, 2009). Comparatively, analogous episodes in Ghana's 2017–2019 banking cleanup, where governance lapses led to seven bank collapses and NPL ratios surpassing twenty percent, underscore the regional vulnerability to practice index failures absent robust enforcement (Bokpin, 2019). In South Africa, by contrast, stricter adherence to King IV principles has mitigated similar risks, with NPL ratios stabilising below five percent post-2010, illustrating the moderating influence of institutional reforms (Institute of Directors in Southern Africa, 2016).</w:t>
      </w:r>
    </w:p>
    <w:p>
      <w:pPr>
        <w:pStyle w:val="BodyText"/>
        <w:ind w:hanging="0" w:left="0" w:right="0"/>
        <w:rPr/>
      </w:pPr>
      <w:r>
        <w:rPr/>
        <w:t>Recent developments further illuminate ongoing vulnerabilities. The CBN's 2024 recapitalisation programme, mandating a minimum capital base of five hundred billion naira for international banks, seeks to bolster practice index gaps by enhancing risk management frameworks; however, its efficacy remains contingent upon concomitant improvements in whistleblowing protocols and internal controls, which are presently absent from the directive's core provisions (CBN, 2024). This evidences that, while capital augmentation attenuates solvency risks, it does not inherently resolve the behavioural and structural deficits in practice indices that precipitate default risk escalation. Empirically, panel studies across African DMBs indicate that a one-standard-deviation improvement in practice indices correlates with a two point five percent reduction in NPL ratios, controlling for macroeconomic volatilities (Beck et al., 2019). Thus, unaddressed practice failures not only elevate idiosyncratic default risks but also amplify systemic fragility, particularly amid oil price shocks and inflationary pressures endemic to Nigeria's resource-dependent economy.</w:t>
      </w:r>
    </w:p>
    <w:p>
      <w:pPr>
        <w:pStyle w:val="Heading4"/>
        <w:spacing w:before="0" w:after="283"/>
        <w:rPr/>
      </w:pPr>
      <w:r>
        <w:rPr/>
        <w:t>2.8.5 Proposed Reforms to Address Risk Management and Whistleblowing</w:t>
      </w:r>
    </w:p>
    <w:p>
      <w:pPr>
        <w:pStyle w:val="BodyText"/>
        <w:ind w:hanging="0" w:left="0" w:right="0"/>
        <w:rPr/>
      </w:pPr>
      <w:r>
        <w:rPr/>
        <w:t>To attenuate the aforementioned risks, Nigerian DMBs must align with global standards, such as Basel III accords that exalt practice indices through enhanced risk-weighted assets disclosure and stress testing regimens, thereby mitigating oversight deficiencies (BCBS, 2010). Complementarily, the European Union's 2019 Whistleblowing Directive mandates protected reporting channels and non-retaliation safeguards, which have demonstrably reduced fraud incidence by up to thirty percent in adopting jurisdictions (EU, 2019). These frameworks provide a blueprint for Nigeria, where reforms directly address Research Question 1 and its associated hypothesis by forging robust linkages between practice indices, risk management efficacy, and NPL ratio attenuation.</w:t>
      </w:r>
    </w:p>
    <w:p>
      <w:pPr>
        <w:pStyle w:val="BodyText"/>
        <w:ind w:hanging="0" w:left="0" w:right="0"/>
        <w:rPr/>
      </w:pPr>
      <w:r>
        <w:rPr/>
        <w:t>Context-specific reforms are exigently required to exalt banking stability amid Nigeria's unique institutional milieu. Ojo and Ojo (2024) advocate for integrated interventions that fortify practice indices via audit committee independence and financial reporting integrity, positing a mediated pathway wherein enhanced oversight precipitates disclosure and compliance improvements. This aligns with Research Question 2, emphasising mediation mechanisms to disrupt the fraud-concealment cycle. Policy proposals include mandating anonymous whistleblowing platforms with independent oversight by the CBN or Securities and Exchange Commission (SEC), coupled with mandatory training on ethical risk assessment to counteract agency-driven opportunism (Jensen &amp; Meckling, 1976).</w:t>
      </w:r>
    </w:p>
    <w:p>
      <w:pPr>
        <w:pStyle w:val="BodyText"/>
        <w:ind w:hanging="0" w:left="0" w:right="0"/>
        <w:rPr/>
      </w:pPr>
      <w:r>
        <w:rPr/>
        <w:t>Furthermore, stewardship theory suggests that incentivising board accountability through performance-linked remuneration tied to NPL metrics could internalise risk management priorities (Davis et al., 1997). Comparative insights from OECD economies reveal that harmonised regulatory clarity—analogous to Nigeria's nascent CBN-SEC convergence under the 2020 Companies and Allied Matters Act (CAMA)—yields a beta coefficient of negative zero point three two on NPL ratios in post-reform periods (OECD, 2023). For Nigeria, extending the 2023 CBN Guidelines to incorporate whistleblower bounties, akin to United States Securities and Exchange Commission models, would enhance deterrence and early detection (SEC, 2022). Managerial implications entail embedding practice index audits within annual governance certifications, while regulatory harmonisation under the Nigerian Code of Corporate Governance 2018 could enforce ≥50 percent independent directors on risk committees to preclude insider dominance.</w:t>
      </w:r>
    </w:p>
    <w:p>
      <w:pPr>
        <w:pStyle w:val="BodyText"/>
        <w:ind w:hanging="0" w:left="0" w:right="0"/>
        <w:rPr/>
      </w:pPr>
      <w:r>
        <w:rPr/>
        <w:t>Empirical validation from Ghana's post-2019 reforms, where whistleblowing enhancements reduced NPLs by four point eight percent, underscores transferability (Ghana Deposit Protection Corporation, 2021). Ultimately, these reforms not only operationalise institutional theory by activating mimetic and coercive pressures for superior practices but also contribute to signalling theory by bolstering disclosure credibility, thereby stabilising default risk trajectories in the DMB sector (Spence, 1973). Implementation roadmaps should prioritise phased rollouts, commencing with pilot programmes in systemically important banks, to ensure pragmatic adaptation without precipitating transitional disruptions.</w:t>
      </w:r>
    </w:p>
    <w:p>
      <w:pPr>
        <w:sectPr>
          <w:type w:val="nextPage"/>
          <w:pgSz w:w="12240" w:h="15840"/>
          <w:pgMar w:left="1134" w:right="1134" w:gutter="0" w:header="0" w:top="1134" w:footer="0" w:bottom="1134"/>
          <w:pgNumType w:fmt="decimal"/>
          <w:formProt w:val="false"/>
          <w:textDirection w:val="lrTb"/>
          <w:docGrid w:type="default" w:linePitch="312" w:charSpace="0"/>
        </w:sectPr>
        <w:pStyle w:val="Normal"/>
        <w:bidi w:val="0"/>
        <w:jc w:val="left"/>
        <w:rPr/>
      </w:pPr>
      <w:r>
        <w:rPr/>
      </w:r>
    </w:p>
    <w:p>
      <w:pPr>
        <w:pStyle w:val="Normal"/>
        <w:bidi w:val="0"/>
        <w:jc w:val="left"/>
        <w:rPr/>
      </w:pPr>
      <w:r>
        <w:rPr/>
      </w:r>
    </w:p>
    <w:p>
      <w:pPr>
        <w:pStyle w:val="BodyText"/>
        <w:bidi w:val="0"/>
        <w:jc w:val="left"/>
        <w:rPr>
          <w:b/>
          <w:bCs/>
        </w:rPr>
      </w:pPr>
      <w:r>
        <w:rPr>
          <w:b/>
          <w:bCs/>
        </w:rPr>
        <w:t xml:space="preserve">Table </w:t>
      </w:r>
      <w:r>
        <w:rPr>
          <w:b/>
          <w:bCs/>
        </w:rPr>
        <w:t>2.7</w:t>
      </w:r>
      <w:r>
        <w:rPr>
          <w:b/>
          <w:bCs/>
        </w:rPr>
        <w:t>: Recommended Reforms to Align Nigerian Banking Governance with Global Standards</w:t>
      </w:r>
    </w:p>
    <w:p>
      <w:pPr>
        <w:pStyle w:val="Normal"/>
        <w:bidi w:val="0"/>
        <w:jc w:val="left"/>
        <w:rPr/>
      </w:pPr>
      <w:r>
        <w:rPr/>
      </w:r>
    </w:p>
    <w:p>
      <w:pPr>
        <w:pStyle w:val="Normal"/>
        <w:bidi w:val="0"/>
        <w:jc w:val="left"/>
        <w:rPr/>
      </w:pPr>
      <w:r>
        <w:rPr/>
      </w:r>
    </w:p>
    <w:tbl>
      <w:tblPr>
        <w:tblW w:w="13586" w:type="dxa"/>
        <w:jc w:val="left"/>
        <w:tblInd w:w="36" w:type="dxa"/>
        <w:tblLayout w:type="fixed"/>
        <w:tblCellMar>
          <w:top w:w="0" w:type="dxa"/>
          <w:left w:w="36" w:type="dxa"/>
          <w:bottom w:w="0" w:type="dxa"/>
          <w:right w:w="36" w:type="dxa"/>
        </w:tblCellMar>
      </w:tblPr>
      <w:tblGrid>
        <w:gridCol w:w="2041"/>
        <w:gridCol w:w="3273"/>
        <w:gridCol w:w="3150"/>
        <w:gridCol w:w="3772"/>
        <w:gridCol w:w="1350"/>
      </w:tblGrid>
      <w:tr>
        <w:trPr/>
        <w:tc>
          <w:tcPr>
            <w:tcW w:w="2041" w:type="dxa"/>
            <w:tcBorders/>
          </w:tcPr>
          <w:p>
            <w:pPr>
              <w:pStyle w:val="TableHeading"/>
              <w:tabs>
                <w:tab w:val="clear" w:pos="709"/>
              </w:tabs>
              <w:bidi w:val="0"/>
              <w:rPr>
                <w:lang w:val="en-US"/>
              </w:rPr>
            </w:pPr>
            <w:r>
              <w:rPr>
                <w:rFonts w:ascii="Liberation Serif" w:hAnsi="Liberation Serif"/>
                <w:sz w:val="24"/>
                <w:lang w:val="en-US"/>
              </w:rPr>
              <w:t>Reform</w:t>
            </w:r>
          </w:p>
        </w:tc>
        <w:tc>
          <w:tcPr>
            <w:tcW w:w="3273" w:type="dxa"/>
            <w:tcBorders/>
          </w:tcPr>
          <w:p>
            <w:pPr>
              <w:pStyle w:val="TableHeading"/>
              <w:tabs>
                <w:tab w:val="clear" w:pos="709"/>
              </w:tabs>
              <w:bidi w:val="0"/>
              <w:rPr>
                <w:lang w:val="en-US"/>
              </w:rPr>
            </w:pPr>
            <w:r>
              <w:rPr>
                <w:rFonts w:ascii="Liberation Serif" w:hAnsi="Liberation Serif"/>
                <w:sz w:val="24"/>
                <w:lang w:val="en-US"/>
              </w:rPr>
              <w:t>Description</w:t>
            </w:r>
          </w:p>
        </w:tc>
        <w:tc>
          <w:tcPr>
            <w:tcW w:w="3150" w:type="dxa"/>
            <w:tcBorders/>
          </w:tcPr>
          <w:p>
            <w:pPr>
              <w:pStyle w:val="TableHeading"/>
              <w:tabs>
                <w:tab w:val="clear" w:pos="709"/>
              </w:tabs>
              <w:bidi w:val="0"/>
              <w:rPr>
                <w:lang w:val="en-US"/>
              </w:rPr>
            </w:pPr>
            <w:r>
              <w:rPr>
                <w:rFonts w:ascii="Liberation Serif" w:hAnsi="Liberation Serif"/>
                <w:sz w:val="24"/>
                <w:lang w:val="en-US"/>
              </w:rPr>
              <w:t>Expected Impact</w:t>
            </w:r>
          </w:p>
        </w:tc>
        <w:tc>
          <w:tcPr>
            <w:tcW w:w="3772" w:type="dxa"/>
            <w:tcBorders/>
          </w:tcPr>
          <w:p>
            <w:pPr>
              <w:pStyle w:val="TableHeading"/>
              <w:tabs>
                <w:tab w:val="clear" w:pos="709"/>
              </w:tabs>
              <w:bidi w:val="0"/>
              <w:rPr>
                <w:lang w:val="en-US"/>
              </w:rPr>
            </w:pPr>
            <w:r>
              <w:rPr>
                <w:rFonts w:ascii="Liberation Serif" w:hAnsi="Liberation Serif"/>
                <w:sz w:val="24"/>
                <w:lang w:val="en-US"/>
              </w:rPr>
              <w:t>Global Benchmark</w:t>
            </w:r>
          </w:p>
        </w:tc>
        <w:tc>
          <w:tcPr>
            <w:tcW w:w="1350" w:type="dxa"/>
            <w:tcBorders/>
          </w:tcPr>
          <w:p>
            <w:pPr>
              <w:pStyle w:val="TableHeading"/>
              <w:tabs>
                <w:tab w:val="clear" w:pos="709"/>
              </w:tabs>
              <w:bidi w:val="0"/>
              <w:rPr>
                <w:lang w:val="en-US"/>
              </w:rPr>
            </w:pPr>
            <w:r>
              <w:rPr>
                <w:rFonts w:ascii="Liberation Serif" w:hAnsi="Liberation Serif"/>
                <w:sz w:val="24"/>
                <w:lang w:val="en-US"/>
              </w:rPr>
              <w:t>Source</w:t>
            </w:r>
          </w:p>
        </w:tc>
      </w:tr>
      <w:tr>
        <w:trPr/>
        <w:tc>
          <w:tcPr>
            <w:tcW w:w="2041" w:type="dxa"/>
            <w:tcBorders/>
          </w:tcPr>
          <w:p>
            <w:pPr>
              <w:pStyle w:val="TableContents"/>
              <w:tabs>
                <w:tab w:val="clear" w:pos="709"/>
              </w:tabs>
              <w:bidi w:val="0"/>
              <w:jc w:val="left"/>
              <w:rPr>
                <w:lang w:val="en-US"/>
              </w:rPr>
            </w:pPr>
            <w:r>
              <w:rPr>
                <w:rFonts w:ascii="Liberation Serif" w:hAnsi="Liberation Serif"/>
                <w:sz w:val="24"/>
                <w:lang w:val="en-US"/>
              </w:rPr>
              <w:t>Independent Risk Committees</w:t>
            </w:r>
          </w:p>
        </w:tc>
        <w:tc>
          <w:tcPr>
            <w:tcW w:w="3273" w:type="dxa"/>
            <w:tcBorders/>
          </w:tcPr>
          <w:p>
            <w:pPr>
              <w:pStyle w:val="TableContents"/>
              <w:tabs>
                <w:tab w:val="clear" w:pos="709"/>
              </w:tabs>
              <w:bidi w:val="0"/>
              <w:jc w:val="left"/>
              <w:rPr>
                <w:lang w:val="en-US"/>
              </w:rPr>
            </w:pPr>
            <w:r>
              <w:rPr>
                <w:rFonts w:ascii="Liberation Serif" w:hAnsi="Liberation Serif"/>
                <w:sz w:val="24"/>
                <w:lang w:val="en-US"/>
              </w:rPr>
              <w:t>Credit risk oversight committees mandate</w:t>
            </w:r>
          </w:p>
        </w:tc>
        <w:tc>
          <w:tcPr>
            <w:tcW w:w="3150" w:type="dxa"/>
            <w:tcBorders/>
          </w:tcPr>
          <w:p>
            <w:pPr>
              <w:pStyle w:val="TableContents"/>
              <w:tabs>
                <w:tab w:val="clear" w:pos="709"/>
              </w:tabs>
              <w:bidi w:val="0"/>
              <w:jc w:val="left"/>
              <w:rPr>
                <w:lang w:val="en-US"/>
              </w:rPr>
            </w:pPr>
            <w:r>
              <w:rPr>
                <w:rFonts w:ascii="Liberation Serif" w:hAnsi="Liberation Serif"/>
                <w:sz w:val="24"/>
                <w:lang w:val="en-US"/>
              </w:rPr>
              <w:t>Practice indices exaltation non-performing loans reduction</w:t>
            </w:r>
          </w:p>
        </w:tc>
        <w:tc>
          <w:tcPr>
            <w:tcW w:w="3772" w:type="dxa"/>
            <w:tcBorders/>
          </w:tcPr>
          <w:p>
            <w:pPr>
              <w:pStyle w:val="TableContents"/>
              <w:tabs>
                <w:tab w:val="clear" w:pos="709"/>
              </w:tabs>
              <w:bidi w:val="0"/>
              <w:jc w:val="left"/>
              <w:rPr>
                <w:lang w:val="en-US"/>
              </w:rPr>
            </w:pPr>
            <w:r>
              <w:rPr>
                <w:rFonts w:ascii="Liberation Serif" w:hAnsi="Liberation Serif"/>
                <w:sz w:val="24"/>
                <w:lang w:val="en-US"/>
              </w:rPr>
              <w:t>Basel III risk committee mandates BCBS 2010</w:t>
            </w:r>
          </w:p>
        </w:tc>
        <w:tc>
          <w:tcPr>
            <w:tcW w:w="1350" w:type="dxa"/>
            <w:tcBorders/>
          </w:tcPr>
          <w:p>
            <w:pPr>
              <w:pStyle w:val="TableContents"/>
              <w:tabs>
                <w:tab w:val="clear" w:pos="709"/>
              </w:tabs>
              <w:bidi w:val="0"/>
              <w:jc w:val="left"/>
              <w:rPr>
                <w:lang w:val="en-US"/>
              </w:rPr>
            </w:pPr>
            <w:r>
              <w:rPr>
                <w:rFonts w:ascii="Liberation Serif" w:hAnsi="Liberation Serif"/>
                <w:sz w:val="24"/>
                <w:lang w:val="en-US"/>
              </w:rPr>
              <w:t>Adegboye 2020</w:t>
            </w:r>
          </w:p>
        </w:tc>
      </w:tr>
      <w:tr>
        <w:trPr/>
        <w:tc>
          <w:tcPr>
            <w:tcW w:w="2041" w:type="dxa"/>
            <w:tcBorders/>
          </w:tcPr>
          <w:p>
            <w:pPr>
              <w:pStyle w:val="TableContents"/>
              <w:tabs>
                <w:tab w:val="clear" w:pos="709"/>
              </w:tabs>
              <w:bidi w:val="0"/>
              <w:jc w:val="left"/>
              <w:rPr>
                <w:lang w:val="en-US"/>
              </w:rPr>
            </w:pPr>
            <w:r>
              <w:rPr>
                <w:rFonts w:ascii="Liberation Serif" w:hAnsi="Liberation Serif"/>
                <w:sz w:val="24"/>
                <w:lang w:val="en-US"/>
              </w:rPr>
              <w:t>Robust Credit Assessment</w:t>
            </w:r>
          </w:p>
        </w:tc>
        <w:tc>
          <w:tcPr>
            <w:tcW w:w="3273" w:type="dxa"/>
            <w:tcBorders/>
          </w:tcPr>
          <w:p>
            <w:pPr>
              <w:pStyle w:val="TableContents"/>
              <w:tabs>
                <w:tab w:val="clear" w:pos="709"/>
              </w:tabs>
              <w:bidi w:val="0"/>
              <w:jc w:val="left"/>
              <w:rPr>
                <w:lang w:val="en-US"/>
              </w:rPr>
            </w:pPr>
            <w:r>
              <w:rPr>
                <w:rFonts w:ascii="Liberation Serif" w:hAnsi="Liberation Serif"/>
                <w:sz w:val="24"/>
                <w:lang w:val="en-US"/>
              </w:rPr>
              <w:t>Stress testing portfolio monitoring implementation</w:t>
            </w:r>
          </w:p>
        </w:tc>
        <w:tc>
          <w:tcPr>
            <w:tcW w:w="3150" w:type="dxa"/>
            <w:tcBorders/>
          </w:tcPr>
          <w:p>
            <w:pPr>
              <w:pStyle w:val="TableContents"/>
              <w:tabs>
                <w:tab w:val="clear" w:pos="709"/>
              </w:tabs>
              <w:bidi w:val="0"/>
              <w:jc w:val="left"/>
              <w:rPr>
                <w:lang w:val="en-US"/>
              </w:rPr>
            </w:pPr>
            <w:r>
              <w:rPr>
                <w:rFonts w:ascii="Liberation Serif" w:hAnsi="Liberation Serif"/>
                <w:sz w:val="24"/>
                <w:lang w:val="en-US"/>
              </w:rPr>
              <w:t>Loan quality amelioration practice indices fortification</w:t>
            </w:r>
          </w:p>
        </w:tc>
        <w:tc>
          <w:tcPr>
            <w:tcW w:w="3772" w:type="dxa"/>
            <w:tcBorders/>
          </w:tcPr>
          <w:p>
            <w:pPr>
              <w:pStyle w:val="TableContents"/>
              <w:tabs>
                <w:tab w:val="clear" w:pos="709"/>
              </w:tabs>
              <w:bidi w:val="0"/>
              <w:jc w:val="left"/>
              <w:rPr>
                <w:lang w:val="en-US"/>
              </w:rPr>
            </w:pPr>
            <w:r>
              <w:rPr>
                <w:rFonts w:ascii="Liberation Serif" w:hAnsi="Liberation Serif"/>
                <w:sz w:val="24"/>
                <w:lang w:val="en-US"/>
              </w:rPr>
              <w:t>Basel III credit risk frameworks BCBS 2010</w:t>
            </w:r>
          </w:p>
        </w:tc>
        <w:tc>
          <w:tcPr>
            <w:tcW w:w="1350" w:type="dxa"/>
            <w:tcBorders/>
          </w:tcPr>
          <w:p>
            <w:pPr>
              <w:pStyle w:val="TableContents"/>
              <w:tabs>
                <w:tab w:val="clear" w:pos="709"/>
              </w:tabs>
              <w:bidi w:val="0"/>
              <w:jc w:val="left"/>
              <w:rPr>
                <w:lang w:val="en-US"/>
              </w:rPr>
            </w:pPr>
            <w:r>
              <w:rPr>
                <w:rFonts w:ascii="Liberation Serif" w:hAnsi="Liberation Serif"/>
                <w:sz w:val="24"/>
                <w:lang w:val="en-US"/>
              </w:rPr>
              <w:t>Ojo &amp; Ojo 2024</w:t>
            </w:r>
          </w:p>
        </w:tc>
      </w:tr>
      <w:tr>
        <w:trPr/>
        <w:tc>
          <w:tcPr>
            <w:tcW w:w="2041" w:type="dxa"/>
            <w:tcBorders/>
          </w:tcPr>
          <w:p>
            <w:pPr>
              <w:pStyle w:val="TableContents"/>
              <w:tabs>
                <w:tab w:val="clear" w:pos="709"/>
              </w:tabs>
              <w:bidi w:val="0"/>
              <w:jc w:val="left"/>
              <w:rPr>
                <w:lang w:val="en-US"/>
              </w:rPr>
            </w:pPr>
            <w:r>
              <w:rPr>
                <w:rFonts w:ascii="Liberation Serif" w:hAnsi="Liberation Serif"/>
                <w:sz w:val="24"/>
                <w:lang w:val="en-US"/>
              </w:rPr>
              <w:t>Protected Whistleblowing Channels</w:t>
            </w:r>
          </w:p>
        </w:tc>
        <w:tc>
          <w:tcPr>
            <w:tcW w:w="3273" w:type="dxa"/>
            <w:tcBorders/>
          </w:tcPr>
          <w:p>
            <w:pPr>
              <w:pStyle w:val="TableContents"/>
              <w:tabs>
                <w:tab w:val="clear" w:pos="709"/>
              </w:tabs>
              <w:bidi w:val="0"/>
              <w:jc w:val="left"/>
              <w:rPr>
                <w:lang w:val="en-US"/>
              </w:rPr>
            </w:pPr>
            <w:r>
              <w:rPr>
                <w:rFonts w:ascii="Liberation Serif" w:hAnsi="Liberation Serif"/>
                <w:sz w:val="24"/>
                <w:lang w:val="en-US"/>
              </w:rPr>
              <w:t>Anonymous legally protected reporting channels mandate</w:t>
            </w:r>
          </w:p>
        </w:tc>
        <w:tc>
          <w:tcPr>
            <w:tcW w:w="3150" w:type="dxa"/>
            <w:tcBorders/>
          </w:tcPr>
          <w:p>
            <w:pPr>
              <w:pStyle w:val="TableContents"/>
              <w:tabs>
                <w:tab w:val="clear" w:pos="709"/>
              </w:tabs>
              <w:bidi w:val="0"/>
              <w:jc w:val="left"/>
              <w:rPr>
                <w:lang w:val="en-US"/>
              </w:rPr>
            </w:pPr>
            <w:r>
              <w:rPr>
                <w:rFonts w:ascii="Liberation Serif" w:hAnsi="Liberation Serif"/>
                <w:sz w:val="24"/>
                <w:lang w:val="en-US"/>
              </w:rPr>
              <w:t>Fraud detection encouragement disclosure exaltation</w:t>
            </w:r>
          </w:p>
        </w:tc>
        <w:tc>
          <w:tcPr>
            <w:tcW w:w="3772" w:type="dxa"/>
            <w:tcBorders/>
          </w:tcPr>
          <w:p>
            <w:pPr>
              <w:pStyle w:val="TableContents"/>
              <w:tabs>
                <w:tab w:val="clear" w:pos="709"/>
              </w:tabs>
              <w:bidi w:val="0"/>
              <w:jc w:val="left"/>
              <w:rPr>
                <w:lang w:val="en-US"/>
              </w:rPr>
            </w:pPr>
            <w:r>
              <w:rPr>
                <w:rFonts w:ascii="Liberation Serif" w:hAnsi="Liberation Serif"/>
                <w:sz w:val="24"/>
                <w:lang w:val="en-US"/>
              </w:rPr>
              <w:t>EU Whistleblowing Directive EU 2019</w:t>
            </w:r>
          </w:p>
        </w:tc>
        <w:tc>
          <w:tcPr>
            <w:tcW w:w="1350" w:type="dxa"/>
            <w:tcBorders/>
          </w:tcPr>
          <w:p>
            <w:pPr>
              <w:pStyle w:val="TableContents"/>
              <w:tabs>
                <w:tab w:val="clear" w:pos="709"/>
              </w:tabs>
              <w:bidi w:val="0"/>
              <w:jc w:val="left"/>
              <w:rPr>
                <w:lang w:val="en-US"/>
              </w:rPr>
            </w:pPr>
            <w:r>
              <w:rPr>
                <w:rFonts w:ascii="Liberation Serif" w:hAnsi="Liberation Serif"/>
                <w:sz w:val="24"/>
                <w:lang w:val="en-US"/>
              </w:rPr>
              <w:t>Olojede et al. 2020</w:t>
            </w:r>
          </w:p>
        </w:tc>
      </w:tr>
      <w:tr>
        <w:trPr/>
        <w:tc>
          <w:tcPr>
            <w:tcW w:w="2041" w:type="dxa"/>
            <w:tcBorders/>
          </w:tcPr>
          <w:p>
            <w:pPr>
              <w:pStyle w:val="TableContents"/>
              <w:tabs>
                <w:tab w:val="clear" w:pos="709"/>
              </w:tabs>
              <w:bidi w:val="0"/>
              <w:jc w:val="left"/>
              <w:rPr>
                <w:lang w:val="en-US"/>
              </w:rPr>
            </w:pPr>
            <w:r>
              <w:rPr>
                <w:rFonts w:ascii="Liberation Serif" w:hAnsi="Liberation Serif"/>
                <w:sz w:val="24"/>
                <w:lang w:val="en-US"/>
              </w:rPr>
              <w:t>Enhanced Central Bank of Nigeria Oversight</w:t>
            </w:r>
          </w:p>
        </w:tc>
        <w:tc>
          <w:tcPr>
            <w:tcW w:w="3273" w:type="dxa"/>
            <w:tcBorders/>
          </w:tcPr>
          <w:p>
            <w:pPr>
              <w:pStyle w:val="TableContents"/>
              <w:tabs>
                <w:tab w:val="clear" w:pos="709"/>
              </w:tabs>
              <w:bidi w:val="0"/>
              <w:jc w:val="left"/>
              <w:rPr>
                <w:lang w:val="en-US"/>
              </w:rPr>
            </w:pPr>
            <w:r>
              <w:rPr>
                <w:rFonts w:ascii="Liberation Serif" w:hAnsi="Liberation Serif"/>
                <w:sz w:val="24"/>
                <w:lang w:val="en-US"/>
              </w:rPr>
              <w:t>Central Bank of Nigeria non-compliant risk practices sanction empowerment</w:t>
            </w:r>
          </w:p>
        </w:tc>
        <w:tc>
          <w:tcPr>
            <w:tcW w:w="3150" w:type="dxa"/>
            <w:tcBorders/>
          </w:tcPr>
          <w:p>
            <w:pPr>
              <w:pStyle w:val="TableContents"/>
              <w:tabs>
                <w:tab w:val="clear" w:pos="709"/>
              </w:tabs>
              <w:bidi w:val="0"/>
              <w:jc w:val="left"/>
              <w:rPr>
                <w:lang w:val="en-US"/>
              </w:rPr>
            </w:pPr>
            <w:r>
              <w:rPr>
                <w:rFonts w:ascii="Liberation Serif" w:hAnsi="Liberation Serif"/>
                <w:sz w:val="24"/>
                <w:lang w:val="en-US"/>
              </w:rPr>
              <w:t>Compliance fortification audit committee independence support</w:t>
            </w:r>
          </w:p>
        </w:tc>
        <w:tc>
          <w:tcPr>
            <w:tcW w:w="3772" w:type="dxa"/>
            <w:tcBorders/>
          </w:tcPr>
          <w:p>
            <w:pPr>
              <w:pStyle w:val="TableContents"/>
              <w:tabs>
                <w:tab w:val="clear" w:pos="709"/>
              </w:tabs>
              <w:bidi w:val="0"/>
              <w:jc w:val="left"/>
              <w:rPr>
                <w:lang w:val="en-US"/>
              </w:rPr>
            </w:pPr>
            <w:r>
              <w:rPr>
                <w:rFonts w:ascii="Liberation Serif" w:hAnsi="Liberation Serif"/>
                <w:sz w:val="24"/>
                <w:lang w:val="en-US"/>
              </w:rPr>
              <w:t>OECD Principles regulatory enforcement OECD 2023</w:t>
            </w:r>
          </w:p>
        </w:tc>
        <w:tc>
          <w:tcPr>
            <w:tcW w:w="1350" w:type="dxa"/>
            <w:tcBorders/>
          </w:tcPr>
          <w:p>
            <w:pPr>
              <w:pStyle w:val="TableContents"/>
              <w:tabs>
                <w:tab w:val="clear" w:pos="709"/>
              </w:tabs>
              <w:bidi w:val="0"/>
              <w:jc w:val="left"/>
              <w:rPr>
                <w:lang w:val="en-US"/>
              </w:rPr>
            </w:pPr>
            <w:r>
              <w:rPr>
                <w:rFonts w:ascii="Liberation Serif" w:hAnsi="Liberation Serif"/>
                <w:sz w:val="24"/>
                <w:lang w:val="en-US"/>
              </w:rPr>
              <w:t>Afolabi &amp; Afolabi 2024</w:t>
            </w:r>
          </w:p>
        </w:tc>
      </w:tr>
    </w:tbl>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Note: Adapted BCBS 2010 EU 2019 Afolabi and Afolabi 2024. Reforms disclosure practice compliance audit committee independence address.</w:t>
      </w:r>
    </w:p>
    <w:p>
      <w:pPr>
        <w:pStyle w:val="Normal"/>
        <w:bidi w:val="0"/>
        <w:jc w:val="left"/>
        <w:rPr/>
      </w:pPr>
      <w:r>
        <w:rPr/>
      </w:r>
    </w:p>
    <w:p>
      <w:pPr>
        <w:sectPr>
          <w:type w:val="nextPage"/>
          <w:pgSz w:orient="landscape" w:w="15840" w:h="12240"/>
          <w:pgMar w:left="1134" w:right="1134" w:gutter="0" w:header="0" w:top="1134" w:footer="0" w:bottom="1134"/>
          <w:pgNumType w:fmt="decimal"/>
          <w:formProt w:val="false"/>
          <w:textDirection w:val="lrTb"/>
        </w:sectPr>
        <w:pStyle w:val="Heading3"/>
        <w:widowControl/>
        <w:numPr>
          <w:ilvl w:val="0"/>
          <w:numId w:val="0"/>
        </w:numPr>
        <w:suppressAutoHyphens w:val="true"/>
        <w:overflowPunct w:val="false"/>
        <w:bidi w:val="0"/>
        <w:ind w:hanging="0" w:left="0"/>
        <w:jc w:val="left"/>
        <w:rPr>
          <w:rFonts w:ascii="Nimbus Roman" w:hAnsi="Nimbus Roman"/>
          <w:sz w:val="24"/>
          <w:szCs w:val="24"/>
        </w:rPr>
      </w:pPr>
      <w:r>
        <w:rPr>
          <w:rFonts w:ascii="Nimbus Roman" w:hAnsi="Nimbus Roman"/>
          <w:sz w:val="24"/>
          <w:szCs w:val="24"/>
        </w:rPr>
      </w:r>
    </w:p>
    <w:p>
      <w:pPr>
        <w:pStyle w:val="Heading3"/>
        <w:numPr>
          <w:ilvl w:val="2"/>
          <w:numId w:val="1"/>
        </w:numPr>
        <w:bidi w:val="0"/>
        <w:ind w:hanging="0" w:left="0"/>
        <w:jc w:val="left"/>
        <w:rPr>
          <w:rFonts w:ascii="Nimbus Roman" w:hAnsi="Nimbus Roman"/>
          <w:sz w:val="24"/>
          <w:szCs w:val="24"/>
        </w:rPr>
      </w:pPr>
      <w:r>
        <w:rPr>
          <w:rFonts w:ascii="Nimbus Roman" w:hAnsi="Nimbus Roman"/>
          <w:sz w:val="24"/>
          <w:szCs w:val="24"/>
        </w:rPr>
        <w:t>2.8.6 Ties to Corporate Governance Indices</w:t>
      </w:r>
    </w:p>
    <w:p>
      <w:pPr>
        <w:pStyle w:val="BodyText"/>
        <w:ind w:hanging="0" w:left="0" w:right="0"/>
        <w:rPr/>
      </w:pPr>
      <w:r>
        <w:rPr/>
        <w:t>Corporate governance indices—encompassing the Corporate Governance Disclosure Index, the Practice Index, and the Compliance Index—serve as composite barometers for evaluating the structural integrity of governance mechanisms within Nigerian deposit money banks (DMBs). Failures in these indices manifest through weakened whistleblowing mechanisms, erosion of disclosure practices, and subversion of compliance protocols, thereby precipitating lax lending standards, fraud concealment, and systemic instability. For instance, the Oceanic Bank scandal exemplified how falsified financial reports, enabled by deficient disclosure practices, masked underlying asset deteriorations and contributed to non-performing loan (NPL) escalations (Sanusi, 2009). Correspondingly, compliance index deficiencies permit the appointment of unqualified management and foster weak internal controls, facilitating insider abuses that exacerbate default risks (Nwoko et al., 2022). Practice index shortcomings, particularly in risk assessment protocols, propel systemic instability by enervating risk management frameworks and directly contributing to NPL spikes (Owolabi, 2013; Adegboye, 2020).</w:t>
      </w:r>
    </w:p>
    <w:p>
      <w:pPr>
        <w:pStyle w:val="BodyText"/>
        <w:ind w:hanging="0" w:left="0" w:right="0"/>
        <w:rPr/>
      </w:pPr>
      <w:r>
        <w:rPr/>
        <w:t>Building upon this foundation, audit committee independence emerges as a pivotal moderator; yet, its ineffectiveness in providing robust risk oversight undermines financial reporting integrity, absent which no mediated pathway to NPL reduction materializes (Afolabi &amp; Afolabi, 2024). These interconnected failures underscore the exigency of restoring robust practice indices through targeted reforms. In the Nigerian DMB sector, practice index failures—characterized by inadequate whistleblowing channels—have historically enabled lax lending and fraud concealment, significantly propelling NPL ratios and culminating in the 2009 banking crisis (Adegboye, 2020; Olojede et al., 2020; Sanusi, 2009). Comparative analysis with global benchmarks reveals stark deficiencies: whereas Basel III frameworks mandate integrated risk management and protected reporting channels (BCBS, 2010), and European Union directives enforce whistleblower protections with stringent enforcement mechanisms (EU, 2019), Nigerian practices fall short, lacking institutionalized safeguards that align with these standards.</w:t>
      </w:r>
    </w:p>
    <w:p>
      <w:pPr>
        <w:pStyle w:val="BodyText"/>
        <w:ind w:hanging="0" w:left="0" w:right="0"/>
        <w:rPr/>
      </w:pPr>
      <w:r>
        <w:rPr/>
        <w:t>Such deficiencies, rooted in unqualified management appointments and regulatory gaps, exacerbate default risk and subvert financial stability. This evidences the urgency of adopting Basel III-aligned practice frameworks and European Union-style whistleblowing protections to fortify the Nigerian DMB sector. From an agency theory perspective, robust practice indices attenuate principal-agent conflicts by enforcing accountability and transparency, thereby reducing opportunistic behaviors that inflate NPLs (Jensen &amp; Meckling, 1976). Stewardship theory complements this by positing that effective practice indices foster intrinsic managerial commitment to organizational welfare, mitigating NPLs through proactive risk stewardship (Davis et al., 1997). Institutionally, these indices signal regulatory isomorphism, pressuring DMBs toward convergence with global norms amid post-2014 reforms, including the Central Bank of Nigeria (CBN) Code of Corporate Governance 2014 and the Nigerian Code of Corporate Governance (NCCG) 2018 (Adegbite, 2014; OECD, 2023). Recent empirical insights reinforce this linkage: Afolabi and Afolabi (2024) demonstrate how risk failures in disclosure and audit committee independence mediate financial reporting integrity, underscoring the need for reinforced practice indices. Subsequent sections explore additional governance mechanisms impacting default risk, aligning with Research Question 1's examination of governance indices' modulation of NPL ratios from 2009 to 2024, controlling for bank-specific and macroeconomic confounders.</w:t>
      </w:r>
    </w:p>
    <w:p>
      <w:pPr>
        <w:pStyle w:val="Heading3"/>
        <w:numPr>
          <w:ilvl w:val="2"/>
          <w:numId w:val="1"/>
        </w:numPr>
        <w:spacing w:before="0" w:after="283"/>
        <w:ind w:hanging="0" w:left="0"/>
        <w:rPr>
          <w:rFonts w:ascii="Nimbus Roman" w:hAnsi="Nimbus Roman"/>
          <w:sz w:val="24"/>
          <w:szCs w:val="24"/>
        </w:rPr>
      </w:pPr>
      <w:r>
        <w:rPr>
          <w:rFonts w:ascii="Nimbus Roman" w:hAnsi="Nimbus Roman"/>
          <w:sz w:val="24"/>
          <w:szCs w:val="24"/>
        </w:rPr>
        <w:t>2.9 Non-Performing Loans as a Measure of Default Risk</w:t>
      </w:r>
    </w:p>
    <w:p>
      <w:pPr>
        <w:pStyle w:val="BodyText"/>
        <w:ind w:hanging="0" w:left="0" w:right="0"/>
        <w:rPr/>
      </w:pPr>
      <w:r>
        <w:rPr/>
        <w:t>Non-performing loans (NPLs), defined as loans overdue by ninety days or more as a percentage of total loans, constitute a critical metric for gauging default risk in the Nigerian DMB sector. These ratios signal governance deficiencies that erode financial stability and precipitate systemic crises, as evidenced by NPL peaks of thirty-seven percent in 2009 and twenty percent in 2017, far exceeding the CBN's five percent threshold (Udo, 2020; Nwosu, 2020; Adegboye, 2020). Recent data from April 2024 indicate an NPL ratio of five point six two percent, reflecting persistent economic pressures such as inflation and asset reclassifications amid ongoing governance challenges (CBN, 2024). Spikes in NPLs are propelled by insider lending and inadequate oversight, highlighting the urgency of governance reforms to mitigate default risk.</w:t>
      </w:r>
    </w:p>
    <w:p>
      <w:pPr>
        <w:pStyle w:val="BodyText"/>
        <w:ind w:hanging="0" w:left="0" w:right="0"/>
        <w:rPr/>
      </w:pPr>
      <w:r>
        <w:rPr/>
        <w:t>This segment establishes NPL ratios as a robust proxy for default risk, drawing on global and Nigerian studies to examine governance deficiencies as primary drivers. While data reliability concerns necessitate cross-validation, NPLs align closely with the thesis's objectives in addressing governance challenges and their impact on financial stability. Recent analyses link NPL ratios to audit committee independence and financial reporting integrity mediation, emphasizing deficiencies in practice indices, disclosure, and compliance (Ojo &amp; Ojo, 2024). Globally, NPLs are a widely recognized indicator of default risk, capturing loan recovery failures and heightened insolvency threats to financial stability (Fernando et al., 2019). In nascent markets, higher NPL ratios correlate with bank distress, reflecting poor lending practices and weak governance structures (Fernando et al., 2019).</w:t>
      </w:r>
    </w:p>
    <w:p>
      <w:pPr>
        <w:pStyle w:val="BodyText"/>
        <w:ind w:hanging="0" w:left="0" w:right="0"/>
        <w:rPr/>
      </w:pPr>
      <w:r>
        <w:rPr/>
        <w:t>In Nigeria, NPL ratios serve as a sensitive measure aligned with the CBN's five percent threshold, directly signaling governance lapses such as inadequate risk assessment and insider abuses (Natufe &amp; Evbayiro-Osagie, 2023). The 2009 crisis, with NPLs reaching thirty-seven percent, necessitated a three point nine billion dollar CBN intervention, underscoring systemic instability (Sanusi, 2009). From an institutional theory lens, elevated NPLs indicate coercive pressures from regulatory fragmentation, yet post-reform mandates under the Companies and Allied Matters Act (CAMA) 2020 and CBN Guidelines 2023 aim to enhance enforcement multiplicity and reduce NPLs (β &lt; 0, p &lt; .05), as probed in Research Question 4. Agency theory frames NPLs as outcomes of information asymmetry, where weak disclosure indices enable moral hazard and adverse selection, inflating default risk (Jensen &amp; Meckling, 1976). Stewardship theory counters that committed boards, bolstered by compliance indices, can attenuate NPLs through ethical lending stewardship (Davis et al., 1997).</w:t>
      </w:r>
    </w:p>
    <w:p>
      <w:pPr>
        <w:pStyle w:val="BodyText"/>
        <w:ind w:hanging="0" w:left="0" w:right="0"/>
        <w:rPr/>
      </w:pPr>
      <w:r>
        <w:rPr/>
        <w:t>Comparatively, South African DMBs, under King IV governance codes, exhibit lower NPL volatility due to integrated risk-reporting aligned with Basel III, contrasting Nigeria's reform lags (OECD, 2023). Ghanaian experiences post-2017 clean-up similarly highlight disclosure enhancements reducing NPLs by institutional activation (Bank of Ghana, 2022). Limitations of NPL ratios include oversight of liquidity and operational risks, necessitating comprehensive analysis (Fernando et al., 2019). Nonetheless, their governance sensitivity renders them apt for Nigerian contexts, where systemic weaknesses persist (Natufe &amp; Evbayiro-Osagie, 2023). Afolabi and Afolabi (2024) further illustrate how practice index deficiencies and weak audit oversight permit loan misclassification, mirroring April 2024's five point six two percent ratio (CBN, 2024). This metric thus anchors Research Question 1's panel fixed-effects analysis (2009–2024) and Research Question 3's difference-in-differences framing of pre- and post-reform shifts, contributing to theoretical synthesis and policy imperatives for disclosure credibility via board tenure limits and independent director mandates.</w:t>
      </w:r>
    </w:p>
    <w:p>
      <w:pPr>
        <w:pStyle w:val="Normal"/>
        <w:bidi w:val="0"/>
        <w:jc w:val="left"/>
        <w:rPr/>
      </w:pPr>
      <w:r>
        <w:rPr/>
      </w:r>
    </w:p>
    <w:p>
      <w:pPr>
        <w:pStyle w:val="BodyText"/>
        <w:bidi w:val="0"/>
        <w:jc w:val="left"/>
        <w:rPr>
          <w:b/>
          <w:bCs/>
        </w:rPr>
      </w:pPr>
      <w:r>
        <w:rPr>
          <w:b/>
          <w:bCs/>
        </w:rPr>
        <w:t>Table 1.9: Historical Trends in Nigeria's Non-Performing Loan (NPL) Ratios</w:t>
      </w:r>
    </w:p>
    <w:p>
      <w:pPr>
        <w:pStyle w:val="Normal"/>
        <w:bidi w:val="0"/>
        <w:jc w:val="left"/>
        <w:rPr/>
      </w:pPr>
      <w:r>
        <w:rPr/>
      </w:r>
    </w:p>
    <w:p>
      <w:pPr>
        <w:pStyle w:val="Normal"/>
        <w:bidi w:val="0"/>
        <w:jc w:val="left"/>
        <w:rPr/>
      </w:pPr>
      <w:r>
        <w:rPr/>
      </w:r>
    </w:p>
    <w:tbl>
      <w:tblPr>
        <w:tblW w:w="10008" w:type="dxa"/>
        <w:jc w:val="left"/>
        <w:tblInd w:w="36" w:type="dxa"/>
        <w:tblLayout w:type="fixed"/>
        <w:tblCellMar>
          <w:top w:w="0" w:type="dxa"/>
          <w:left w:w="36" w:type="dxa"/>
          <w:bottom w:w="0" w:type="dxa"/>
          <w:right w:w="36" w:type="dxa"/>
        </w:tblCellMar>
      </w:tblPr>
      <w:tblGrid>
        <w:gridCol w:w="868"/>
        <w:gridCol w:w="2450"/>
        <w:gridCol w:w="2842"/>
        <w:gridCol w:w="2238"/>
        <w:gridCol w:w="1610"/>
      </w:tblGrid>
      <w:tr>
        <w:trPr/>
        <w:tc>
          <w:tcPr>
            <w:tcW w:w="868" w:type="dxa"/>
            <w:tcBorders/>
          </w:tcPr>
          <w:p>
            <w:pPr>
              <w:pStyle w:val="TableHeading"/>
              <w:tabs>
                <w:tab w:val="clear" w:pos="709"/>
              </w:tabs>
              <w:bidi w:val="0"/>
              <w:rPr>
                <w:lang w:val="en-US"/>
              </w:rPr>
            </w:pPr>
            <w:r>
              <w:rPr>
                <w:rFonts w:ascii="Liberation Serif" w:hAnsi="Liberation Serif"/>
                <w:sz w:val="24"/>
                <w:lang w:val="en-US"/>
              </w:rPr>
              <w:t>Year</w:t>
            </w:r>
          </w:p>
        </w:tc>
        <w:tc>
          <w:tcPr>
            <w:tcW w:w="2450" w:type="dxa"/>
            <w:tcBorders/>
          </w:tcPr>
          <w:p>
            <w:pPr>
              <w:pStyle w:val="TableHeading"/>
              <w:tabs>
                <w:tab w:val="clear" w:pos="709"/>
              </w:tabs>
              <w:bidi w:val="0"/>
              <w:rPr>
                <w:lang w:val="en-US"/>
              </w:rPr>
            </w:pPr>
            <w:r>
              <w:rPr>
                <w:rFonts w:ascii="Liberation Serif" w:hAnsi="Liberation Serif"/>
                <w:sz w:val="24"/>
                <w:lang w:val="en-US"/>
              </w:rPr>
              <w:t>Non-Performing Loan Ratio Percent</w:t>
            </w:r>
          </w:p>
        </w:tc>
        <w:tc>
          <w:tcPr>
            <w:tcW w:w="2842" w:type="dxa"/>
            <w:tcBorders/>
          </w:tcPr>
          <w:p>
            <w:pPr>
              <w:pStyle w:val="TableHeading"/>
              <w:tabs>
                <w:tab w:val="clear" w:pos="709"/>
              </w:tabs>
              <w:bidi w:val="0"/>
              <w:rPr>
                <w:lang w:val="en-US"/>
              </w:rPr>
            </w:pPr>
            <w:r>
              <w:rPr>
                <w:rFonts w:ascii="Liberation Serif" w:hAnsi="Liberation Serif"/>
                <w:sz w:val="24"/>
                <w:lang w:val="en-US"/>
              </w:rPr>
              <w:t>Key Event</w:t>
            </w:r>
          </w:p>
        </w:tc>
        <w:tc>
          <w:tcPr>
            <w:tcW w:w="2238" w:type="dxa"/>
            <w:tcBorders/>
          </w:tcPr>
          <w:p>
            <w:pPr>
              <w:pStyle w:val="TableHeading"/>
              <w:tabs>
                <w:tab w:val="clear" w:pos="709"/>
              </w:tabs>
              <w:bidi w:val="0"/>
              <w:rPr>
                <w:lang w:val="en-US"/>
              </w:rPr>
            </w:pPr>
            <w:r>
              <w:rPr>
                <w:rFonts w:ascii="Liberation Serif" w:hAnsi="Liberation Serif"/>
                <w:sz w:val="24"/>
                <w:lang w:val="en-US"/>
              </w:rPr>
              <w:t>Governance Driver</w:t>
            </w:r>
          </w:p>
        </w:tc>
        <w:tc>
          <w:tcPr>
            <w:tcW w:w="1610" w:type="dxa"/>
            <w:tcBorders/>
          </w:tcPr>
          <w:p>
            <w:pPr>
              <w:pStyle w:val="TableHeading"/>
              <w:tabs>
                <w:tab w:val="clear" w:pos="709"/>
              </w:tabs>
              <w:bidi w:val="0"/>
              <w:rPr>
                <w:lang w:val="en-US"/>
              </w:rPr>
            </w:pPr>
            <w:r>
              <w:rPr>
                <w:rFonts w:ascii="Liberation Serif" w:hAnsi="Liberation Serif"/>
                <w:sz w:val="24"/>
                <w:lang w:val="en-US"/>
              </w:rPr>
              <w:t>Source</w:t>
            </w:r>
          </w:p>
        </w:tc>
      </w:tr>
      <w:tr>
        <w:trPr/>
        <w:tc>
          <w:tcPr>
            <w:tcW w:w="868" w:type="dxa"/>
            <w:tcBorders/>
          </w:tcPr>
          <w:p>
            <w:pPr>
              <w:pStyle w:val="TableContents"/>
              <w:tabs>
                <w:tab w:val="clear" w:pos="709"/>
              </w:tabs>
              <w:bidi w:val="0"/>
              <w:jc w:val="left"/>
              <w:rPr>
                <w:lang w:val="en-US"/>
              </w:rPr>
            </w:pPr>
            <w:r>
              <w:rPr>
                <w:rFonts w:ascii="Liberation Serif" w:hAnsi="Liberation Serif"/>
                <w:sz w:val="24"/>
                <w:lang w:val="en-US"/>
              </w:rPr>
              <w:t>1988-2008</w:t>
            </w:r>
          </w:p>
        </w:tc>
        <w:tc>
          <w:tcPr>
            <w:tcW w:w="2450" w:type="dxa"/>
            <w:tcBorders/>
          </w:tcPr>
          <w:p>
            <w:pPr>
              <w:pStyle w:val="TableContents"/>
              <w:tabs>
                <w:tab w:val="clear" w:pos="709"/>
              </w:tabs>
              <w:bidi w:val="0"/>
              <w:jc w:val="left"/>
              <w:rPr>
                <w:lang w:val="en-US"/>
              </w:rPr>
            </w:pPr>
            <w:r>
              <w:rPr>
                <w:rFonts w:ascii="Liberation Serif" w:hAnsi="Liberation Serif"/>
                <w:sz w:val="24"/>
                <w:lang w:val="en-US"/>
              </w:rPr>
              <w:t>Cumulative 425 bank failures</w:t>
            </w:r>
          </w:p>
        </w:tc>
        <w:tc>
          <w:tcPr>
            <w:tcW w:w="2842" w:type="dxa"/>
            <w:tcBorders/>
          </w:tcPr>
          <w:p>
            <w:pPr>
              <w:pStyle w:val="TableContents"/>
              <w:tabs>
                <w:tab w:val="clear" w:pos="709"/>
              </w:tabs>
              <w:bidi w:val="0"/>
              <w:jc w:val="left"/>
              <w:rPr>
                <w:lang w:val="en-US"/>
              </w:rPr>
            </w:pPr>
            <w:r>
              <w:rPr>
                <w:rFonts w:ascii="Liberation Serif" w:hAnsi="Liberation Serif"/>
                <w:sz w:val="24"/>
                <w:lang w:val="en-US"/>
              </w:rPr>
              <w:t>Pre-consolidation distress</w:t>
            </w:r>
          </w:p>
        </w:tc>
        <w:tc>
          <w:tcPr>
            <w:tcW w:w="2238" w:type="dxa"/>
            <w:tcBorders/>
          </w:tcPr>
          <w:p>
            <w:pPr>
              <w:pStyle w:val="TableContents"/>
              <w:tabs>
                <w:tab w:val="clear" w:pos="709"/>
              </w:tabs>
              <w:bidi w:val="0"/>
              <w:jc w:val="left"/>
              <w:rPr>
                <w:lang w:val="en-US"/>
              </w:rPr>
            </w:pPr>
            <w:r>
              <w:rPr>
                <w:rFonts w:ascii="Liberation Serif" w:hAnsi="Liberation Serif"/>
                <w:sz w:val="24"/>
                <w:lang w:val="en-US"/>
              </w:rPr>
              <w:t>Weak oversight cronyism</w:t>
            </w:r>
          </w:p>
        </w:tc>
        <w:tc>
          <w:tcPr>
            <w:tcW w:w="1610" w:type="dxa"/>
            <w:tcBorders/>
          </w:tcPr>
          <w:p>
            <w:pPr>
              <w:pStyle w:val="TableContents"/>
              <w:tabs>
                <w:tab w:val="clear" w:pos="709"/>
              </w:tabs>
              <w:bidi w:val="0"/>
              <w:jc w:val="left"/>
              <w:rPr>
                <w:lang w:val="en-US"/>
              </w:rPr>
            </w:pPr>
            <w:r>
              <w:rPr>
                <w:rFonts w:ascii="Liberation Serif" w:hAnsi="Liberation Serif"/>
                <w:sz w:val="24"/>
                <w:lang w:val="en-US"/>
              </w:rPr>
              <w:t>Udo 2020</w:t>
            </w:r>
          </w:p>
        </w:tc>
      </w:tr>
      <w:tr>
        <w:trPr/>
        <w:tc>
          <w:tcPr>
            <w:tcW w:w="868" w:type="dxa"/>
            <w:tcBorders/>
          </w:tcPr>
          <w:p>
            <w:pPr>
              <w:pStyle w:val="TableContents"/>
              <w:tabs>
                <w:tab w:val="clear" w:pos="709"/>
              </w:tabs>
              <w:bidi w:val="0"/>
              <w:jc w:val="left"/>
              <w:rPr>
                <w:lang w:val="en-US"/>
              </w:rPr>
            </w:pPr>
            <w:r>
              <w:rPr>
                <w:rFonts w:ascii="Liberation Serif" w:hAnsi="Liberation Serif"/>
                <w:sz w:val="24"/>
                <w:lang w:val="en-US"/>
              </w:rPr>
              <w:t>2009</w:t>
            </w:r>
          </w:p>
        </w:tc>
        <w:tc>
          <w:tcPr>
            <w:tcW w:w="2450" w:type="dxa"/>
            <w:tcBorders/>
          </w:tcPr>
          <w:p>
            <w:pPr>
              <w:pStyle w:val="TableContents"/>
              <w:tabs>
                <w:tab w:val="clear" w:pos="709"/>
              </w:tabs>
              <w:bidi w:val="0"/>
              <w:jc w:val="left"/>
              <w:rPr>
                <w:lang w:val="en-US"/>
              </w:rPr>
            </w:pPr>
            <w:r>
              <w:rPr>
                <w:rFonts w:ascii="Liberation Serif" w:hAnsi="Liberation Serif"/>
                <w:sz w:val="24"/>
                <w:lang w:val="en-US"/>
              </w:rPr>
              <w:t>Thirty-seven percent peak</w:t>
            </w:r>
          </w:p>
        </w:tc>
        <w:tc>
          <w:tcPr>
            <w:tcW w:w="2842" w:type="dxa"/>
            <w:tcBorders/>
          </w:tcPr>
          <w:p>
            <w:pPr>
              <w:pStyle w:val="TableContents"/>
              <w:tabs>
                <w:tab w:val="clear" w:pos="709"/>
              </w:tabs>
              <w:bidi w:val="0"/>
              <w:jc w:val="left"/>
              <w:rPr>
                <w:lang w:val="en-US"/>
              </w:rPr>
            </w:pPr>
            <w:r>
              <w:rPr>
                <w:rFonts w:ascii="Liberation Serif" w:hAnsi="Liberation Serif"/>
                <w:sz w:val="24"/>
                <w:lang w:val="en-US"/>
              </w:rPr>
              <w:t>Banking crisis three point nine billion dollar bailout</w:t>
            </w:r>
          </w:p>
        </w:tc>
        <w:tc>
          <w:tcPr>
            <w:tcW w:w="2238" w:type="dxa"/>
            <w:tcBorders/>
          </w:tcPr>
          <w:p>
            <w:pPr>
              <w:pStyle w:val="TableContents"/>
              <w:tabs>
                <w:tab w:val="clear" w:pos="709"/>
              </w:tabs>
              <w:bidi w:val="0"/>
              <w:jc w:val="left"/>
              <w:rPr>
                <w:lang w:val="en-US"/>
              </w:rPr>
            </w:pPr>
            <w:r>
              <w:rPr>
                <w:rFonts w:ascii="Liberation Serif" w:hAnsi="Liberation Serif"/>
                <w:sz w:val="24"/>
                <w:lang w:val="en-US"/>
              </w:rPr>
              <w:t>Insider lending audit failures</w:t>
            </w:r>
          </w:p>
        </w:tc>
        <w:tc>
          <w:tcPr>
            <w:tcW w:w="1610" w:type="dxa"/>
            <w:tcBorders/>
          </w:tcPr>
          <w:p>
            <w:pPr>
              <w:pStyle w:val="TableContents"/>
              <w:tabs>
                <w:tab w:val="clear" w:pos="709"/>
              </w:tabs>
              <w:bidi w:val="0"/>
              <w:jc w:val="left"/>
              <w:rPr>
                <w:lang w:val="en-US"/>
              </w:rPr>
            </w:pPr>
            <w:r>
              <w:rPr>
                <w:rFonts w:ascii="Liberation Serif" w:hAnsi="Liberation Serif"/>
                <w:sz w:val="24"/>
                <w:lang w:val="en-US"/>
              </w:rPr>
              <w:t>Sanusi 2009 Nwosu 2020</w:t>
            </w:r>
          </w:p>
        </w:tc>
      </w:tr>
      <w:tr>
        <w:trPr/>
        <w:tc>
          <w:tcPr>
            <w:tcW w:w="868" w:type="dxa"/>
            <w:tcBorders/>
          </w:tcPr>
          <w:p>
            <w:pPr>
              <w:pStyle w:val="TableContents"/>
              <w:tabs>
                <w:tab w:val="clear" w:pos="709"/>
              </w:tabs>
              <w:bidi w:val="0"/>
              <w:jc w:val="left"/>
              <w:rPr>
                <w:lang w:val="en-US"/>
              </w:rPr>
            </w:pPr>
            <w:r>
              <w:rPr>
                <w:rFonts w:ascii="Liberation Serif" w:hAnsi="Liberation Serif"/>
                <w:sz w:val="24"/>
                <w:lang w:val="en-US"/>
              </w:rPr>
              <w:t>2017</w:t>
            </w:r>
          </w:p>
        </w:tc>
        <w:tc>
          <w:tcPr>
            <w:tcW w:w="2450" w:type="dxa"/>
            <w:tcBorders/>
          </w:tcPr>
          <w:p>
            <w:pPr>
              <w:pStyle w:val="TableContents"/>
              <w:tabs>
                <w:tab w:val="clear" w:pos="709"/>
              </w:tabs>
              <w:bidi w:val="0"/>
              <w:jc w:val="left"/>
              <w:rPr>
                <w:lang w:val="en-US"/>
              </w:rPr>
            </w:pPr>
            <w:r>
              <w:rPr>
                <w:rFonts w:ascii="Liberation Serif" w:hAnsi="Liberation Serif"/>
                <w:sz w:val="24"/>
                <w:lang w:val="en-US"/>
              </w:rPr>
              <w:t>Twenty percent</w:t>
            </w:r>
          </w:p>
        </w:tc>
        <w:tc>
          <w:tcPr>
            <w:tcW w:w="2842" w:type="dxa"/>
            <w:tcBorders/>
          </w:tcPr>
          <w:p>
            <w:pPr>
              <w:pStyle w:val="TableContents"/>
              <w:tabs>
                <w:tab w:val="clear" w:pos="709"/>
              </w:tabs>
              <w:bidi w:val="0"/>
              <w:jc w:val="left"/>
              <w:rPr>
                <w:lang w:val="en-US"/>
              </w:rPr>
            </w:pPr>
            <w:r>
              <w:rPr>
                <w:rFonts w:ascii="Liberation Serif" w:hAnsi="Liberation Serif"/>
                <w:sz w:val="24"/>
                <w:lang w:val="en-US"/>
              </w:rPr>
              <w:t>Post-recession spike</w:t>
            </w:r>
          </w:p>
        </w:tc>
        <w:tc>
          <w:tcPr>
            <w:tcW w:w="2238" w:type="dxa"/>
            <w:tcBorders/>
          </w:tcPr>
          <w:p>
            <w:pPr>
              <w:pStyle w:val="TableContents"/>
              <w:tabs>
                <w:tab w:val="clear" w:pos="709"/>
              </w:tabs>
              <w:bidi w:val="0"/>
              <w:jc w:val="left"/>
              <w:rPr>
                <w:lang w:val="en-US"/>
              </w:rPr>
            </w:pPr>
            <w:r>
              <w:rPr>
                <w:rFonts w:ascii="Liberation Serif" w:hAnsi="Liberation Serif"/>
                <w:sz w:val="24"/>
                <w:lang w:val="en-US"/>
              </w:rPr>
              <w:t>Lax lending unqualified management</w:t>
            </w:r>
          </w:p>
        </w:tc>
        <w:tc>
          <w:tcPr>
            <w:tcW w:w="1610" w:type="dxa"/>
            <w:tcBorders/>
          </w:tcPr>
          <w:p>
            <w:pPr>
              <w:pStyle w:val="TableContents"/>
              <w:tabs>
                <w:tab w:val="clear" w:pos="709"/>
              </w:tabs>
              <w:bidi w:val="0"/>
              <w:jc w:val="left"/>
              <w:rPr>
                <w:lang w:val="en-US"/>
              </w:rPr>
            </w:pPr>
            <w:r>
              <w:rPr>
                <w:rFonts w:ascii="Liberation Serif" w:hAnsi="Liberation Serif"/>
                <w:sz w:val="24"/>
                <w:lang w:val="en-US"/>
              </w:rPr>
              <w:t>Adegboye 2020</w:t>
            </w:r>
          </w:p>
        </w:tc>
      </w:tr>
      <w:tr>
        <w:trPr/>
        <w:tc>
          <w:tcPr>
            <w:tcW w:w="868" w:type="dxa"/>
            <w:tcBorders/>
          </w:tcPr>
          <w:p>
            <w:pPr>
              <w:pStyle w:val="TableContents"/>
              <w:tabs>
                <w:tab w:val="clear" w:pos="709"/>
              </w:tabs>
              <w:bidi w:val="0"/>
              <w:jc w:val="left"/>
              <w:rPr>
                <w:lang w:val="en-US"/>
              </w:rPr>
            </w:pPr>
            <w:r>
              <w:rPr>
                <w:rFonts w:ascii="Liberation Serif" w:hAnsi="Liberation Serif"/>
                <w:sz w:val="24"/>
                <w:lang w:val="en-US"/>
              </w:rPr>
              <w:t>April 2024</w:t>
            </w:r>
          </w:p>
        </w:tc>
        <w:tc>
          <w:tcPr>
            <w:tcW w:w="2450" w:type="dxa"/>
            <w:tcBorders/>
          </w:tcPr>
          <w:p>
            <w:pPr>
              <w:pStyle w:val="TableContents"/>
              <w:tabs>
                <w:tab w:val="clear" w:pos="709"/>
              </w:tabs>
              <w:bidi w:val="0"/>
              <w:jc w:val="left"/>
              <w:rPr>
                <w:lang w:val="en-US"/>
              </w:rPr>
            </w:pPr>
            <w:r>
              <w:rPr>
                <w:rFonts w:ascii="Liberation Serif" w:hAnsi="Liberation Serif"/>
                <w:sz w:val="24"/>
                <w:lang w:val="en-US"/>
              </w:rPr>
              <w:t>Five point six two percent</w:t>
            </w:r>
          </w:p>
        </w:tc>
        <w:tc>
          <w:tcPr>
            <w:tcW w:w="2842" w:type="dxa"/>
            <w:tcBorders/>
          </w:tcPr>
          <w:p>
            <w:pPr>
              <w:pStyle w:val="TableContents"/>
              <w:tabs>
                <w:tab w:val="clear" w:pos="709"/>
              </w:tabs>
              <w:bidi w:val="0"/>
              <w:jc w:val="left"/>
              <w:rPr>
                <w:lang w:val="en-US"/>
              </w:rPr>
            </w:pPr>
            <w:r>
              <w:rPr>
                <w:rFonts w:ascii="Liberation Serif" w:hAnsi="Liberation Serif"/>
                <w:sz w:val="24"/>
                <w:lang w:val="en-US"/>
              </w:rPr>
              <w:t>Exceeds five percent threshold</w:t>
            </w:r>
          </w:p>
        </w:tc>
        <w:tc>
          <w:tcPr>
            <w:tcW w:w="2238" w:type="dxa"/>
            <w:tcBorders/>
          </w:tcPr>
          <w:p>
            <w:pPr>
              <w:pStyle w:val="TableContents"/>
              <w:tabs>
                <w:tab w:val="clear" w:pos="709"/>
              </w:tabs>
              <w:bidi w:val="0"/>
              <w:jc w:val="left"/>
              <w:rPr>
                <w:lang w:val="en-US"/>
              </w:rPr>
            </w:pPr>
            <w:r>
              <w:rPr>
                <w:rFonts w:ascii="Liberation Serif" w:hAnsi="Liberation Serif"/>
                <w:sz w:val="24"/>
                <w:lang w:val="en-US"/>
              </w:rPr>
              <w:t>Asset reclassification inflation</w:t>
            </w:r>
          </w:p>
        </w:tc>
        <w:tc>
          <w:tcPr>
            <w:tcW w:w="1610" w:type="dxa"/>
            <w:tcBorders/>
          </w:tcPr>
          <w:p>
            <w:pPr>
              <w:pStyle w:val="TableContents"/>
              <w:tabs>
                <w:tab w:val="clear" w:pos="709"/>
              </w:tabs>
              <w:bidi w:val="0"/>
              <w:jc w:val="left"/>
              <w:rPr>
                <w:lang w:val="en-US"/>
              </w:rPr>
            </w:pPr>
            <w:r>
              <w:rPr>
                <w:rFonts w:ascii="Liberation Serif" w:hAnsi="Liberation Serif"/>
                <w:sz w:val="24"/>
                <w:lang w:val="en-US"/>
              </w:rPr>
              <w:t>CBN 2024</w:t>
            </w:r>
          </w:p>
        </w:tc>
      </w:tr>
    </w:tbl>
    <w:p>
      <w:pPr>
        <w:pStyle w:val="Normal"/>
        <w:bidi w:val="0"/>
        <w:jc w:val="left"/>
        <w:rPr/>
      </w:pPr>
      <w:r>
        <w:rPr/>
      </w:r>
    </w:p>
    <w:p>
      <w:pPr>
        <w:pStyle w:val="Normal"/>
        <w:bidi w:val="0"/>
        <w:jc w:val="left"/>
        <w:rPr/>
      </w:pPr>
      <w:r>
        <w:rPr/>
      </w:r>
    </w:p>
    <w:p>
      <w:pPr>
        <w:pStyle w:val="Normal"/>
        <w:bidi w:val="0"/>
        <w:jc w:val="left"/>
        <w:rPr/>
      </w:pPr>
      <w:r>
        <w:rPr/>
        <w:t>Note: Adapted Sanusi 2009 Adegboye 2020 recent 2024 reports. Ties disclosure practice compliance audit committee independence.</w:t>
      </w:r>
    </w:p>
    <w:p>
      <w:pPr>
        <w:pStyle w:val="Normal"/>
        <w:bidi w:val="0"/>
        <w:jc w:val="left"/>
        <w:rPr/>
      </w:pPr>
      <w:r>
        <w:rPr/>
      </w:r>
    </w:p>
    <w:p>
      <w:pPr>
        <w:pStyle w:val="Heading4"/>
        <w:bidi w:val="0"/>
        <w:jc w:val="left"/>
        <w:rPr/>
      </w:pPr>
      <w:r>
        <w:rPr/>
        <w:t>2.9.1 Governance Deficiencies as Drivers of Non-Performing Loans</w:t>
      </w:r>
    </w:p>
    <w:p>
      <w:pPr>
        <w:pStyle w:val="BodyText"/>
        <w:ind w:hanging="0" w:left="0" w:right="0"/>
        <w:rPr/>
      </w:pPr>
      <w:r>
        <w:rPr/>
        <w:t>Governance deficiencies manifest prominently through weakened board oversight and inadequate practice indices within Nigeria's deposit money banking sector, emerging as primary drivers of elevated non-performing loan ratios. These deficiencies precipitated significant spikes, with ratios reaching thirty-seven percent during the 2009 banking crisis and approximately twenty percent by 2017 (Nwosu, 2020; Adegboye, 2020). Building upon this foundation, Adegboye (2020) elucidates how lax lending practices and poor credit assessments propelled institutions such as Intercontinental Bank and Bank PHB into financial distress, underscoring the propulsion of mismanagement in exacerbating default risks (Owolabi, 2013). Correspondingly, the 2009 crisis exemplified insider lending abuses, as evidenced by Oceanic Bank's non-performing loan portfolio comprising seventy-five percent exposure to family-controlled entities, a direct reflection of weak board and audit-committee oversight (Sanusi, 2009).</w:t>
      </w:r>
    </w:p>
    <w:p>
      <w:pPr>
        <w:pStyle w:val="BodyText"/>
        <w:ind w:hanging="0" w:left="0" w:right="0"/>
        <w:rPr/>
      </w:pPr>
      <w:r>
        <w:rPr/>
        <w:t>Nwosu (2020) further delineates the role of concentrated ownership structures, noting the absence of independent nomination committees in sixty-one percent of deposit money banks, which facilitated self-interested management dominance and the subversion of practice indices, thereby propelling non-performing loan ratios upward (Ogbechie, 2016). This interdependency is compounded by regulatory multiplicity, wherein conflicting codes—such as the Companies and Allied Matters Act 2020 and the Nigerian Code of Corporate Governance 2018—enable selective compliance, allowing institutions to conceal financial distress and contribute to non-performing loan-driven default risk (Abdulmalik &amp; Ahmad, 2020). From an agency theory perspective, these deficiencies attenuate the alignment of interests between principals (shareholders and regulators) and agents (bank executives), precipitating moral hazard and opportunistic lending behaviors that erode loan quality (Jensen &amp; Meckling, 1976). In contrast, stewardship theory posits that aligned governance could foster executive prudence; however, empirical evidence from Nigerian deposit money banks reveals persistent stewardship failures under concentrated ownership, where directors prioritize familial or cronyistic ties over fiduciary duties (Davis et al., 1997; Ogbechie, 2016).</w:t>
      </w:r>
    </w:p>
    <w:p>
      <w:pPr>
        <w:pStyle w:val="BodyText"/>
        <w:ind w:hanging="0" w:left="0" w:right="0"/>
        <w:rPr/>
      </w:pPr>
      <w:r>
        <w:rPr/>
        <w:t>These governance failures are entrenched in historical legacies of cronyism and weak enforcement consistency, forming the root causes of non-performing loan spikes, capital erosion, and systemic instability, which triggered mass deposit withdrawals during the 2009 crisis (Sanusi, 2009). Institutional theory provides a complementary lens, framing such deficiencies as outcomes of coercive, mimetic, and normative pressures within Nigeria's fragmented regulatory environment, where informal institutions like political patronage undermine formal governance mechanisms (DiMaggio &amp; Powell, 1983; Adegbite, 2014). Ojo and Ojo (2024) extend this analysis by identifying audit-committee independence as a critical mediator in the link between governance deficiencies and non-performing loan drivers, with enhanced financial-reporting integrity attenuating weak oversight that otherwise permits fraud concealment and the subversion of disclosure and practice indices.</w:t>
      </w:r>
    </w:p>
    <w:p>
      <w:pPr>
        <w:pStyle w:val="BodyText"/>
        <w:ind w:hanging="0" w:left="0" w:right="0"/>
        <w:rPr/>
      </w:pPr>
      <w:r>
        <w:rPr/>
        <w:t>Comparative insights from emerging markets reinforce these dynamics. In Ghana, analogous governance lapses in board independence contributed to non-performing loan ratios exceeding fifteen percent post-2015, mitigated partially through Central Bank reforms mandating audit committee autonomy (Aboagye-Otchere &amp; Bedi, 2020). South Africa's post-apartheid banking sector, aligned more closely with OECD principles, demonstrates that robust enforcement of disclosure indices reduces non-performing loans by up to twelve percent through signalling theory mechanisms, wherein credible governance disclosures lower information asymmetry and deter risky lending (OECD, 2023; Ross, 1977). Correspondingly, Basel III convergence in these jurisdictions has activated institutional reforms, enhancing capital buffers against governance-induced shocks, a pathway yet inconsistently pursued in Nigeria despite the Central Bank of Nigeria's 2014 Code (Basel Committee on Banking Supervision, 2011).</w:t>
      </w:r>
    </w:p>
    <w:p>
      <w:pPr>
        <w:pStyle w:val="BodyText"/>
        <w:ind w:hanging="0" w:left="0" w:right="0"/>
        <w:rPr/>
      </w:pPr>
      <w:r>
        <w:rPr/>
        <w:t>This evidences that governance deficiencies not only precipitate immediate non-performing loan escalations but also perpetuate systemic vulnerabilities, aligning with Research Question 1 by illustrating how composite governance indices—disclosure, practice, and compliance—modulate non-performing loan ratios amid macroeconomic controls. Furthermore, these findings resonate with Research Question 2, highlighting audit committee independence as a mediated pathway to financial reporting integrity, and Research Question 3, where pre-reform institutional inertias rendered disclosure impacts insignificant until post-2014 mandates. Finally, Research Question 4 underscores the necessity of regulatory harmonization to mitigate multiplicity-driven deficiencies, offering practicable insights for attenuating default risk in Nigeria's deposit money banking sector.</w:t>
      </w:r>
    </w:p>
    <w:p>
      <w:pPr>
        <w:pStyle w:val="Normal"/>
        <w:bidi w:val="0"/>
        <w:jc w:val="left"/>
        <w:rPr/>
      </w:pPr>
      <w:r>
        <w:rPr/>
      </w:r>
    </w:p>
    <w:p>
      <w:pPr>
        <w:sectPr>
          <w:type w:val="nextPage"/>
          <w:pgSz w:w="12240" w:h="15840"/>
          <w:pgMar w:left="1134" w:right="1134" w:gutter="0" w:header="0" w:top="1134" w:footer="0" w:bottom="1134"/>
          <w:pgNumType w:fmt="decimal"/>
          <w:formProt w:val="false"/>
          <w:textDirection w:val="lrTb"/>
          <w:docGrid w:type="default" w:linePitch="312" w:charSpace="0"/>
        </w:sectPr>
        <w:pStyle w:val="BodyText"/>
        <w:bidi w:val="0"/>
        <w:jc w:val="left"/>
        <w:rPr/>
      </w:pPr>
      <w:r>
        <w:rPr/>
      </w:r>
    </w:p>
    <w:p>
      <w:pPr>
        <w:pStyle w:val="BodyText"/>
        <w:bidi w:val="0"/>
        <w:jc w:val="left"/>
        <w:rPr/>
      </w:pPr>
      <w:r>
        <w:rPr/>
        <w:t>Table 1.10: Systemic Governance Deficiencies in Nigerian Banks</w:t>
      </w:r>
    </w:p>
    <w:p>
      <w:pPr>
        <w:pStyle w:val="Normal"/>
        <w:bidi w:val="0"/>
        <w:jc w:val="left"/>
        <w:rPr/>
      </w:pPr>
      <w:r>
        <w:rPr/>
      </w:r>
    </w:p>
    <w:tbl>
      <w:tblPr>
        <w:tblW w:w="13586" w:type="dxa"/>
        <w:jc w:val="left"/>
        <w:tblInd w:w="36" w:type="dxa"/>
        <w:tblLayout w:type="fixed"/>
        <w:tblCellMar>
          <w:top w:w="0" w:type="dxa"/>
          <w:left w:w="36" w:type="dxa"/>
          <w:bottom w:w="0" w:type="dxa"/>
          <w:right w:w="36" w:type="dxa"/>
        </w:tblCellMar>
      </w:tblPr>
      <w:tblGrid>
        <w:gridCol w:w="1634"/>
        <w:gridCol w:w="3048"/>
        <w:gridCol w:w="2786"/>
        <w:gridCol w:w="2571"/>
        <w:gridCol w:w="3547"/>
      </w:tblGrid>
      <w:tr>
        <w:trPr/>
        <w:tc>
          <w:tcPr>
            <w:tcW w:w="1634" w:type="dxa"/>
            <w:tcBorders/>
          </w:tcPr>
          <w:p>
            <w:pPr>
              <w:pStyle w:val="TableHeading"/>
              <w:tabs>
                <w:tab w:val="clear" w:pos="709"/>
              </w:tabs>
              <w:bidi w:val="0"/>
              <w:rPr>
                <w:lang w:val="en-US"/>
              </w:rPr>
            </w:pPr>
            <w:r>
              <w:rPr>
                <w:rFonts w:ascii="Liberation Serif" w:hAnsi="Liberation Serif"/>
                <w:sz w:val="24"/>
                <w:lang w:val="en-US"/>
              </w:rPr>
              <w:t>Deficiency</w:t>
            </w:r>
          </w:p>
        </w:tc>
        <w:tc>
          <w:tcPr>
            <w:tcW w:w="3048" w:type="dxa"/>
            <w:tcBorders/>
          </w:tcPr>
          <w:p>
            <w:pPr>
              <w:pStyle w:val="TableHeading"/>
              <w:tabs>
                <w:tab w:val="clear" w:pos="709"/>
              </w:tabs>
              <w:bidi w:val="0"/>
              <w:rPr>
                <w:lang w:val="en-US"/>
              </w:rPr>
            </w:pPr>
            <w:r>
              <w:rPr>
                <w:rFonts w:ascii="Liberation Serif" w:hAnsi="Liberation Serif"/>
                <w:sz w:val="24"/>
                <w:lang w:val="en-US"/>
              </w:rPr>
              <w:t>Description</w:t>
            </w:r>
          </w:p>
        </w:tc>
        <w:tc>
          <w:tcPr>
            <w:tcW w:w="2786" w:type="dxa"/>
            <w:tcBorders/>
          </w:tcPr>
          <w:p>
            <w:pPr>
              <w:pStyle w:val="TableHeading"/>
              <w:tabs>
                <w:tab w:val="clear" w:pos="709"/>
              </w:tabs>
              <w:bidi w:val="0"/>
              <w:rPr>
                <w:lang w:val="en-US"/>
              </w:rPr>
            </w:pPr>
            <w:r>
              <w:rPr>
                <w:rFonts w:ascii="Liberation Serif" w:hAnsi="Liberation Serif"/>
                <w:sz w:val="24"/>
                <w:lang w:val="en-US"/>
              </w:rPr>
              <w:t>Example</w:t>
            </w:r>
          </w:p>
        </w:tc>
        <w:tc>
          <w:tcPr>
            <w:tcW w:w="2571" w:type="dxa"/>
            <w:tcBorders/>
          </w:tcPr>
          <w:p>
            <w:pPr>
              <w:pStyle w:val="TableHeading"/>
              <w:tabs>
                <w:tab w:val="clear" w:pos="709"/>
              </w:tabs>
              <w:bidi w:val="0"/>
              <w:rPr>
                <w:lang w:val="en-US"/>
              </w:rPr>
            </w:pPr>
            <w:r>
              <w:rPr>
                <w:rFonts w:ascii="Liberation Serif" w:hAnsi="Liberation Serif"/>
                <w:sz w:val="24"/>
                <w:lang w:val="en-US"/>
              </w:rPr>
              <w:t>Impact on Corporate Governance Indices</w:t>
            </w:r>
          </w:p>
        </w:tc>
        <w:tc>
          <w:tcPr>
            <w:tcW w:w="3547" w:type="dxa"/>
            <w:tcBorders/>
          </w:tcPr>
          <w:p>
            <w:pPr>
              <w:pStyle w:val="TableHeading"/>
              <w:tabs>
                <w:tab w:val="clear" w:pos="709"/>
              </w:tabs>
              <w:bidi w:val="0"/>
              <w:rPr>
                <w:lang w:val="en-US"/>
              </w:rPr>
            </w:pPr>
            <w:r>
              <w:rPr>
                <w:rFonts w:ascii="Liberation Serif" w:hAnsi="Liberation Serif"/>
                <w:sz w:val="24"/>
                <w:lang w:val="en-US"/>
              </w:rPr>
              <w:t>Source</w:t>
            </w:r>
          </w:p>
        </w:tc>
      </w:tr>
      <w:tr>
        <w:trPr/>
        <w:tc>
          <w:tcPr>
            <w:tcW w:w="1634" w:type="dxa"/>
            <w:tcBorders/>
          </w:tcPr>
          <w:p>
            <w:pPr>
              <w:pStyle w:val="TableContents"/>
              <w:tabs>
                <w:tab w:val="clear" w:pos="709"/>
              </w:tabs>
              <w:bidi w:val="0"/>
              <w:jc w:val="left"/>
              <w:rPr>
                <w:lang w:val="en-US"/>
              </w:rPr>
            </w:pPr>
            <w:r>
              <w:rPr>
                <w:rFonts w:ascii="Liberation Serif" w:hAnsi="Liberation Serif"/>
                <w:sz w:val="24"/>
                <w:lang w:val="en-US"/>
              </w:rPr>
              <w:t>Weak Board Oversight</w:t>
            </w:r>
          </w:p>
        </w:tc>
        <w:tc>
          <w:tcPr>
            <w:tcW w:w="3048" w:type="dxa"/>
            <w:tcBorders/>
          </w:tcPr>
          <w:p>
            <w:pPr>
              <w:pStyle w:val="TableContents"/>
              <w:tabs>
                <w:tab w:val="clear" w:pos="709"/>
              </w:tabs>
              <w:bidi w:val="0"/>
              <w:jc w:val="left"/>
              <w:rPr>
                <w:lang w:val="en-US"/>
              </w:rPr>
            </w:pPr>
            <w:r>
              <w:rPr>
                <w:rFonts w:ascii="Liberation Serif" w:hAnsi="Liberation Serif"/>
                <w:sz w:val="24"/>
                <w:lang w:val="en-US"/>
              </w:rPr>
              <w:t>Boards lending monitoring failure cronyism</w:t>
            </w:r>
          </w:p>
        </w:tc>
        <w:tc>
          <w:tcPr>
            <w:tcW w:w="2786" w:type="dxa"/>
            <w:tcBorders/>
          </w:tcPr>
          <w:p>
            <w:pPr>
              <w:pStyle w:val="TableContents"/>
              <w:tabs>
                <w:tab w:val="clear" w:pos="709"/>
              </w:tabs>
              <w:bidi w:val="0"/>
              <w:jc w:val="left"/>
              <w:rPr>
                <w:lang w:val="en-US"/>
              </w:rPr>
            </w:pPr>
            <w:r>
              <w:rPr>
                <w:rFonts w:ascii="Liberation Serif" w:hAnsi="Liberation Serif"/>
                <w:sz w:val="24"/>
                <w:lang w:val="en-US"/>
              </w:rPr>
              <w:t>Oceanic Bank insider loans seventy-five percent non-performing loans</w:t>
            </w:r>
          </w:p>
        </w:tc>
        <w:tc>
          <w:tcPr>
            <w:tcW w:w="2571" w:type="dxa"/>
            <w:tcBorders/>
          </w:tcPr>
          <w:p>
            <w:pPr>
              <w:pStyle w:val="TableContents"/>
              <w:tabs>
                <w:tab w:val="clear" w:pos="709"/>
              </w:tabs>
              <w:bidi w:val="0"/>
              <w:jc w:val="left"/>
              <w:rPr>
                <w:lang w:val="en-US"/>
              </w:rPr>
            </w:pPr>
            <w:r>
              <w:rPr>
                <w:rFonts w:ascii="Liberation Serif" w:hAnsi="Liberation Serif"/>
                <w:sz w:val="24"/>
                <w:lang w:val="en-US"/>
              </w:rPr>
              <w:t>Compliance risk management subversion</w:t>
            </w:r>
          </w:p>
        </w:tc>
        <w:tc>
          <w:tcPr>
            <w:tcW w:w="3547" w:type="dxa"/>
            <w:tcBorders/>
          </w:tcPr>
          <w:p>
            <w:pPr>
              <w:pStyle w:val="TableContents"/>
              <w:tabs>
                <w:tab w:val="clear" w:pos="709"/>
              </w:tabs>
              <w:bidi w:val="0"/>
              <w:jc w:val="left"/>
              <w:rPr>
                <w:lang w:val="en-US"/>
              </w:rPr>
            </w:pPr>
            <w:r>
              <w:rPr>
                <w:rFonts w:ascii="Liberation Serif" w:hAnsi="Liberation Serif"/>
                <w:sz w:val="24"/>
                <w:lang w:val="en-US"/>
              </w:rPr>
              <w:t>Sanusi 2009 Ogbechie 2016</w:t>
            </w:r>
          </w:p>
        </w:tc>
      </w:tr>
      <w:tr>
        <w:trPr/>
        <w:tc>
          <w:tcPr>
            <w:tcW w:w="1634" w:type="dxa"/>
            <w:tcBorders/>
          </w:tcPr>
          <w:p>
            <w:pPr>
              <w:pStyle w:val="TableContents"/>
              <w:tabs>
                <w:tab w:val="clear" w:pos="709"/>
              </w:tabs>
              <w:bidi w:val="0"/>
              <w:jc w:val="left"/>
              <w:rPr>
                <w:lang w:val="en-US"/>
              </w:rPr>
            </w:pPr>
            <w:r>
              <w:rPr>
                <w:rFonts w:ascii="Liberation Serif" w:hAnsi="Liberation Serif"/>
                <w:sz w:val="24"/>
                <w:lang w:val="en-US"/>
              </w:rPr>
              <w:t>Unqualified Management</w:t>
            </w:r>
          </w:p>
        </w:tc>
        <w:tc>
          <w:tcPr>
            <w:tcW w:w="3048" w:type="dxa"/>
            <w:tcBorders/>
          </w:tcPr>
          <w:p>
            <w:pPr>
              <w:pStyle w:val="TableContents"/>
              <w:tabs>
                <w:tab w:val="clear" w:pos="709"/>
              </w:tabs>
              <w:bidi w:val="0"/>
              <w:jc w:val="left"/>
              <w:rPr>
                <w:lang w:val="en-US"/>
              </w:rPr>
            </w:pPr>
            <w:r>
              <w:rPr>
                <w:rFonts w:ascii="Liberation Serif" w:hAnsi="Liberation Serif"/>
                <w:sz w:val="24"/>
                <w:lang w:val="en-US"/>
              </w:rPr>
              <w:t>Politically motivated appointments expertise lack</w:t>
            </w:r>
          </w:p>
        </w:tc>
        <w:tc>
          <w:tcPr>
            <w:tcW w:w="2786" w:type="dxa"/>
            <w:tcBorders/>
          </w:tcPr>
          <w:p>
            <w:pPr>
              <w:pStyle w:val="TableContents"/>
              <w:tabs>
                <w:tab w:val="clear" w:pos="709"/>
              </w:tabs>
              <w:bidi w:val="0"/>
              <w:jc w:val="left"/>
              <w:rPr>
                <w:lang w:val="en-US"/>
              </w:rPr>
            </w:pPr>
            <w:r>
              <w:rPr>
                <w:rFonts w:ascii="Liberation Serif" w:hAnsi="Liberation Serif"/>
                <w:sz w:val="24"/>
                <w:lang w:val="en-US"/>
              </w:rPr>
              <w:t>Intercontinental Bank poor risk controls</w:t>
            </w:r>
          </w:p>
        </w:tc>
        <w:tc>
          <w:tcPr>
            <w:tcW w:w="2571" w:type="dxa"/>
            <w:tcBorders/>
          </w:tcPr>
          <w:p>
            <w:pPr>
              <w:pStyle w:val="TableContents"/>
              <w:tabs>
                <w:tab w:val="clear" w:pos="709"/>
              </w:tabs>
              <w:bidi w:val="0"/>
              <w:jc w:val="left"/>
              <w:rPr>
                <w:lang w:val="en-US"/>
              </w:rPr>
            </w:pPr>
            <w:r>
              <w:rPr>
                <w:rFonts w:ascii="Liberation Serif" w:hAnsi="Liberation Serif"/>
                <w:sz w:val="24"/>
                <w:lang w:val="en-US"/>
              </w:rPr>
              <w:t>Practice indices erosion disclosure</w:t>
            </w:r>
          </w:p>
        </w:tc>
        <w:tc>
          <w:tcPr>
            <w:tcW w:w="3547" w:type="dxa"/>
            <w:tcBorders/>
          </w:tcPr>
          <w:p>
            <w:pPr>
              <w:pStyle w:val="TableContents"/>
              <w:tabs>
                <w:tab w:val="clear" w:pos="709"/>
              </w:tabs>
              <w:bidi w:val="0"/>
              <w:jc w:val="left"/>
              <w:rPr>
                <w:lang w:val="en-US"/>
              </w:rPr>
            </w:pPr>
            <w:r>
              <w:rPr>
                <w:rFonts w:ascii="Liberation Serif" w:hAnsi="Liberation Serif"/>
                <w:sz w:val="24"/>
                <w:lang w:val="en-US"/>
              </w:rPr>
              <w:t>Nwoko et al. 2022 Owolabi 2013</w:t>
            </w:r>
          </w:p>
        </w:tc>
      </w:tr>
      <w:tr>
        <w:trPr/>
        <w:tc>
          <w:tcPr>
            <w:tcW w:w="1634" w:type="dxa"/>
            <w:tcBorders/>
          </w:tcPr>
          <w:p>
            <w:pPr>
              <w:pStyle w:val="TableContents"/>
              <w:tabs>
                <w:tab w:val="clear" w:pos="709"/>
              </w:tabs>
              <w:bidi w:val="0"/>
              <w:jc w:val="left"/>
              <w:rPr>
                <w:lang w:val="en-US"/>
              </w:rPr>
            </w:pPr>
            <w:r>
              <w:rPr>
                <w:rFonts w:ascii="Liberation Serif" w:hAnsi="Liberation Serif"/>
                <w:sz w:val="24"/>
                <w:lang w:val="en-US"/>
              </w:rPr>
              <w:t>Regulatory Multiplicity</w:t>
            </w:r>
          </w:p>
        </w:tc>
        <w:tc>
          <w:tcPr>
            <w:tcW w:w="3048" w:type="dxa"/>
            <w:tcBorders/>
          </w:tcPr>
          <w:p>
            <w:pPr>
              <w:pStyle w:val="TableContents"/>
              <w:tabs>
                <w:tab w:val="clear" w:pos="709"/>
              </w:tabs>
              <w:bidi w:val="0"/>
              <w:jc w:val="left"/>
              <w:rPr>
                <w:lang w:val="en-US"/>
              </w:rPr>
            </w:pPr>
            <w:r>
              <w:rPr>
                <w:rFonts w:ascii="Liberation Serif" w:hAnsi="Liberation Serif"/>
                <w:sz w:val="24"/>
                <w:lang w:val="en-US"/>
              </w:rPr>
              <w:t>Conflicting codes selective compliance enablement</w:t>
            </w:r>
          </w:p>
        </w:tc>
        <w:tc>
          <w:tcPr>
            <w:tcW w:w="2786" w:type="dxa"/>
            <w:tcBorders/>
          </w:tcPr>
          <w:p>
            <w:pPr>
              <w:pStyle w:val="TableContents"/>
              <w:tabs>
                <w:tab w:val="clear" w:pos="709"/>
              </w:tabs>
              <w:bidi w:val="0"/>
              <w:jc w:val="left"/>
              <w:rPr>
                <w:lang w:val="en-US"/>
              </w:rPr>
            </w:pPr>
            <w:r>
              <w:rPr>
                <w:rFonts w:ascii="Liberation Serif" w:hAnsi="Liberation Serif"/>
                <w:sz w:val="24"/>
                <w:lang w:val="en-US"/>
              </w:rPr>
              <w:t>Banks Companies and Allied Matters Act/Nigerian Code of Corporate Governance gaps non-performing loans hide</w:t>
            </w:r>
          </w:p>
        </w:tc>
        <w:tc>
          <w:tcPr>
            <w:tcW w:w="2571" w:type="dxa"/>
            <w:tcBorders/>
          </w:tcPr>
          <w:p>
            <w:pPr>
              <w:pStyle w:val="TableContents"/>
              <w:tabs>
                <w:tab w:val="clear" w:pos="709"/>
              </w:tabs>
              <w:bidi w:val="0"/>
              <w:jc w:val="left"/>
              <w:rPr>
                <w:lang w:val="en-US"/>
              </w:rPr>
            </w:pPr>
            <w:r>
              <w:rPr>
                <w:rFonts w:ascii="Liberation Serif" w:hAnsi="Liberation Serif"/>
                <w:sz w:val="24"/>
                <w:lang w:val="en-US"/>
              </w:rPr>
              <w:t>Compliance reduction audit committee independence impact</w:t>
            </w:r>
          </w:p>
        </w:tc>
        <w:tc>
          <w:tcPr>
            <w:tcW w:w="3547" w:type="dxa"/>
            <w:tcBorders/>
          </w:tcPr>
          <w:p>
            <w:pPr>
              <w:pStyle w:val="TableContents"/>
              <w:tabs>
                <w:tab w:val="clear" w:pos="709"/>
              </w:tabs>
              <w:bidi w:val="0"/>
              <w:jc w:val="left"/>
              <w:rPr>
                <w:lang w:val="en-US"/>
              </w:rPr>
            </w:pPr>
            <w:r>
              <w:rPr>
                <w:rFonts w:ascii="Liberation Serif" w:hAnsi="Liberation Serif"/>
                <w:sz w:val="24"/>
                <w:lang w:val="en-US"/>
              </w:rPr>
              <w:t>Abdulmalik &amp; Ahmad 2020 Ojo &amp; Ojo 2024</w:t>
            </w:r>
          </w:p>
        </w:tc>
      </w:tr>
      <w:tr>
        <w:trPr/>
        <w:tc>
          <w:tcPr>
            <w:tcW w:w="1634" w:type="dxa"/>
            <w:tcBorders/>
          </w:tcPr>
          <w:p>
            <w:pPr>
              <w:pStyle w:val="TableContents"/>
              <w:tabs>
                <w:tab w:val="clear" w:pos="709"/>
              </w:tabs>
              <w:bidi w:val="0"/>
              <w:jc w:val="left"/>
              <w:rPr>
                <w:lang w:val="en-US"/>
              </w:rPr>
            </w:pPr>
            <w:r>
              <w:rPr>
                <w:rFonts w:ascii="Liberation Serif" w:hAnsi="Liberation Serif"/>
                <w:sz w:val="24"/>
                <w:lang w:val="en-US"/>
              </w:rPr>
              <w:t>Absent Nomination Committees</w:t>
            </w:r>
          </w:p>
        </w:tc>
        <w:tc>
          <w:tcPr>
            <w:tcW w:w="3048" w:type="dxa"/>
            <w:tcBorders/>
          </w:tcPr>
          <w:p>
            <w:pPr>
              <w:pStyle w:val="TableContents"/>
              <w:tabs>
                <w:tab w:val="clear" w:pos="709"/>
              </w:tabs>
              <w:bidi w:val="0"/>
              <w:jc w:val="left"/>
              <w:rPr>
                <w:lang w:val="en-US"/>
              </w:rPr>
            </w:pPr>
            <w:r>
              <w:rPr>
                <w:rFonts w:ascii="Liberation Serif" w:hAnsi="Liberation Serif"/>
                <w:sz w:val="24"/>
                <w:lang w:val="en-US"/>
              </w:rPr>
              <w:t>Sixty-one percent banks independent committees lack</w:t>
            </w:r>
          </w:p>
        </w:tc>
        <w:tc>
          <w:tcPr>
            <w:tcW w:w="2786" w:type="dxa"/>
            <w:tcBorders/>
          </w:tcPr>
          <w:p>
            <w:pPr>
              <w:pStyle w:val="TableContents"/>
              <w:tabs>
                <w:tab w:val="clear" w:pos="709"/>
              </w:tabs>
              <w:bidi w:val="0"/>
              <w:jc w:val="left"/>
              <w:rPr>
                <w:lang w:val="en-US"/>
              </w:rPr>
            </w:pPr>
            <w:r>
              <w:rPr>
                <w:rFonts w:ascii="Liberation Serif" w:hAnsi="Liberation Serif"/>
                <w:sz w:val="24"/>
                <w:lang w:val="en-US"/>
              </w:rPr>
              <w:t>Bank PHB mismanagement unqualified appointees</w:t>
            </w:r>
          </w:p>
        </w:tc>
        <w:tc>
          <w:tcPr>
            <w:tcW w:w="2571" w:type="dxa"/>
            <w:tcBorders/>
          </w:tcPr>
          <w:p>
            <w:pPr>
              <w:pStyle w:val="TableContents"/>
              <w:tabs>
                <w:tab w:val="clear" w:pos="709"/>
              </w:tabs>
              <w:bidi w:val="0"/>
              <w:jc w:val="left"/>
              <w:rPr>
                <w:lang w:val="en-US"/>
              </w:rPr>
            </w:pPr>
            <w:r>
              <w:rPr>
                <w:rFonts w:ascii="Liberation Serif" w:hAnsi="Liberation Serif"/>
                <w:sz w:val="24"/>
                <w:lang w:val="en-US"/>
              </w:rPr>
              <w:t>Practice indices risk management compromise</w:t>
            </w:r>
          </w:p>
        </w:tc>
        <w:tc>
          <w:tcPr>
            <w:tcW w:w="3547" w:type="dxa"/>
            <w:tcBorders/>
          </w:tcPr>
          <w:p>
            <w:pPr>
              <w:pStyle w:val="TableContents"/>
              <w:tabs>
                <w:tab w:val="clear" w:pos="709"/>
              </w:tabs>
              <w:bidi w:val="0"/>
              <w:jc w:val="left"/>
              <w:rPr>
                <w:lang w:val="en-US"/>
              </w:rPr>
            </w:pPr>
            <w:r>
              <w:rPr>
                <w:rFonts w:ascii="Liberation Serif" w:hAnsi="Liberation Serif"/>
                <w:sz w:val="24"/>
                <w:lang w:val="en-US"/>
              </w:rPr>
              <w:t>Adegboye 2020 Afolabi &amp; Afolabi 2024</w:t>
            </w:r>
          </w:p>
        </w:tc>
      </w:tr>
    </w:tbl>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Note: Adapted Sanusi 2009 Nwoko et al. 2022 Afolabi and Afolabi 2024. Impacts disclosure practice compliance audit committee independence ties highlight.</w:t>
      </w:r>
    </w:p>
    <w:p>
      <w:pPr>
        <w:pStyle w:val="Normal"/>
        <w:bidi w:val="0"/>
        <w:jc w:val="left"/>
        <w:rPr/>
      </w:pPr>
      <w:r>
        <w:rPr/>
      </w:r>
    </w:p>
    <w:p>
      <w:pPr>
        <w:sectPr>
          <w:type w:val="nextPage"/>
          <w:pgSz w:orient="landscape" w:w="15840" w:h="12240"/>
          <w:pgMar w:left="1134" w:right="1134" w:gutter="0" w:header="0" w:top="1134" w:footer="0" w:bottom="1134"/>
          <w:pgNumType w:fmt="decimal"/>
          <w:formProt w:val="false"/>
          <w:textDirection w:val="lrTb"/>
        </w:sectPr>
        <w:pStyle w:val="Normal"/>
        <w:bidi w:val="0"/>
        <w:jc w:val="left"/>
        <w:rPr>
          <w:b/>
          <w:bCs/>
        </w:rPr>
      </w:pPr>
      <w:r>
        <w:rPr>
          <w:b/>
          <w:bCs/>
        </w:rPr>
      </w:r>
    </w:p>
    <w:p>
      <w:pPr>
        <w:pStyle w:val="Normal"/>
        <w:bidi w:val="0"/>
        <w:jc w:val="left"/>
        <w:rPr>
          <w:b/>
          <w:bCs/>
        </w:rPr>
      </w:pPr>
      <w:r>
        <w:rPr>
          <w:b/>
          <w:bCs/>
        </w:rPr>
        <w:t>2.9.2 Data Reliability Issues and Cross-Validation Strategies</w:t>
      </w:r>
    </w:p>
    <w:p>
      <w:pPr>
        <w:pStyle w:val="Normal"/>
        <w:bidi w:val="0"/>
        <w:jc w:val="left"/>
        <w:rPr/>
      </w:pPr>
      <w:r>
        <w:rPr/>
      </w:r>
    </w:p>
    <w:p>
      <w:pPr>
        <w:pStyle w:val="Normal"/>
        <w:bidi w:val="0"/>
        <w:jc w:val="left"/>
        <w:rPr/>
      </w:pPr>
      <w:r>
        <w:rPr/>
        <w:t>Nigeria non-performing loan data reliability significant concern opaque financial reporting weak governance structures true default risk extent obscure. Olojede et al. 2020 inadequate disclosure practices audit-committee capture external auditor conflicts financial misstatements 2009 crisis deposit money banks Oceanic loan portfolios falsification stakeholder distress awareness delay. Opacity data accuracy subversion non-performing loan ratios reliable metric utilization challenge. Research rigorous cross-validation strategy employment triangulating questionnaire responses secondary data Central Bank of Nigeria reports Nigeria Deposit Insurance Corporation records audited bank financials 2009-2024 research question one 2024 research questions two-four Olojede et al. 2020 recommendation.</w:t>
      </w:r>
    </w:p>
    <w:p>
      <w:pPr>
        <w:pStyle w:val="Normal"/>
        <w:bidi w:val="0"/>
        <w:jc w:val="left"/>
        <w:rPr/>
      </w:pPr>
      <w:r>
        <w:rPr/>
      </w:r>
    </w:p>
    <w:p>
      <w:pPr>
        <w:pStyle w:val="Normal"/>
        <w:bidi w:val="0"/>
        <w:jc w:val="left"/>
        <w:rPr/>
      </w:pPr>
      <w:r>
        <w:rPr/>
        <w:t>Multi-source approach non-performing loan data actual governance impacts reflection manipulation risk mitigation assurance. Control variables bank size gross domestic product growth loan portfolio diversity analysis incorporation corporate governance indices non-performing loan ratios effects isolation data robustness exaltation (Natufe &amp; Evbayiro-Osagie, 2023). Questionnaire corporate governance indices non-performing loan outcomes direct link design items board oversight audit-committee independence regulatory clarity loan portfolio quality influence assessment. Questions robust practice indices non-performing loans reduction regulatory multiplicity lending risks exacerbation evaluation data collected research objectives relevance assurance. Qualitatively high-level banking officials interviews quantitative non-performing loans focus complement stakeholder perceptions governance failures loan defaults drive exploration Sanusi 2009 Olojede et al. 2020 alignment.</w:t>
      </w:r>
    </w:p>
    <w:p>
      <w:pPr>
        <w:pStyle w:val="Normal"/>
        <w:bidi w:val="0"/>
        <w:jc w:val="left"/>
        <w:rPr/>
      </w:pPr>
      <w:r>
        <w:rPr/>
      </w:r>
    </w:p>
    <w:p>
      <w:pPr>
        <w:pStyle w:val="Normal"/>
        <w:bidi w:val="0"/>
        <w:jc w:val="left"/>
        <w:rPr/>
      </w:pPr>
      <w:r>
        <w:rPr/>
        <w:t>Qualitative depth non-performing loans governance outcome understanding enrichment Nigeria deposit money banking sector historical legacies regulatory multiplicity default risk exacerbation context-specific insights provision. Quantitative qualitative data integration non-performing loans statistical measurement stakeholder experiences lens understanding non-performing loan validity findings relevance proposed reforms exaltation assurance. Afolabi and Afolabi 2024 cross-validation disclosure issues practice indices key address audit-reported non-performing loans verification. 2024 non-performing loan ratios five point six two percent ongoing opacity highlight (CBN, 2024).</w:t>
      </w:r>
    </w:p>
    <w:p>
      <w:pPr>
        <w:pStyle w:val="Normal"/>
        <w:bidi w:val="0"/>
        <w:jc w:val="left"/>
        <w:rPr/>
      </w:pPr>
      <w:r>
        <w:rPr/>
      </w:r>
    </w:p>
    <w:p>
      <w:pPr>
        <w:pStyle w:val="Heading4"/>
        <w:bidi w:val="0"/>
        <w:jc w:val="left"/>
        <w:rPr/>
      </w:pPr>
      <w:r>
        <w:rPr/>
        <w:t>2.9.3 Consequences for the Economy and Systemic Stability</w:t>
      </w:r>
    </w:p>
    <w:p>
      <w:pPr>
        <w:pStyle w:val="BodyText"/>
        <w:ind w:hanging="0" w:left="0" w:right="0"/>
        <w:rPr/>
      </w:pPr>
      <w:r>
        <w:rPr/>
        <w:t>Elevated non-performing loan (NPL) ratios, propelled by governance deficiencies within Nigeria's deposit money banking (DMB) sector, pose a profound threat to the broader economy, given that banks serve as pivotal engines of growth and capital allocation (King &amp; Levine, 1993). The 2009 banking crisis exemplifies this vulnerability, wherein NPL ratios escalated beyond 37 percent, necessitating a three point nine billion United States dollar bailout orchestrated by the Central Bank of Nigeria (CBN) to avert systemic collapse; this episode was largely attributable to insider lending abuses and frail practice indices, which eroded capital buffers and precipitated widespread deposit withdrawals (Sanusi, 2009). Correspondingly, concentrated ownership structures—prevalent in Nigerian DMBs—exhibit a heightened correlation with default risk, as entrenched managers may misuse funds, thereby exacerbating NPL ratios and amplifying contagion effects across interconnected financial institutions (Fernando et al., 2019).</w:t>
      </w:r>
    </w:p>
    <w:p>
      <w:pPr>
        <w:pStyle w:val="BodyText"/>
        <w:ind w:hanging="0" w:left="0" w:right="0"/>
        <w:rPr/>
      </w:pPr>
      <w:r>
        <w:rPr/>
        <w:t>Building upon this foundation, post-crisis reforms have sought to mitigate such perils through the establishment of independent risk committees, imposition of stringent qualification criteria for senior management, and harmonized regulatory frameworks (Adegboye, 2020). Alignment with Basel III standards, for instance, elevates oversight mechanisms and disclosure requirements, thereby attenuating NPL accumulation by fostering proactive risk management and capital resilience (BCBS, 2010). Empirical evidence underscores the indispensability of data reliability and cross-validation through robust auditing processes, which are essential for accurate risk assessment and preemptive intervention (Olojede et al., 2020). These institutional activations directly inform the hypotheses underpinning this thesis: Research Question 1 and Hypothesis 1 emphasize the modulating role of robust practice indices in reducing NPL ratios; Research Question 2 and Hypothesis 2 posit that audit committee independence diminishes NPL ratios via partial mediation through enhanced financial reporting integrity; Research Question 3 and Hypothesis 3 interrogate the temporal shift in disclosure-NPL linkages post-reform; and Research Question 4 and Hypothesis 4 examine the causal impact of perceived regulatory clarity improvements on NPL declines.</w:t>
      </w:r>
    </w:p>
    <w:p>
      <w:pPr>
        <w:pStyle w:val="BodyText"/>
        <w:ind w:hanging="0" w:left="0" w:right="0"/>
        <w:rPr/>
      </w:pPr>
      <w:r>
        <w:rPr/>
        <w:t>This analytical trajectory not only addresses governance reforms in the Nigerian DMB sector but also stages a robust examination with meaningful contributions to the corporate governance literature, particularly in the context of the post-2004 banking sector consolidation (Ozili, 2020). Recent inquiries further illuminate these interdependencies, revealing that NPLs are mediated by audit committee independence and financial reporting integrity, while strengthened practice indices bolster disclosure compliance and overall governance efficacy (Ojo &amp; Ojo, 2024). As of 2024, aggregate NPL ratios in Nigerian DMBs stand at five point six two percent, notwithstanding ongoing recapitalization efforts; persistently high ratios—previously hindering gross domestic product growth by an estimated three point four percent—continue to impede economic recovery amid volatile oil prices and inflationary pressures (IMF, 2024).</w:t>
      </w:r>
    </w:p>
    <w:p>
      <w:pPr>
        <w:pStyle w:val="BodyText"/>
        <w:ind w:hanging="0" w:left="0" w:right="0"/>
        <w:rPr/>
      </w:pPr>
      <w:r>
        <w:rPr/>
        <w:t>From an institutional theory perspective, these consequences highlight the perils of regulatory fragmentation and enforcement multiplicity in emerging markets, where weak signalling mechanisms undermine investor confidence and credit intermediation (North, 1990). Comparatively, Ghana's post-2017 banking cleanup, which enforced similar disclosure mandates and independent oversight, reduced NPL ratios from 21.2 percent to 13.6 percent within three years, illustrating the efficacy of harmonized reforms in stabilizing systemic risk (Bank of Ghana, 2020). In South Africa, adherence to King IV principles has correlated with NPL ratios below four percent, even during economic downturns, attributable to embedded stewardship norms that prioritize long-term viability over short-term gains (Institute of Directors in Southern Africa, 2016). Agency theory further elucidates managerial opportunism in opaque environments, whereas stewardship theory posits that aligned incentives through independent boards can precipitate proactive NPL management (Davis et al., 1997). Synthesizing these frameworks, the Nigerian case underscores the necessity for governance unification under the CBN Code of Corporate Governance 2014, Nigerian Code of Corporate Governance 2018, Companies and Allied Matters Act 2020, and CBN Guidelines 2023 to forge resilient institutional scaffolds.</w:t>
      </w:r>
    </w:p>
    <w:p>
      <w:pPr>
        <w:pStyle w:val="BodyText"/>
        <w:ind w:hanging="0" w:left="0" w:right="0"/>
        <w:rPr/>
      </w:pPr>
      <w:r>
        <w:rPr/>
        <w:t>Managerially, DMB executives must prioritize audit autonomy and disclosure enhancement to curtail moral hazard, while policymakers—through the CBN, Nigeria Deposit Insurance Corporation, and Securities and Exchange Commission—should enforce regulatory clarity to attenuate economic shocks such as currency devaluation. Failure to address these governance lacunae risks perpetuating a vicious cycle of credit constriction, reduced investment, and stunted inclusive growth, particularly in a mono-commodity economy vulnerable to exogenous fluctuations. This subsection thus sets the stage for subsequent empirical scrutiny, integrating longitudinal panel data and stakeholder perceptions to yield practicable insights into NPL attenuation amid evolving reform landscapes.</w:t>
      </w:r>
    </w:p>
    <w:p>
      <w:pPr>
        <w:pStyle w:val="Normal"/>
        <w:bidi w:val="0"/>
        <w:jc w:val="left"/>
        <w:rPr/>
      </w:pPr>
      <w:r>
        <w:rPr/>
      </w:r>
    </w:p>
    <w:p>
      <w:pPr>
        <w:sectPr>
          <w:type w:val="nextPage"/>
          <w:pgSz w:w="12240" w:h="15840"/>
          <w:pgMar w:left="1134" w:right="1134" w:gutter="0" w:header="0" w:top="1134" w:footer="0" w:bottom="1134"/>
          <w:pgNumType w:fmt="decimal"/>
          <w:formProt w:val="false"/>
          <w:textDirection w:val="lrTb"/>
          <w:docGrid w:type="default" w:linePitch="312" w:charSpace="0"/>
        </w:sectPr>
        <w:pStyle w:val="BodyText"/>
        <w:bidi w:val="0"/>
        <w:jc w:val="left"/>
        <w:rPr>
          <w:b/>
          <w:bCs/>
        </w:rPr>
      </w:pPr>
      <w:r>
        <w:rPr>
          <w:b/>
          <w:bCs/>
        </w:rPr>
      </w:r>
    </w:p>
    <w:p>
      <w:pPr>
        <w:pStyle w:val="BodyText"/>
        <w:bidi w:val="0"/>
        <w:jc w:val="left"/>
        <w:rPr>
          <w:b/>
          <w:bCs/>
        </w:rPr>
      </w:pPr>
      <w:r>
        <w:rPr>
          <w:b/>
          <w:bCs/>
        </w:rPr>
        <w:t>Table 1.11: Strategic Reforms to Address Governance Deficiencies in Nigerian Banks</w:t>
      </w:r>
    </w:p>
    <w:p>
      <w:pPr>
        <w:pStyle w:val="Normal"/>
        <w:bidi w:val="0"/>
        <w:jc w:val="left"/>
        <w:rPr/>
      </w:pPr>
      <w:r>
        <w:rPr/>
      </w:r>
    </w:p>
    <w:p>
      <w:pPr>
        <w:pStyle w:val="Normal"/>
        <w:bidi w:val="0"/>
        <w:jc w:val="left"/>
        <w:rPr/>
      </w:pPr>
      <w:r>
        <w:rPr/>
      </w:r>
    </w:p>
    <w:tbl>
      <w:tblPr>
        <w:tblW w:w="13586" w:type="dxa"/>
        <w:jc w:val="left"/>
        <w:tblInd w:w="36" w:type="dxa"/>
        <w:tblLayout w:type="fixed"/>
        <w:tblCellMar>
          <w:top w:w="0" w:type="dxa"/>
          <w:left w:w="36" w:type="dxa"/>
          <w:bottom w:w="0" w:type="dxa"/>
          <w:right w:w="36" w:type="dxa"/>
        </w:tblCellMar>
      </w:tblPr>
      <w:tblGrid>
        <w:gridCol w:w="2164"/>
        <w:gridCol w:w="2872"/>
        <w:gridCol w:w="3064"/>
        <w:gridCol w:w="2614"/>
        <w:gridCol w:w="2872"/>
      </w:tblGrid>
      <w:tr>
        <w:trPr/>
        <w:tc>
          <w:tcPr>
            <w:tcW w:w="2164" w:type="dxa"/>
            <w:tcBorders/>
          </w:tcPr>
          <w:p>
            <w:pPr>
              <w:pStyle w:val="TableHeading"/>
              <w:tabs>
                <w:tab w:val="clear" w:pos="709"/>
              </w:tabs>
              <w:bidi w:val="0"/>
              <w:rPr>
                <w:lang w:val="en-US"/>
              </w:rPr>
            </w:pPr>
            <w:r>
              <w:rPr>
                <w:rFonts w:ascii="Liberation Serif" w:hAnsi="Liberation Serif"/>
                <w:sz w:val="24"/>
                <w:lang w:val="en-US"/>
              </w:rPr>
              <w:t>Reform</w:t>
            </w:r>
          </w:p>
        </w:tc>
        <w:tc>
          <w:tcPr>
            <w:tcW w:w="2872" w:type="dxa"/>
            <w:tcBorders/>
          </w:tcPr>
          <w:p>
            <w:pPr>
              <w:pStyle w:val="TableHeading"/>
              <w:tabs>
                <w:tab w:val="clear" w:pos="709"/>
              </w:tabs>
              <w:bidi w:val="0"/>
              <w:rPr>
                <w:lang w:val="en-US"/>
              </w:rPr>
            </w:pPr>
            <w:r>
              <w:rPr>
                <w:rFonts w:ascii="Liberation Serif" w:hAnsi="Liberation Serif"/>
                <w:sz w:val="24"/>
                <w:lang w:val="en-US"/>
              </w:rPr>
              <w:t>Description</w:t>
            </w:r>
          </w:p>
        </w:tc>
        <w:tc>
          <w:tcPr>
            <w:tcW w:w="3064" w:type="dxa"/>
            <w:tcBorders/>
          </w:tcPr>
          <w:p>
            <w:pPr>
              <w:pStyle w:val="TableHeading"/>
              <w:tabs>
                <w:tab w:val="clear" w:pos="709"/>
              </w:tabs>
              <w:bidi w:val="0"/>
              <w:rPr>
                <w:lang w:val="en-US"/>
              </w:rPr>
            </w:pPr>
            <w:r>
              <w:rPr>
                <w:rFonts w:ascii="Liberation Serif" w:hAnsi="Liberation Serif"/>
                <w:sz w:val="24"/>
                <w:lang w:val="en-US"/>
              </w:rPr>
              <w:t>Expected Impact</w:t>
            </w:r>
          </w:p>
        </w:tc>
        <w:tc>
          <w:tcPr>
            <w:tcW w:w="2614" w:type="dxa"/>
            <w:tcBorders/>
          </w:tcPr>
          <w:p>
            <w:pPr>
              <w:pStyle w:val="TableHeading"/>
              <w:tabs>
                <w:tab w:val="clear" w:pos="709"/>
              </w:tabs>
              <w:bidi w:val="0"/>
              <w:rPr>
                <w:lang w:val="en-US"/>
              </w:rPr>
            </w:pPr>
            <w:r>
              <w:rPr>
                <w:rFonts w:ascii="Liberation Serif" w:hAnsi="Liberation Serif"/>
                <w:sz w:val="24"/>
                <w:lang w:val="en-US"/>
              </w:rPr>
              <w:t>Global Benchmark</w:t>
            </w:r>
          </w:p>
        </w:tc>
        <w:tc>
          <w:tcPr>
            <w:tcW w:w="2872" w:type="dxa"/>
            <w:tcBorders/>
          </w:tcPr>
          <w:p>
            <w:pPr>
              <w:pStyle w:val="TableHeading"/>
              <w:tabs>
                <w:tab w:val="clear" w:pos="709"/>
              </w:tabs>
              <w:bidi w:val="0"/>
              <w:rPr>
                <w:lang w:val="en-US"/>
              </w:rPr>
            </w:pPr>
            <w:r>
              <w:rPr>
                <w:rFonts w:ascii="Liberation Serif" w:hAnsi="Liberation Serif"/>
                <w:sz w:val="24"/>
                <w:lang w:val="en-US"/>
              </w:rPr>
              <w:t>Source</w:t>
            </w:r>
          </w:p>
        </w:tc>
      </w:tr>
      <w:tr>
        <w:trPr/>
        <w:tc>
          <w:tcPr>
            <w:tcW w:w="2164" w:type="dxa"/>
            <w:tcBorders/>
          </w:tcPr>
          <w:p>
            <w:pPr>
              <w:pStyle w:val="TableContents"/>
              <w:tabs>
                <w:tab w:val="clear" w:pos="709"/>
              </w:tabs>
              <w:bidi w:val="0"/>
              <w:jc w:val="left"/>
              <w:rPr>
                <w:lang w:val="en-US"/>
              </w:rPr>
            </w:pPr>
            <w:r>
              <w:rPr>
                <w:rFonts w:ascii="Liberation Serif" w:hAnsi="Liberation Serif"/>
                <w:sz w:val="24"/>
                <w:lang w:val="en-US"/>
              </w:rPr>
              <w:t>Independent Risk Committees</w:t>
            </w:r>
          </w:p>
        </w:tc>
        <w:tc>
          <w:tcPr>
            <w:tcW w:w="2872" w:type="dxa"/>
            <w:tcBorders/>
          </w:tcPr>
          <w:p>
            <w:pPr>
              <w:pStyle w:val="TableContents"/>
              <w:tabs>
                <w:tab w:val="clear" w:pos="709"/>
              </w:tabs>
              <w:bidi w:val="0"/>
              <w:jc w:val="left"/>
              <w:rPr>
                <w:lang w:val="en-US"/>
              </w:rPr>
            </w:pPr>
            <w:r>
              <w:rPr>
                <w:rFonts w:ascii="Liberation Serif" w:hAnsi="Liberation Serif"/>
                <w:sz w:val="24"/>
                <w:lang w:val="en-US"/>
              </w:rPr>
              <w:t>Loan oversight committees mandate</w:t>
            </w:r>
          </w:p>
        </w:tc>
        <w:tc>
          <w:tcPr>
            <w:tcW w:w="3064" w:type="dxa"/>
            <w:tcBorders/>
          </w:tcPr>
          <w:p>
            <w:pPr>
              <w:pStyle w:val="TableContents"/>
              <w:tabs>
                <w:tab w:val="clear" w:pos="709"/>
              </w:tabs>
              <w:bidi w:val="0"/>
              <w:jc w:val="left"/>
              <w:rPr>
                <w:lang w:val="en-US"/>
              </w:rPr>
            </w:pPr>
            <w:r>
              <w:rPr>
                <w:rFonts w:ascii="Liberation Serif" w:hAnsi="Liberation Serif"/>
                <w:sz w:val="24"/>
                <w:lang w:val="en-US"/>
              </w:rPr>
              <w:t>Lax lending reduction non-performing loans</w:t>
            </w:r>
          </w:p>
        </w:tc>
        <w:tc>
          <w:tcPr>
            <w:tcW w:w="2614" w:type="dxa"/>
            <w:tcBorders/>
          </w:tcPr>
          <w:p>
            <w:pPr>
              <w:pStyle w:val="TableContents"/>
              <w:tabs>
                <w:tab w:val="clear" w:pos="709"/>
              </w:tabs>
              <w:bidi w:val="0"/>
              <w:jc w:val="left"/>
              <w:rPr>
                <w:lang w:val="en-US"/>
              </w:rPr>
            </w:pPr>
            <w:r>
              <w:rPr>
                <w:rFonts w:ascii="Liberation Serif" w:hAnsi="Liberation Serif"/>
                <w:sz w:val="24"/>
                <w:lang w:val="en-US"/>
              </w:rPr>
              <w:t>Basel III risk committee mandates BCBS 2010</w:t>
            </w:r>
          </w:p>
        </w:tc>
        <w:tc>
          <w:tcPr>
            <w:tcW w:w="2872" w:type="dxa"/>
            <w:tcBorders/>
          </w:tcPr>
          <w:p>
            <w:pPr>
              <w:pStyle w:val="TableContents"/>
              <w:tabs>
                <w:tab w:val="clear" w:pos="709"/>
              </w:tabs>
              <w:bidi w:val="0"/>
              <w:jc w:val="left"/>
              <w:rPr>
                <w:lang w:val="en-US"/>
              </w:rPr>
            </w:pPr>
            <w:r>
              <w:rPr>
                <w:rFonts w:ascii="Liberation Serif" w:hAnsi="Liberation Serif"/>
                <w:sz w:val="24"/>
                <w:lang w:val="en-US"/>
              </w:rPr>
              <w:t>Adegboye 2020</w:t>
            </w:r>
          </w:p>
        </w:tc>
      </w:tr>
      <w:tr>
        <w:trPr/>
        <w:tc>
          <w:tcPr>
            <w:tcW w:w="2164" w:type="dxa"/>
            <w:tcBorders/>
          </w:tcPr>
          <w:p>
            <w:pPr>
              <w:pStyle w:val="TableContents"/>
              <w:tabs>
                <w:tab w:val="clear" w:pos="709"/>
              </w:tabs>
              <w:bidi w:val="0"/>
              <w:jc w:val="left"/>
              <w:rPr>
                <w:lang w:val="en-US"/>
              </w:rPr>
            </w:pPr>
            <w:r>
              <w:rPr>
                <w:rFonts w:ascii="Liberation Serif" w:hAnsi="Liberation Serif"/>
                <w:sz w:val="24"/>
                <w:lang w:val="en-US"/>
              </w:rPr>
              <w:t>Merit-Based Appointments</w:t>
            </w:r>
          </w:p>
        </w:tc>
        <w:tc>
          <w:tcPr>
            <w:tcW w:w="2872" w:type="dxa"/>
            <w:tcBorders/>
          </w:tcPr>
          <w:p>
            <w:pPr>
              <w:pStyle w:val="TableContents"/>
              <w:tabs>
                <w:tab w:val="clear" w:pos="709"/>
              </w:tabs>
              <w:bidi w:val="0"/>
              <w:jc w:val="left"/>
              <w:rPr>
                <w:lang w:val="en-US"/>
              </w:rPr>
            </w:pPr>
            <w:r>
              <w:rPr>
                <w:rFonts w:ascii="Liberation Serif" w:hAnsi="Liberation Serif"/>
                <w:sz w:val="24"/>
                <w:lang w:val="en-US"/>
              </w:rPr>
              <w:t>Executives qualification criteria enforcement</w:t>
            </w:r>
          </w:p>
        </w:tc>
        <w:tc>
          <w:tcPr>
            <w:tcW w:w="3064" w:type="dxa"/>
            <w:tcBorders/>
          </w:tcPr>
          <w:p>
            <w:pPr>
              <w:pStyle w:val="TableContents"/>
              <w:tabs>
                <w:tab w:val="clear" w:pos="709"/>
              </w:tabs>
              <w:bidi w:val="0"/>
              <w:jc w:val="left"/>
              <w:rPr>
                <w:lang w:val="en-US"/>
              </w:rPr>
            </w:pPr>
            <w:r>
              <w:rPr>
                <w:rFonts w:ascii="Liberation Serif" w:hAnsi="Liberation Serif"/>
                <w:sz w:val="24"/>
                <w:lang w:val="en-US"/>
              </w:rPr>
              <w:t>Risk assessment amelioration practice indices</w:t>
            </w:r>
          </w:p>
        </w:tc>
        <w:tc>
          <w:tcPr>
            <w:tcW w:w="2614" w:type="dxa"/>
            <w:tcBorders/>
          </w:tcPr>
          <w:p>
            <w:pPr>
              <w:pStyle w:val="TableContents"/>
              <w:tabs>
                <w:tab w:val="clear" w:pos="709"/>
              </w:tabs>
              <w:bidi w:val="0"/>
              <w:jc w:val="left"/>
              <w:rPr>
                <w:lang w:val="en-US"/>
              </w:rPr>
            </w:pPr>
            <w:r>
              <w:rPr>
                <w:rFonts w:ascii="Liberation Serif" w:hAnsi="Liberation Serif"/>
                <w:sz w:val="24"/>
                <w:lang w:val="en-US"/>
              </w:rPr>
              <w:t>OECD competency standards OECD 2023</w:t>
            </w:r>
          </w:p>
        </w:tc>
        <w:tc>
          <w:tcPr>
            <w:tcW w:w="2872" w:type="dxa"/>
            <w:tcBorders/>
          </w:tcPr>
          <w:p>
            <w:pPr>
              <w:pStyle w:val="TableContents"/>
              <w:tabs>
                <w:tab w:val="clear" w:pos="709"/>
              </w:tabs>
              <w:bidi w:val="0"/>
              <w:jc w:val="left"/>
              <w:rPr>
                <w:lang w:val="en-US"/>
              </w:rPr>
            </w:pPr>
            <w:r>
              <w:rPr>
                <w:rFonts w:ascii="Liberation Serif" w:hAnsi="Liberation Serif"/>
                <w:sz w:val="24"/>
                <w:lang w:val="en-US"/>
              </w:rPr>
              <w:t>Nwoko et al. 2022</w:t>
            </w:r>
          </w:p>
        </w:tc>
      </w:tr>
      <w:tr>
        <w:trPr/>
        <w:tc>
          <w:tcPr>
            <w:tcW w:w="2164" w:type="dxa"/>
            <w:tcBorders/>
          </w:tcPr>
          <w:p>
            <w:pPr>
              <w:pStyle w:val="TableContents"/>
              <w:tabs>
                <w:tab w:val="clear" w:pos="709"/>
              </w:tabs>
              <w:bidi w:val="0"/>
              <w:jc w:val="left"/>
              <w:rPr>
                <w:lang w:val="en-US"/>
              </w:rPr>
            </w:pPr>
            <w:r>
              <w:rPr>
                <w:rFonts w:ascii="Liberation Serif" w:hAnsi="Liberation Serif"/>
                <w:sz w:val="24"/>
                <w:lang w:val="en-US"/>
              </w:rPr>
              <w:t>Harmonized Regulations</w:t>
            </w:r>
          </w:p>
        </w:tc>
        <w:tc>
          <w:tcPr>
            <w:tcW w:w="2872" w:type="dxa"/>
            <w:tcBorders/>
          </w:tcPr>
          <w:p>
            <w:pPr>
              <w:pStyle w:val="TableContents"/>
              <w:tabs>
                <w:tab w:val="clear" w:pos="709"/>
              </w:tabs>
              <w:bidi w:val="0"/>
              <w:jc w:val="left"/>
              <w:rPr>
                <w:lang w:val="en-US"/>
              </w:rPr>
            </w:pPr>
            <w:r>
              <w:rPr>
                <w:rFonts w:ascii="Liberation Serif" w:hAnsi="Liberation Serif"/>
                <w:sz w:val="24"/>
                <w:lang w:val="en-US"/>
              </w:rPr>
              <w:t>Companies and Allied Matters Act/Nigerian Code of Corporate Governance codes unification regulatory clarity</w:t>
            </w:r>
          </w:p>
        </w:tc>
        <w:tc>
          <w:tcPr>
            <w:tcW w:w="3064" w:type="dxa"/>
            <w:tcBorders/>
          </w:tcPr>
          <w:p>
            <w:pPr>
              <w:pStyle w:val="TableContents"/>
              <w:tabs>
                <w:tab w:val="clear" w:pos="709"/>
              </w:tabs>
              <w:bidi w:val="0"/>
              <w:jc w:val="left"/>
              <w:rPr>
                <w:lang w:val="en-US"/>
              </w:rPr>
            </w:pPr>
            <w:r>
              <w:rPr>
                <w:rFonts w:ascii="Liberation Serif" w:hAnsi="Liberation Serif"/>
                <w:sz w:val="24"/>
                <w:lang w:val="en-US"/>
              </w:rPr>
              <w:t>Selective compliance minimization disclosure boost</w:t>
            </w:r>
          </w:p>
        </w:tc>
        <w:tc>
          <w:tcPr>
            <w:tcW w:w="2614" w:type="dxa"/>
            <w:tcBorders/>
          </w:tcPr>
          <w:p>
            <w:pPr>
              <w:pStyle w:val="TableContents"/>
              <w:tabs>
                <w:tab w:val="clear" w:pos="709"/>
              </w:tabs>
              <w:bidi w:val="0"/>
              <w:jc w:val="left"/>
              <w:rPr>
                <w:lang w:val="en-US"/>
              </w:rPr>
            </w:pPr>
            <w:r>
              <w:rPr>
                <w:rFonts w:ascii="Liberation Serif" w:hAnsi="Liberation Serif"/>
                <w:sz w:val="24"/>
                <w:lang w:val="en-US"/>
              </w:rPr>
              <w:t>EU integrated frameworks EU 2019</w:t>
            </w:r>
          </w:p>
        </w:tc>
        <w:tc>
          <w:tcPr>
            <w:tcW w:w="2872" w:type="dxa"/>
            <w:tcBorders/>
          </w:tcPr>
          <w:p>
            <w:pPr>
              <w:pStyle w:val="TableContents"/>
              <w:tabs>
                <w:tab w:val="clear" w:pos="709"/>
              </w:tabs>
              <w:bidi w:val="0"/>
              <w:jc w:val="left"/>
              <w:rPr>
                <w:lang w:val="en-US"/>
              </w:rPr>
            </w:pPr>
            <w:r>
              <w:rPr>
                <w:rFonts w:ascii="Liberation Serif" w:hAnsi="Liberation Serif"/>
                <w:sz w:val="24"/>
                <w:lang w:val="en-US"/>
              </w:rPr>
              <w:t>Abdulmalik &amp; Ahmad 2020</w:t>
            </w:r>
          </w:p>
        </w:tc>
      </w:tr>
      <w:tr>
        <w:trPr/>
        <w:tc>
          <w:tcPr>
            <w:tcW w:w="2164" w:type="dxa"/>
            <w:tcBorders/>
          </w:tcPr>
          <w:p>
            <w:pPr>
              <w:pStyle w:val="TableContents"/>
              <w:tabs>
                <w:tab w:val="clear" w:pos="709"/>
              </w:tabs>
              <w:bidi w:val="0"/>
              <w:jc w:val="left"/>
              <w:rPr>
                <w:lang w:val="en-US"/>
              </w:rPr>
            </w:pPr>
            <w:r>
              <w:rPr>
                <w:rFonts w:ascii="Liberation Serif" w:hAnsi="Liberation Serif"/>
                <w:sz w:val="24"/>
                <w:lang w:val="en-US"/>
              </w:rPr>
              <w:t>Enhanced Data Validation</w:t>
            </w:r>
          </w:p>
        </w:tc>
        <w:tc>
          <w:tcPr>
            <w:tcW w:w="2872" w:type="dxa"/>
            <w:tcBorders/>
          </w:tcPr>
          <w:p>
            <w:pPr>
              <w:pStyle w:val="TableContents"/>
              <w:tabs>
                <w:tab w:val="clear" w:pos="709"/>
              </w:tabs>
              <w:bidi w:val="0"/>
              <w:jc w:val="left"/>
              <w:rPr>
                <w:lang w:val="en-US"/>
              </w:rPr>
            </w:pPr>
            <w:r>
              <w:rPr>
                <w:rFonts w:ascii="Liberation Serif" w:hAnsi="Liberation Serif"/>
                <w:sz w:val="24"/>
                <w:lang w:val="en-US"/>
              </w:rPr>
              <w:t>Non-performing loan reporting cross-audits mandate</w:t>
            </w:r>
          </w:p>
        </w:tc>
        <w:tc>
          <w:tcPr>
            <w:tcW w:w="3064" w:type="dxa"/>
            <w:tcBorders/>
          </w:tcPr>
          <w:p>
            <w:pPr>
              <w:pStyle w:val="TableContents"/>
              <w:tabs>
                <w:tab w:val="clear" w:pos="709"/>
              </w:tabs>
              <w:bidi w:val="0"/>
              <w:jc w:val="left"/>
              <w:rPr>
                <w:lang w:val="en-US"/>
              </w:rPr>
            </w:pPr>
            <w:r>
              <w:rPr>
                <w:rFonts w:ascii="Liberation Serif" w:hAnsi="Liberation Serif"/>
                <w:sz w:val="24"/>
                <w:lang w:val="en-US"/>
              </w:rPr>
              <w:t>Reliability amelioration audit committee independence support</w:t>
            </w:r>
          </w:p>
        </w:tc>
        <w:tc>
          <w:tcPr>
            <w:tcW w:w="2614" w:type="dxa"/>
            <w:tcBorders/>
          </w:tcPr>
          <w:p>
            <w:pPr>
              <w:pStyle w:val="TableContents"/>
              <w:tabs>
                <w:tab w:val="clear" w:pos="709"/>
              </w:tabs>
              <w:bidi w:val="0"/>
              <w:jc w:val="left"/>
              <w:rPr>
                <w:lang w:val="en-US"/>
              </w:rPr>
            </w:pPr>
            <w:r>
              <w:rPr>
                <w:rFonts w:ascii="Liberation Serif" w:hAnsi="Liberation Serif"/>
                <w:sz w:val="24"/>
                <w:lang w:val="en-US"/>
              </w:rPr>
              <w:t>International Financial Reporting Standard 9 loan classification IASB 2014</w:t>
            </w:r>
          </w:p>
        </w:tc>
        <w:tc>
          <w:tcPr>
            <w:tcW w:w="2872" w:type="dxa"/>
            <w:tcBorders/>
          </w:tcPr>
          <w:p>
            <w:pPr>
              <w:pStyle w:val="TableContents"/>
              <w:tabs>
                <w:tab w:val="clear" w:pos="709"/>
              </w:tabs>
              <w:bidi w:val="0"/>
              <w:jc w:val="left"/>
              <w:rPr>
                <w:lang w:val="en-US"/>
              </w:rPr>
            </w:pPr>
            <w:r>
              <w:rPr>
                <w:rFonts w:ascii="Liberation Serif" w:hAnsi="Liberation Serif"/>
                <w:sz w:val="24"/>
                <w:lang w:val="en-US"/>
              </w:rPr>
              <w:t>Olojede et al. 2020 Ojo &amp; Ojo 2024</w:t>
            </w:r>
          </w:p>
        </w:tc>
      </w:tr>
    </w:tbl>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Note: Adapted Adegboye 2020 Nwoko et al. 2022 Afolabi and Afolabi 2024. Reforms disclosure practice compliance audit committee independence address.</w:t>
      </w:r>
    </w:p>
    <w:p>
      <w:pPr>
        <w:pStyle w:val="Normal"/>
        <w:bidi w:val="0"/>
        <w:jc w:val="left"/>
        <w:rPr/>
      </w:pPr>
      <w:r>
        <w:rPr/>
      </w:r>
    </w:p>
    <w:p>
      <w:pPr>
        <w:sectPr>
          <w:type w:val="nextPage"/>
          <w:pgSz w:orient="landscape" w:w="15840" w:h="12240"/>
          <w:pgMar w:left="1134" w:right="1134" w:gutter="0" w:header="0" w:top="1134" w:footer="0" w:bottom="1134"/>
          <w:pgNumType w:fmt="decimal"/>
          <w:formProt w:val="false"/>
          <w:textDirection w:val="lrTb"/>
        </w:sectPr>
        <w:pStyle w:val="Heading4"/>
        <w:bidi w:val="0"/>
        <w:jc w:val="left"/>
        <w:rPr/>
      </w:pPr>
      <w:r>
        <w:rPr/>
      </w:r>
    </w:p>
    <w:p>
      <w:pPr>
        <w:pStyle w:val="Heading4"/>
        <w:bidi w:val="0"/>
        <w:jc w:val="left"/>
        <w:rPr/>
      </w:pPr>
      <w:r>
        <w:rPr/>
        <w:t>2.9.5 Ties to Corporate Governance Indices</w:t>
      </w:r>
    </w:p>
    <w:p>
      <w:pPr>
        <w:pStyle w:val="BodyText"/>
        <w:ind w:hanging="0" w:left="0" w:right="0"/>
        <w:rPr/>
      </w:pPr>
      <w:r>
        <w:rPr/>
        <w:t>The intricate interdependencies between corporate governance indices—encompassing disclosure through the Corporate Governance Disclosure Index, practice via the Practice Index, and compliance with the Compliance Index—and non-performing loan (NPL) ratios in Nigeria's deposit money banking (DMB) sector underscore systemic vulnerabilities that precipitate default risk escalation. Weak oversight mechanisms, particularly in disclosure regimes, have historically facilitated erosion of transparency and misreporting, thereby enabling unchecked managerial opportunism (Sanusi, 2009). Correspondingly, compliance indices, when undermined by unqualified management and insider abuses, perpetuate an environment conducive to lending distortions (Nwoko et al., 2022). Practice indices, characterised by lax lending protocols, propel systemic instability by attenuating risk management frameworks, directly contributing to NPL spikes (Owolabi, 2013; Adegboye, 2020). Building upon this foundation, audit committee independence emerges as a pivotal moderator; yet, in contexts of opaque data flows, its efficacy in mediating financial reporting integrity to reduce NPL ratios remains attenuated, as evidenced by the absence of robust pathways in Nigerian DMBs (Ojo &amp; Ojo, 2024). These interconnected failures not only highlight the exigency of integrated reforms but also align with institutional theory, wherein fragmented regulatory enforcement subverts governance apparatuses, amplifying agency conflicts and stewardship deficits.</w:t>
      </w:r>
    </w:p>
    <w:p>
      <w:pPr>
        <w:pStyle w:val="BodyText"/>
        <w:ind w:hanging="0" w:left="0" w:right="0"/>
        <w:rPr/>
      </w:pPr>
      <w:r>
        <w:rPr/>
        <w:t>Empirical scrutiny further elucidates NPL ratios as a critical proxy for default risk, propelled by governance deficiencies and regulatory multiplicity, culminating in peaks exceeding thirty-seven percent in 2009 and twenty percent in 2017 (Fernando et al., 2019; Natufe &amp; Evbayiro-Osagie, 2023; Adegboye, 2020; Nwosu, 2020). Recent data from April 2024 indicate a moderated ratio of five point six two percent, yet persistence underscores enduring structural frailties (CBN, 2024). Data reliability challenges, stemming from opaque reporting practices, necessitate cross-validation protocols to ensure accurate NPL measurement, thereby reinforcing the linkage between governance indices and credit risk outcomes (Olojede et al., 2020). The 2009 crisis, marked by systemic instability, catalysed alignment with global standards, exalting governance reforms as indispensable for default risk attenuation. This trajectory resonates with signalling theory, where enhanced disclosure indices signal creditor confidence, while institutional theory posits that regulatory harmonisation mitigates enforcement multiplicity.</w:t>
      </w:r>
    </w:p>
    <w:p>
      <w:pPr>
        <w:pStyle w:val="BodyText"/>
        <w:ind w:hanging="0" w:left="0" w:right="0"/>
        <w:rPr/>
      </w:pPr>
      <w:r>
        <w:rPr/>
        <w:t>In direct correspondence with the research questions, Research Question 1 and Hypothesis 1 posit a modulating effect of composite governance indices on NPL ratios, supported by longitudinal evidence of practice indices' role in risk enervation. Research Question 2 and Hypothesis 2 emphasise audit committee independence as a mediator via financial reporting integrity, a mechanism underexplored in pre-2024 Nigerian contexts. Research Question 3 and Hypothesis 3 frame disclosure indices within a difference-in-differences paradigm, interrogating pre- and post-reform shifts attributable to Central Bank of Nigeria (CBN) mandates. Finally, Research Question 4 and Hypothesis 4 address regulatory clarity as a causal antecedent to NPL declines. Recent studies reinforce these ties, illustrating how disclosure deficiencies perpetuate NPL escalation amid practice index lapses (Afolabi &amp; Afolabi, 2024). Comparative insights from Ghana and South Africa, where analogous indices have yielded NPL reductions post-Basel III adoption, underscore Nigeria's reform imperatives (OECD, 2023; World Bank, 2022).</w:t>
      </w:r>
    </w:p>
    <w:p>
      <w:pPr>
        <w:pStyle w:val="Heading4"/>
        <w:spacing w:before="0" w:after="283"/>
        <w:rPr/>
      </w:pPr>
      <w:r>
        <w:rPr/>
        <w:t>2.10 Conclusion</w:t>
      </w:r>
    </w:p>
    <w:p>
      <w:pPr>
        <w:pStyle w:val="BodyText"/>
        <w:ind w:hanging="0" w:left="0" w:right="0"/>
        <w:rPr/>
      </w:pPr>
      <w:r>
        <w:rPr/>
        <w:t>The literature review synthesises a comprehensive corpus of global and Nigerian studies, delineating corporate governance failures—exacerbated by regulatory multiplicity—as central drivers of elevated NPL ratios and systemic instability in the DMB sector (Udo, 2020; Nwosu, 2020; Adegboye, 2020). Historical legacies, fragmented regulatory frameworks, weak board oversight, audit committee deficiencies, practice index failures, and inadequate whistleblowing mechanisms collectively subvert default risk management, with profound implications for financial stability and Nigeria's economic growth (Sanusi, 2009; Abdulmalik &amp; Ahmad, 2020; Osemeke &amp; Adegbite, 2016). This synthesis challenges agency theory's assumptions of aligned incentives by evidencing persistent principal-agent divergences, while stewardship theory's emphasis on managerial benevolence is contradicted by insider abuses; institutional theory, conversely, provides a robust lens for understanding how coercive isomorphic pressures from reforms may attenuate these pathologies.</w:t>
      </w:r>
    </w:p>
    <w:p>
      <w:pPr>
        <w:pStyle w:val="BodyText"/>
        <w:ind w:hanging="0" w:left="0" w:right="0"/>
        <w:rPr/>
      </w:pPr>
      <w:r>
        <w:rPr/>
        <w:t>Addressing these governance challenges necessitates context-specific reforms aligned with OECD principles and Basel III frameworks, underscoring the exigency of global standards convergence for emerging markets like Nigeria (OECD, 2023; BCBS, 2010). The review previews the empirical methodology for testing hypotheses tied to the four research questions, setting the stage for subsequent analysis of governance-NPL interdependencies. Recent contributions integrate audit committee independence with financial reporting integrity mediation and practice indices, reinforcing the need for operational reforms in DMBs (Afolabi &amp; Afolabi, 2024; Ojo &amp; Ojo, 2024). Policy implications extend to managerial enhancements in disclosure credibility and regulatory harmonisation, while theoretical contributions synthesise agency, stewardship, and institutional paradigms to model NPL modulation.</w:t>
      </w:r>
    </w:p>
    <w:p>
      <w:pPr>
        <w:pStyle w:val="Heading4"/>
        <w:spacing w:before="0" w:after="283"/>
        <w:rPr/>
      </w:pPr>
      <w:r>
        <w:rPr/>
        <w:t>2.10.1 Key Governance Failures and Their Ties to Corporate Governance Indices</w:t>
      </w:r>
    </w:p>
    <w:p>
      <w:pPr>
        <w:pStyle w:val="BodyText"/>
        <w:ind w:hanging="0" w:left="0" w:right="0"/>
        <w:rPr/>
      </w:pPr>
      <w:r>
        <w:rPr/>
        <w:t>Extant literature on Nigerian governance failures traces trajectories to historical legacies, wherein pre-colonial customary systems were disrupted by the colonial Companies Ordinance of 1912, fostering post-independence regulatory multiplicity under frameworks such as the Companies and Allied Matters Act 2020 and the Nigerian Code of Corporate Governance 2018 (Elias, 2024; Agamah, 2024; Adegbite et al., 2012). These legacies engender weak compliance cultures, exacerbated by politically motivated appointments that propel insider lending and NPL escalation (Sanusi, 2009; Chinweoda et al., 2020). Regulatory multiplicity—manifest in conflicting directives from the Companies and Allied Matters Act 2020, Nigerian Code of Corporate Governance 2018, CBN Guidelines 2023, and Securities and Exchange Commission Code 2011—engenders ambiguity, enabling compliance evasion and NPL exacerbation (Abdulmalik &amp; Ahmad, 2020; Osemeke &amp; Adegbite, 2016).</w:t>
      </w:r>
    </w:p>
    <w:p>
      <w:pPr>
        <w:pStyle w:val="BodyText"/>
        <w:ind w:hanging="0" w:left="0" w:right="0"/>
        <w:rPr/>
      </w:pPr>
      <w:r>
        <w:rPr/>
        <w:t>Board inefficiencies further compound these issues, with sixty-one percent of DMBs lacking independent nomination committees, precipitating audit committee capture by shareholders and subversion of financial reporting integrity, thereby propelling default risk (Ogbechie, 2016; Adegbite, 2014; Olojede et al., 2020). Weak practice indices, coupled with inadequate whistleblowing mechanisms, facilitate financial misreporting and fraud concealment, as crystallised in post-consolidation crises (Adegboye, 2020; Olojede et al., 2020). Global literature advocates regulatory harmonisation and robust enforcement for consistency, with OECD (2023) and Aguilera and Cuervo-Cazurra (2004) emphasising independent risk systems; Basel III and European Union frameworks demonstrate efficacy through whistleblowing mandates, offering transferable lessons for Nigeria (BCBS, 2010; EU, 2019).</w:t>
      </w:r>
    </w:p>
    <w:p>
      <w:pPr>
        <w:pStyle w:val="BodyText"/>
        <w:ind w:hanging="0" w:left="0" w:right="0"/>
        <w:rPr/>
      </w:pPr>
      <w:r>
        <w:rPr/>
        <w:t>Post-consolidation studies from 2009 to 2024 reveal scarcity in addressing practice indices, audit committee independence, financial reporting integrity mediation, and regulatory clarity, underscoring research exigencies (Osita et al., 2019; Tsamenyi et al., 2007). Contemporary analyses illustrate how audit committee weaknesses perpetuate interconnected practice index deficiencies, mediating NPL pathways (Afolabi &amp; Afolabi, 2024; Ojo &amp; Ojo, 2024). Comparative perspectives from South Africa, where post-apartheid governance unification reduced NPLs via enhanced compliance indices, highlight Nigeria's potential through CBN-SEC harmonisation (World Bank, 2023). Theoretically, these failures synthesise agency conflicts with institutional voids, advocating stewardship enhancements via board tenure limits and independent vetting as per CBN 2014 Code and 2023 Guidelines.</w:t>
      </w:r>
    </w:p>
    <w:p>
      <w:pPr>
        <w:pStyle w:val="Normal"/>
        <w:bidi w:val="0"/>
        <w:jc w:val="left"/>
        <w:rPr/>
      </w:pPr>
      <w:r>
        <w:rPr/>
      </w:r>
    </w:p>
    <w:p>
      <w:pPr>
        <w:sectPr>
          <w:type w:val="nextPage"/>
          <w:pgSz w:w="12240" w:h="15840"/>
          <w:pgMar w:left="1134" w:right="1134" w:gutter="0" w:header="0" w:top="1134" w:footer="0" w:bottom="1134"/>
          <w:pgNumType w:fmt="decimal"/>
          <w:formProt w:val="false"/>
          <w:textDirection w:val="lrTb"/>
          <w:docGrid w:type="default" w:linePitch="312" w:charSpace="0"/>
        </w:sectPr>
        <w:pStyle w:val="BodyText"/>
        <w:bidi w:val="0"/>
        <w:jc w:val="left"/>
        <w:rPr/>
      </w:pPr>
      <w:r>
        <w:rPr/>
      </w:r>
    </w:p>
    <w:p>
      <w:pPr>
        <w:pStyle w:val="BodyText"/>
        <w:bidi w:val="0"/>
        <w:jc w:val="left"/>
        <w:rPr>
          <w:b/>
          <w:bCs/>
        </w:rPr>
      </w:pPr>
      <w:r>
        <w:rPr>
          <w:b/>
          <w:bCs/>
        </w:rPr>
        <w:t>Table 1.12: Interconnected Governance Failures in Nigerian Banking</w:t>
      </w:r>
    </w:p>
    <w:p>
      <w:pPr>
        <w:pStyle w:val="Normal"/>
        <w:bidi w:val="0"/>
        <w:jc w:val="left"/>
        <w:rPr/>
      </w:pPr>
      <w:r>
        <w:rPr/>
      </w:r>
    </w:p>
    <w:p>
      <w:pPr>
        <w:pStyle w:val="Normal"/>
        <w:bidi w:val="0"/>
        <w:jc w:val="left"/>
        <w:rPr/>
      </w:pPr>
      <w:r>
        <w:rPr/>
      </w:r>
    </w:p>
    <w:tbl>
      <w:tblPr>
        <w:tblW w:w="13594" w:type="dxa"/>
        <w:jc w:val="left"/>
        <w:tblInd w:w="36" w:type="dxa"/>
        <w:tblLayout w:type="fixed"/>
        <w:tblCellMar>
          <w:top w:w="0" w:type="dxa"/>
          <w:left w:w="36" w:type="dxa"/>
          <w:bottom w:w="0" w:type="dxa"/>
          <w:right w:w="36" w:type="dxa"/>
        </w:tblCellMar>
      </w:tblPr>
      <w:tblGrid>
        <w:gridCol w:w="1804"/>
        <w:gridCol w:w="3469"/>
        <w:gridCol w:w="3680"/>
        <w:gridCol w:w="3283"/>
        <w:gridCol w:w="1358"/>
      </w:tblGrid>
      <w:tr>
        <w:trPr/>
        <w:tc>
          <w:tcPr>
            <w:tcW w:w="1804" w:type="dxa"/>
            <w:tcBorders/>
          </w:tcPr>
          <w:p>
            <w:pPr>
              <w:pStyle w:val="TableHeading"/>
              <w:tabs>
                <w:tab w:val="clear" w:pos="709"/>
              </w:tabs>
              <w:bidi w:val="0"/>
              <w:rPr>
                <w:lang w:val="en-US"/>
              </w:rPr>
            </w:pPr>
            <w:r>
              <w:rPr>
                <w:rFonts w:ascii="Liberation Serif" w:hAnsi="Liberation Serif"/>
                <w:sz w:val="24"/>
                <w:lang w:val="en-US"/>
              </w:rPr>
              <w:t>Governance Failure</w:t>
            </w:r>
          </w:p>
        </w:tc>
        <w:tc>
          <w:tcPr>
            <w:tcW w:w="3469" w:type="dxa"/>
            <w:tcBorders/>
          </w:tcPr>
          <w:p>
            <w:pPr>
              <w:pStyle w:val="TableHeading"/>
              <w:tabs>
                <w:tab w:val="clear" w:pos="709"/>
              </w:tabs>
              <w:bidi w:val="0"/>
              <w:rPr>
                <w:lang w:val="en-US"/>
              </w:rPr>
            </w:pPr>
            <w:r>
              <w:rPr>
                <w:rFonts w:ascii="Liberation Serif" w:hAnsi="Liberation Serif"/>
                <w:sz w:val="24"/>
                <w:lang w:val="en-US"/>
              </w:rPr>
              <w:t>Description</w:t>
            </w:r>
          </w:p>
        </w:tc>
        <w:tc>
          <w:tcPr>
            <w:tcW w:w="3680" w:type="dxa"/>
            <w:tcBorders/>
          </w:tcPr>
          <w:p>
            <w:pPr>
              <w:pStyle w:val="TableHeading"/>
              <w:tabs>
                <w:tab w:val="clear" w:pos="709"/>
              </w:tabs>
              <w:bidi w:val="0"/>
              <w:rPr>
                <w:lang w:val="en-US"/>
              </w:rPr>
            </w:pPr>
            <w:r>
              <w:rPr>
                <w:rFonts w:ascii="Liberation Serif" w:hAnsi="Liberation Serif"/>
                <w:sz w:val="24"/>
                <w:lang w:val="en-US"/>
              </w:rPr>
              <w:t>Example from Literature</w:t>
            </w:r>
          </w:p>
        </w:tc>
        <w:tc>
          <w:tcPr>
            <w:tcW w:w="3283" w:type="dxa"/>
            <w:tcBorders/>
          </w:tcPr>
          <w:p>
            <w:pPr>
              <w:pStyle w:val="TableHeading"/>
              <w:tabs>
                <w:tab w:val="clear" w:pos="709"/>
              </w:tabs>
              <w:bidi w:val="0"/>
              <w:rPr>
                <w:lang w:val="en-US"/>
              </w:rPr>
            </w:pPr>
            <w:r>
              <w:rPr>
                <w:rFonts w:ascii="Liberation Serif" w:hAnsi="Liberation Serif"/>
                <w:sz w:val="24"/>
                <w:lang w:val="en-US"/>
              </w:rPr>
              <w:t>Link to Corporate Governance Indices</w:t>
            </w:r>
          </w:p>
        </w:tc>
        <w:tc>
          <w:tcPr>
            <w:tcW w:w="1358" w:type="dxa"/>
            <w:tcBorders/>
          </w:tcPr>
          <w:p>
            <w:pPr>
              <w:pStyle w:val="TableHeading"/>
              <w:tabs>
                <w:tab w:val="clear" w:pos="709"/>
              </w:tabs>
              <w:bidi w:val="0"/>
              <w:rPr>
                <w:lang w:val="en-US"/>
              </w:rPr>
            </w:pPr>
            <w:r>
              <w:rPr>
                <w:rFonts w:ascii="Liberation Serif" w:hAnsi="Liberation Serif"/>
                <w:sz w:val="24"/>
                <w:lang w:val="en-US"/>
              </w:rPr>
              <w:t>Source</w:t>
            </w:r>
          </w:p>
        </w:tc>
      </w:tr>
      <w:tr>
        <w:trPr/>
        <w:tc>
          <w:tcPr>
            <w:tcW w:w="1804" w:type="dxa"/>
            <w:tcBorders/>
          </w:tcPr>
          <w:p>
            <w:pPr>
              <w:pStyle w:val="TableContents"/>
              <w:tabs>
                <w:tab w:val="clear" w:pos="709"/>
              </w:tabs>
              <w:bidi w:val="0"/>
              <w:jc w:val="left"/>
              <w:rPr>
                <w:lang w:val="en-US"/>
              </w:rPr>
            </w:pPr>
            <w:r>
              <w:rPr>
                <w:rFonts w:ascii="Liberation Serif" w:hAnsi="Liberation Serif"/>
                <w:sz w:val="24"/>
                <w:lang w:val="en-US"/>
              </w:rPr>
              <w:t>Historical Legacies</w:t>
            </w:r>
          </w:p>
        </w:tc>
        <w:tc>
          <w:tcPr>
            <w:tcW w:w="3469" w:type="dxa"/>
            <w:tcBorders/>
          </w:tcPr>
          <w:p>
            <w:pPr>
              <w:pStyle w:val="TableContents"/>
              <w:tabs>
                <w:tab w:val="clear" w:pos="709"/>
              </w:tabs>
              <w:bidi w:val="0"/>
              <w:jc w:val="left"/>
              <w:rPr>
                <w:lang w:val="en-US"/>
              </w:rPr>
            </w:pPr>
            <w:r>
              <w:rPr>
                <w:rFonts w:ascii="Liberation Serif" w:hAnsi="Liberation Serif"/>
                <w:sz w:val="24"/>
                <w:lang w:val="en-US"/>
              </w:rPr>
              <w:t>Colonial disruptions post-independence fragmentation</w:t>
            </w:r>
          </w:p>
        </w:tc>
        <w:tc>
          <w:tcPr>
            <w:tcW w:w="3680" w:type="dxa"/>
            <w:tcBorders/>
          </w:tcPr>
          <w:p>
            <w:pPr>
              <w:pStyle w:val="TableContents"/>
              <w:tabs>
                <w:tab w:val="clear" w:pos="709"/>
              </w:tabs>
              <w:bidi w:val="0"/>
              <w:jc w:val="left"/>
              <w:rPr>
                <w:lang w:val="en-US"/>
              </w:rPr>
            </w:pPr>
            <w:r>
              <w:rPr>
                <w:rFonts w:ascii="Liberation Serif" w:hAnsi="Liberation Serif"/>
                <w:sz w:val="24"/>
                <w:lang w:val="en-US"/>
              </w:rPr>
              <w:t>Companies Ordinance 1912 cronyism propulsion</w:t>
            </w:r>
          </w:p>
        </w:tc>
        <w:tc>
          <w:tcPr>
            <w:tcW w:w="3283" w:type="dxa"/>
            <w:tcBorders/>
          </w:tcPr>
          <w:p>
            <w:pPr>
              <w:pStyle w:val="TableContents"/>
              <w:tabs>
                <w:tab w:val="clear" w:pos="709"/>
              </w:tabs>
              <w:bidi w:val="0"/>
              <w:jc w:val="left"/>
              <w:rPr>
                <w:lang w:val="en-US"/>
              </w:rPr>
            </w:pPr>
            <w:r>
              <w:rPr>
                <w:rFonts w:ascii="Liberation Serif" w:hAnsi="Liberation Serif"/>
                <w:sz w:val="24"/>
                <w:lang w:val="en-US"/>
              </w:rPr>
              <w:t>Disclosure enervation compliance patronage via enervation</w:t>
            </w:r>
          </w:p>
        </w:tc>
        <w:tc>
          <w:tcPr>
            <w:tcW w:w="1358" w:type="dxa"/>
            <w:tcBorders/>
          </w:tcPr>
          <w:p>
            <w:pPr>
              <w:pStyle w:val="TableContents"/>
              <w:tabs>
                <w:tab w:val="clear" w:pos="709"/>
              </w:tabs>
              <w:bidi w:val="0"/>
              <w:jc w:val="left"/>
              <w:rPr>
                <w:lang w:val="en-US"/>
              </w:rPr>
            </w:pPr>
            <w:r>
              <w:rPr>
                <w:rFonts w:ascii="Liberation Serif" w:hAnsi="Liberation Serif"/>
                <w:sz w:val="24"/>
                <w:lang w:val="en-US"/>
              </w:rPr>
              <w:t>Elias 2024 Agamah 2024</w:t>
            </w:r>
          </w:p>
        </w:tc>
      </w:tr>
      <w:tr>
        <w:trPr/>
        <w:tc>
          <w:tcPr>
            <w:tcW w:w="1804" w:type="dxa"/>
            <w:tcBorders/>
          </w:tcPr>
          <w:p>
            <w:pPr>
              <w:pStyle w:val="TableContents"/>
              <w:tabs>
                <w:tab w:val="clear" w:pos="709"/>
              </w:tabs>
              <w:bidi w:val="0"/>
              <w:jc w:val="left"/>
              <w:rPr>
                <w:lang w:val="en-US"/>
              </w:rPr>
            </w:pPr>
            <w:r>
              <w:rPr>
                <w:rFonts w:ascii="Liberation Serif" w:hAnsi="Liberation Serif"/>
                <w:sz w:val="24"/>
                <w:lang w:val="en-US"/>
              </w:rPr>
              <w:t>Regulatory Multiplicity</w:t>
            </w:r>
          </w:p>
        </w:tc>
        <w:tc>
          <w:tcPr>
            <w:tcW w:w="3469" w:type="dxa"/>
            <w:tcBorders/>
          </w:tcPr>
          <w:p>
            <w:pPr>
              <w:pStyle w:val="TableContents"/>
              <w:tabs>
                <w:tab w:val="clear" w:pos="709"/>
              </w:tabs>
              <w:bidi w:val="0"/>
              <w:jc w:val="left"/>
              <w:rPr>
                <w:lang w:val="en-US"/>
              </w:rPr>
            </w:pPr>
            <w:r>
              <w:rPr>
                <w:rFonts w:ascii="Liberation Serif" w:hAnsi="Liberation Serif"/>
                <w:sz w:val="24"/>
                <w:lang w:val="en-US"/>
              </w:rPr>
              <w:t>Conflicting codes Companies and Allied Matters Act 2020 Nigerian Code of Corporate Governance 2018 etc</w:t>
            </w:r>
          </w:p>
        </w:tc>
        <w:tc>
          <w:tcPr>
            <w:tcW w:w="3680" w:type="dxa"/>
            <w:tcBorders/>
          </w:tcPr>
          <w:p>
            <w:pPr>
              <w:pStyle w:val="TableContents"/>
              <w:tabs>
                <w:tab w:val="clear" w:pos="709"/>
              </w:tabs>
              <w:bidi w:val="0"/>
              <w:jc w:val="left"/>
              <w:rPr>
                <w:lang w:val="en-US"/>
              </w:rPr>
            </w:pPr>
            <w:r>
              <w:rPr>
                <w:rFonts w:ascii="Liberation Serif" w:hAnsi="Liberation Serif"/>
                <w:sz w:val="24"/>
                <w:lang w:val="en-US"/>
              </w:rPr>
              <w:t>Selective compliance fraud concealment enablement</w:t>
            </w:r>
          </w:p>
        </w:tc>
        <w:tc>
          <w:tcPr>
            <w:tcW w:w="3283" w:type="dxa"/>
            <w:tcBorders/>
          </w:tcPr>
          <w:p>
            <w:pPr>
              <w:pStyle w:val="TableContents"/>
              <w:tabs>
                <w:tab w:val="clear" w:pos="709"/>
              </w:tabs>
              <w:bidi w:val="0"/>
              <w:jc w:val="left"/>
              <w:rPr>
                <w:lang w:val="en-US"/>
              </w:rPr>
            </w:pPr>
            <w:r>
              <w:rPr>
                <w:rFonts w:ascii="Liberation Serif" w:hAnsi="Liberation Serif"/>
                <w:sz w:val="24"/>
                <w:lang w:val="en-US"/>
              </w:rPr>
              <w:t>Practice indices erosion disclosure compliance costs impact</w:t>
            </w:r>
          </w:p>
        </w:tc>
        <w:tc>
          <w:tcPr>
            <w:tcW w:w="1358" w:type="dxa"/>
            <w:tcBorders/>
          </w:tcPr>
          <w:p>
            <w:pPr>
              <w:pStyle w:val="TableContents"/>
              <w:tabs>
                <w:tab w:val="clear" w:pos="709"/>
              </w:tabs>
              <w:bidi w:val="0"/>
              <w:jc w:val="left"/>
              <w:rPr>
                <w:lang w:val="en-US"/>
              </w:rPr>
            </w:pPr>
            <w:r>
              <w:rPr>
                <w:rFonts w:ascii="Liberation Serif" w:hAnsi="Liberation Serif"/>
                <w:sz w:val="24"/>
                <w:lang w:val="en-US"/>
              </w:rPr>
              <w:t>Abdulmalik &amp; Ahmad 2020 Osemeke &amp; Adegbite 2016</w:t>
            </w:r>
          </w:p>
        </w:tc>
      </w:tr>
      <w:tr>
        <w:trPr/>
        <w:tc>
          <w:tcPr>
            <w:tcW w:w="1804" w:type="dxa"/>
            <w:tcBorders/>
          </w:tcPr>
          <w:p>
            <w:pPr>
              <w:pStyle w:val="TableContents"/>
              <w:tabs>
                <w:tab w:val="clear" w:pos="709"/>
              </w:tabs>
              <w:bidi w:val="0"/>
              <w:jc w:val="left"/>
              <w:rPr>
                <w:lang w:val="en-US"/>
              </w:rPr>
            </w:pPr>
            <w:r>
              <w:rPr>
                <w:rFonts w:ascii="Liberation Serif" w:hAnsi="Liberation Serif"/>
                <w:sz w:val="24"/>
                <w:lang w:val="en-US"/>
              </w:rPr>
              <w:t>Board Inefficiencies</w:t>
            </w:r>
          </w:p>
        </w:tc>
        <w:tc>
          <w:tcPr>
            <w:tcW w:w="3469" w:type="dxa"/>
            <w:tcBorders/>
          </w:tcPr>
          <w:p>
            <w:pPr>
              <w:pStyle w:val="TableContents"/>
              <w:tabs>
                <w:tab w:val="clear" w:pos="709"/>
              </w:tabs>
              <w:bidi w:val="0"/>
              <w:jc w:val="left"/>
              <w:rPr>
                <w:lang w:val="en-US"/>
              </w:rPr>
            </w:pPr>
            <w:r>
              <w:rPr>
                <w:rFonts w:ascii="Liberation Serif" w:hAnsi="Liberation Serif"/>
                <w:sz w:val="24"/>
                <w:lang w:val="en-US"/>
              </w:rPr>
              <w:t>Sixty-one percent nomination committees lack cronyism dominance</w:t>
            </w:r>
          </w:p>
        </w:tc>
        <w:tc>
          <w:tcPr>
            <w:tcW w:w="3680" w:type="dxa"/>
            <w:tcBorders/>
          </w:tcPr>
          <w:p>
            <w:pPr>
              <w:pStyle w:val="TableContents"/>
              <w:tabs>
                <w:tab w:val="clear" w:pos="709"/>
              </w:tabs>
              <w:bidi w:val="0"/>
              <w:jc w:val="left"/>
              <w:rPr>
                <w:lang w:val="en-US"/>
              </w:rPr>
            </w:pPr>
            <w:r>
              <w:rPr>
                <w:rFonts w:ascii="Liberation Serif" w:hAnsi="Liberation Serif"/>
                <w:sz w:val="24"/>
                <w:lang w:val="en-US"/>
              </w:rPr>
              <w:t>Oceanic Bank insider loans seventy-five percent non-performing loans</w:t>
            </w:r>
          </w:p>
        </w:tc>
        <w:tc>
          <w:tcPr>
            <w:tcW w:w="3283" w:type="dxa"/>
            <w:tcBorders/>
          </w:tcPr>
          <w:p>
            <w:pPr>
              <w:pStyle w:val="TableContents"/>
              <w:tabs>
                <w:tab w:val="clear" w:pos="709"/>
              </w:tabs>
              <w:bidi w:val="0"/>
              <w:jc w:val="left"/>
              <w:rPr>
                <w:lang w:val="en-US"/>
              </w:rPr>
            </w:pPr>
            <w:r>
              <w:rPr>
                <w:rFonts w:ascii="Liberation Serif" w:hAnsi="Liberation Serif"/>
                <w:sz w:val="24"/>
                <w:lang w:val="en-US"/>
              </w:rPr>
              <w:t>Audit committee independence compromise compliance reduction</w:t>
            </w:r>
          </w:p>
        </w:tc>
        <w:tc>
          <w:tcPr>
            <w:tcW w:w="1358" w:type="dxa"/>
            <w:tcBorders/>
          </w:tcPr>
          <w:p>
            <w:pPr>
              <w:pStyle w:val="TableContents"/>
              <w:tabs>
                <w:tab w:val="clear" w:pos="709"/>
              </w:tabs>
              <w:bidi w:val="0"/>
              <w:jc w:val="left"/>
              <w:rPr>
                <w:lang w:val="en-US"/>
              </w:rPr>
            </w:pPr>
            <w:r>
              <w:rPr>
                <w:rFonts w:ascii="Liberation Serif" w:hAnsi="Liberation Serif"/>
                <w:sz w:val="24"/>
                <w:lang w:val="en-US"/>
              </w:rPr>
              <w:t>Ogbechie 2016 Sanusi 2009</w:t>
            </w:r>
          </w:p>
        </w:tc>
      </w:tr>
      <w:tr>
        <w:trPr/>
        <w:tc>
          <w:tcPr>
            <w:tcW w:w="1804" w:type="dxa"/>
            <w:tcBorders/>
          </w:tcPr>
          <w:p>
            <w:pPr>
              <w:pStyle w:val="TableContents"/>
              <w:tabs>
                <w:tab w:val="clear" w:pos="709"/>
              </w:tabs>
              <w:bidi w:val="0"/>
              <w:jc w:val="left"/>
              <w:rPr>
                <w:lang w:val="en-US"/>
              </w:rPr>
            </w:pPr>
            <w:r>
              <w:rPr>
                <w:rFonts w:ascii="Liberation Serif" w:hAnsi="Liberation Serif"/>
                <w:sz w:val="24"/>
                <w:lang w:val="en-US"/>
              </w:rPr>
              <w:t>Audit Committee Deficiencies</w:t>
            </w:r>
          </w:p>
        </w:tc>
        <w:tc>
          <w:tcPr>
            <w:tcW w:w="3469" w:type="dxa"/>
            <w:tcBorders/>
          </w:tcPr>
          <w:p>
            <w:pPr>
              <w:pStyle w:val="TableContents"/>
              <w:tabs>
                <w:tab w:val="clear" w:pos="709"/>
              </w:tabs>
              <w:bidi w:val="0"/>
              <w:jc w:val="left"/>
              <w:rPr>
                <w:lang w:val="en-US"/>
              </w:rPr>
            </w:pPr>
            <w:r>
              <w:rPr>
                <w:rFonts w:ascii="Liberation Serif" w:hAnsi="Liberation Serif"/>
                <w:sz w:val="24"/>
                <w:lang w:val="en-US"/>
              </w:rPr>
              <w:t>Shareholder capture expertise lack</w:t>
            </w:r>
          </w:p>
        </w:tc>
        <w:tc>
          <w:tcPr>
            <w:tcW w:w="3680" w:type="dxa"/>
            <w:tcBorders/>
          </w:tcPr>
          <w:p>
            <w:pPr>
              <w:pStyle w:val="TableContents"/>
              <w:tabs>
                <w:tab w:val="clear" w:pos="709"/>
              </w:tabs>
              <w:bidi w:val="0"/>
              <w:jc w:val="left"/>
              <w:rPr>
                <w:lang w:val="en-US"/>
              </w:rPr>
            </w:pPr>
            <w:r>
              <w:rPr>
                <w:rFonts w:ascii="Liberation Serif" w:hAnsi="Liberation Serif"/>
                <w:sz w:val="24"/>
                <w:lang w:val="en-US"/>
              </w:rPr>
              <w:t>2009 crisis falsified statements</w:t>
            </w:r>
          </w:p>
        </w:tc>
        <w:tc>
          <w:tcPr>
            <w:tcW w:w="3283" w:type="dxa"/>
            <w:tcBorders/>
          </w:tcPr>
          <w:p>
            <w:pPr>
              <w:pStyle w:val="TableContents"/>
              <w:tabs>
                <w:tab w:val="clear" w:pos="709"/>
              </w:tabs>
              <w:bidi w:val="0"/>
              <w:jc w:val="left"/>
              <w:rPr>
                <w:lang w:val="en-US"/>
              </w:rPr>
            </w:pPr>
            <w:r>
              <w:rPr>
                <w:rFonts w:ascii="Liberation Serif" w:hAnsi="Liberation Serif"/>
                <w:sz w:val="24"/>
                <w:lang w:val="en-US"/>
              </w:rPr>
              <w:t>Disclosure financial reporting enervation</w:t>
            </w:r>
          </w:p>
        </w:tc>
        <w:tc>
          <w:tcPr>
            <w:tcW w:w="1358" w:type="dxa"/>
            <w:tcBorders/>
          </w:tcPr>
          <w:p>
            <w:pPr>
              <w:pStyle w:val="TableContents"/>
              <w:tabs>
                <w:tab w:val="clear" w:pos="709"/>
              </w:tabs>
              <w:bidi w:val="0"/>
              <w:jc w:val="left"/>
              <w:rPr>
                <w:lang w:val="en-US"/>
              </w:rPr>
            </w:pPr>
            <w:r>
              <w:rPr>
                <w:rFonts w:ascii="Liberation Serif" w:hAnsi="Liberation Serif"/>
                <w:sz w:val="24"/>
                <w:lang w:val="en-US"/>
              </w:rPr>
              <w:t>Adegbite 2014 Olojede et al. 2020</w:t>
            </w:r>
          </w:p>
        </w:tc>
      </w:tr>
      <w:tr>
        <w:trPr/>
        <w:tc>
          <w:tcPr>
            <w:tcW w:w="1804" w:type="dxa"/>
            <w:tcBorders/>
          </w:tcPr>
          <w:p>
            <w:pPr>
              <w:pStyle w:val="TableContents"/>
              <w:tabs>
                <w:tab w:val="clear" w:pos="709"/>
              </w:tabs>
              <w:bidi w:val="0"/>
              <w:jc w:val="left"/>
              <w:rPr>
                <w:lang w:val="en-US"/>
              </w:rPr>
            </w:pPr>
            <w:r>
              <w:rPr>
                <w:rFonts w:ascii="Liberation Serif" w:hAnsi="Liberation Serif"/>
                <w:sz w:val="24"/>
                <w:lang w:val="en-US"/>
              </w:rPr>
              <w:t>Practice Index Failures</w:t>
            </w:r>
          </w:p>
        </w:tc>
        <w:tc>
          <w:tcPr>
            <w:tcW w:w="3469" w:type="dxa"/>
            <w:tcBorders/>
          </w:tcPr>
          <w:p>
            <w:pPr>
              <w:pStyle w:val="TableContents"/>
              <w:tabs>
                <w:tab w:val="clear" w:pos="709"/>
              </w:tabs>
              <w:bidi w:val="0"/>
              <w:jc w:val="left"/>
              <w:rPr>
                <w:lang w:val="en-US"/>
              </w:rPr>
            </w:pPr>
            <w:r>
              <w:rPr>
                <w:rFonts w:ascii="Liberation Serif" w:hAnsi="Liberation Serif"/>
                <w:sz w:val="24"/>
                <w:lang w:val="en-US"/>
              </w:rPr>
              <w:t>Lax lending absent risk committees</w:t>
            </w:r>
          </w:p>
        </w:tc>
        <w:tc>
          <w:tcPr>
            <w:tcW w:w="3680" w:type="dxa"/>
            <w:tcBorders/>
          </w:tcPr>
          <w:p>
            <w:pPr>
              <w:pStyle w:val="TableContents"/>
              <w:tabs>
                <w:tab w:val="clear" w:pos="709"/>
              </w:tabs>
              <w:bidi w:val="0"/>
              <w:jc w:val="left"/>
              <w:rPr>
                <w:lang w:val="en-US"/>
              </w:rPr>
            </w:pPr>
            <w:r>
              <w:rPr>
                <w:rFonts w:ascii="Liberation Serif" w:hAnsi="Liberation Serif"/>
                <w:sz w:val="24"/>
                <w:lang w:val="en-US"/>
              </w:rPr>
              <w:t>Non-performing loans twenty percent 2017</w:t>
            </w:r>
          </w:p>
        </w:tc>
        <w:tc>
          <w:tcPr>
            <w:tcW w:w="3283" w:type="dxa"/>
            <w:tcBorders/>
          </w:tcPr>
          <w:p>
            <w:pPr>
              <w:pStyle w:val="TableContents"/>
              <w:tabs>
                <w:tab w:val="clear" w:pos="709"/>
              </w:tabs>
              <w:bidi w:val="0"/>
              <w:jc w:val="left"/>
              <w:rPr>
                <w:lang w:val="en-US"/>
              </w:rPr>
            </w:pPr>
            <w:r>
              <w:rPr>
                <w:rFonts w:ascii="Liberation Serif" w:hAnsi="Liberation Serif"/>
                <w:sz w:val="24"/>
                <w:lang w:val="en-US"/>
              </w:rPr>
              <w:t>Practice indices direct erosion overall stability impact</w:t>
            </w:r>
          </w:p>
        </w:tc>
        <w:tc>
          <w:tcPr>
            <w:tcW w:w="1358" w:type="dxa"/>
            <w:tcBorders/>
          </w:tcPr>
          <w:p>
            <w:pPr>
              <w:pStyle w:val="TableContents"/>
              <w:tabs>
                <w:tab w:val="clear" w:pos="709"/>
              </w:tabs>
              <w:bidi w:val="0"/>
              <w:jc w:val="left"/>
              <w:rPr>
                <w:lang w:val="en-US"/>
              </w:rPr>
            </w:pPr>
            <w:r>
              <w:rPr>
                <w:rFonts w:ascii="Liberation Serif" w:hAnsi="Liberation Serif"/>
                <w:sz w:val="24"/>
                <w:lang w:val="en-US"/>
              </w:rPr>
              <w:t>Adegboye 2020 Afolabi &amp; Afolabi 2024</w:t>
            </w:r>
          </w:p>
        </w:tc>
      </w:tr>
      <w:tr>
        <w:trPr/>
        <w:tc>
          <w:tcPr>
            <w:tcW w:w="1804" w:type="dxa"/>
            <w:tcBorders/>
          </w:tcPr>
          <w:p>
            <w:pPr>
              <w:pStyle w:val="TableContents"/>
              <w:tabs>
                <w:tab w:val="clear" w:pos="709"/>
              </w:tabs>
              <w:bidi w:val="0"/>
              <w:jc w:val="left"/>
              <w:rPr>
                <w:lang w:val="en-US"/>
              </w:rPr>
            </w:pPr>
            <w:r>
              <w:rPr>
                <w:rFonts w:ascii="Liberation Serif" w:hAnsi="Liberation Serif"/>
                <w:sz w:val="24"/>
                <w:lang w:val="en-US"/>
              </w:rPr>
              <w:t>Inadequate Whistleblowing</w:t>
            </w:r>
          </w:p>
        </w:tc>
        <w:tc>
          <w:tcPr>
            <w:tcW w:w="3469" w:type="dxa"/>
            <w:tcBorders/>
          </w:tcPr>
          <w:p>
            <w:pPr>
              <w:pStyle w:val="TableContents"/>
              <w:tabs>
                <w:tab w:val="clear" w:pos="709"/>
              </w:tabs>
              <w:bidi w:val="0"/>
              <w:jc w:val="left"/>
              <w:rPr>
                <w:lang w:val="en-US"/>
              </w:rPr>
            </w:pPr>
            <w:r>
              <w:rPr>
                <w:rFonts w:ascii="Liberation Serif" w:hAnsi="Liberation Serif"/>
                <w:sz w:val="24"/>
                <w:lang w:val="en-US"/>
              </w:rPr>
              <w:t>Protected channels lack suppressed reporting</w:t>
            </w:r>
          </w:p>
        </w:tc>
        <w:tc>
          <w:tcPr>
            <w:tcW w:w="3680" w:type="dxa"/>
            <w:tcBorders/>
          </w:tcPr>
          <w:p>
            <w:pPr>
              <w:pStyle w:val="TableContents"/>
              <w:tabs>
                <w:tab w:val="clear" w:pos="709"/>
              </w:tabs>
              <w:bidi w:val="0"/>
              <w:jc w:val="left"/>
              <w:rPr>
                <w:lang w:val="en-US"/>
              </w:rPr>
            </w:pPr>
            <w:r>
              <w:rPr>
                <w:rFonts w:ascii="Liberation Serif" w:hAnsi="Liberation Serif"/>
                <w:sz w:val="24"/>
                <w:lang w:val="en-US"/>
              </w:rPr>
              <w:t>Oceanic Bank fraud concealment</w:t>
            </w:r>
          </w:p>
        </w:tc>
        <w:tc>
          <w:tcPr>
            <w:tcW w:w="3283" w:type="dxa"/>
            <w:tcBorders/>
          </w:tcPr>
          <w:p>
            <w:pPr>
              <w:pStyle w:val="TableContents"/>
              <w:tabs>
                <w:tab w:val="clear" w:pos="709"/>
              </w:tabs>
              <w:bidi w:val="0"/>
              <w:jc w:val="left"/>
              <w:rPr>
                <w:lang w:val="en-US"/>
              </w:rPr>
            </w:pPr>
            <w:r>
              <w:rPr>
                <w:rFonts w:ascii="Liberation Serif" w:hAnsi="Liberation Serif"/>
                <w:sz w:val="24"/>
                <w:lang w:val="en-US"/>
              </w:rPr>
              <w:t>Disclosure reduction compliance gaps exacerbation</w:t>
            </w:r>
          </w:p>
        </w:tc>
        <w:tc>
          <w:tcPr>
            <w:tcW w:w="1358" w:type="dxa"/>
            <w:tcBorders/>
          </w:tcPr>
          <w:p>
            <w:pPr>
              <w:pStyle w:val="TableContents"/>
              <w:tabs>
                <w:tab w:val="clear" w:pos="709"/>
              </w:tabs>
              <w:bidi w:val="0"/>
              <w:jc w:val="left"/>
              <w:rPr>
                <w:lang w:val="en-US"/>
              </w:rPr>
            </w:pPr>
            <w:r>
              <w:rPr>
                <w:rFonts w:ascii="Liberation Serif" w:hAnsi="Liberation Serif"/>
                <w:sz w:val="24"/>
                <w:lang w:val="en-US"/>
              </w:rPr>
              <w:t>Olojede et al. 2020 Ojo &amp; Ojo 2024</w:t>
            </w:r>
          </w:p>
        </w:tc>
      </w:tr>
    </w:tbl>
    <w:p>
      <w:pPr>
        <w:pStyle w:val="Normal"/>
        <w:bidi w:val="0"/>
        <w:jc w:val="left"/>
        <w:rPr/>
      </w:pPr>
      <w:r>
        <w:rPr/>
      </w:r>
    </w:p>
    <w:p>
      <w:pPr>
        <w:pStyle w:val="Normal"/>
        <w:bidi w:val="0"/>
        <w:jc w:val="left"/>
        <w:rPr/>
      </w:pPr>
      <w:r>
        <w:rPr/>
      </w:r>
    </w:p>
    <w:p>
      <w:pPr>
        <w:pStyle w:val="Normal"/>
        <w:bidi w:val="0"/>
        <w:jc w:val="left"/>
        <w:rPr/>
      </w:pPr>
      <w:r>
        <w:rPr/>
      </w:r>
    </w:p>
    <w:p>
      <w:pPr>
        <w:sectPr>
          <w:type w:val="nextPage"/>
          <w:pgSz w:orient="landscape" w:w="15840" w:h="12240"/>
          <w:pgMar w:left="1134" w:right="1134" w:gutter="0" w:header="0" w:top="1134" w:footer="0" w:bottom="1134"/>
          <w:pgNumType w:fmt="decimal"/>
          <w:formProt w:val="false"/>
          <w:textDirection w:val="lrTb"/>
        </w:sectPr>
        <w:pStyle w:val="Normal"/>
        <w:bidi w:val="0"/>
        <w:jc w:val="left"/>
        <w:rPr/>
      </w:pPr>
      <w:r>
        <w:rPr/>
        <w:t>Note: Adapted Sanusi 2009 Adegbite 2014 Afolabi and Afolabi 2024. Table interconnections indices illustration one area failures others amplification board inefficiencies audit-committee independence financial-reporting integrity mediation practice indices enervation.</w:t>
      </w:r>
    </w:p>
    <w:p>
      <w:pPr>
        <w:pStyle w:val="Heading4"/>
        <w:bidi w:val="0"/>
        <w:jc w:val="left"/>
        <w:rPr/>
      </w:pPr>
      <w:r>
        <w:rPr/>
        <w:t>2.10.2 Theoretical and Empirical Insights from the Literature</w:t>
      </w:r>
    </w:p>
    <w:p>
      <w:pPr>
        <w:pStyle w:val="BodyText"/>
        <w:ind w:hanging="0" w:left="0" w:right="0"/>
        <w:rPr/>
      </w:pPr>
      <w:r>
        <w:rPr/>
        <w:t>The literature furnishes a robust theoretical scaffolding for interrogating the nexus between corporate governance mechanisms and non-performing loan (NPL) ratios, principally through agency theory, which posits that principal-agent conflicts precipitate insider abuses and governance lapses, thereby exacerbating default risks in banking institutions (Jensen &amp; Meckling, 1976). Board and audit committee deficiencies, in this paradigm, amplify information asymmetries, enabling managerial opportunism that manifests in elevated NPL ratios. Contrasting this, stewardship theory underscores the potential for ethical leadership and intrinsic motivation to align managerial actions with shareholder interests, yet empirical inquiries in emerging markets reveal missed opportunities where practice indices fail to operationalise such stewardship, resulting in persistent governance erosions (Donaldson &amp; Davis, 1991). Building upon this foundation, institutional theory elucidates how regulatory environments and normative pressures shape governance behaviours, with signalling theory further illuminating the role of disclosure in mitigating perceived risks by conveying credible commitments to stakeholders (Connelly et al., 2011).</w:t>
      </w:r>
    </w:p>
    <w:p>
      <w:pPr>
        <w:pStyle w:val="BodyText"/>
        <w:ind w:hanging="0" w:left="0" w:right="0"/>
        <w:rPr/>
      </w:pPr>
      <w:r>
        <w:rPr/>
        <w:t>Empirically, studies in the Nigerian context corroborate these theoretical tenets while highlighting contextual divergences from global benchmarks. Adegboye (2020) and Olojede et al. (2020) delineate NPL drivers, demonstrating that governance deficiencies account for substantial variance in loan performance, with contrasts to OECD (2023) and Basel Committee on Banking Supervision (BCBS, 2010) standards emphasising the attenuated role of regulatory harmonisation, disclosure, and compliance in curbing default risks. More recent contributions by Afolabi and Afolabi (2024) and Ojo and Ojo (2024) illustrate intersections between unqualified management, enfeebled whistleblowing mechanisms, and audit committee failures, which mediate financial reporting integrity and perpetuate deficiencies in practice indices. These inquiries, drawing on post-2014 data, reveal that audit committee independence attenuates NPL ratios by fostering reporting veracity, a mediated pathway underexplored in prior Nigerian scholarship. Correspondingly, comparative insights from Ghana and South Africa underscore the efficacy of stringent disclosure mandates in stabilising NPL trajectories, whereas Nigeria's fragmented enforcement yields suboptimal outcomes (Appiah et al., 2022; Rossouw &amp; Styan, 2019). This synthesis evidences that governance indices—disclosure, practice, and compliance—collectively modulate NPL ratios, with practice indices exhibiting the most pronounced influence in nascent markets.</w:t>
      </w:r>
    </w:p>
    <w:p>
      <w:pPr>
        <w:pStyle w:val="Heading4"/>
        <w:spacing w:before="0" w:after="283"/>
        <w:rPr/>
      </w:pPr>
      <w:r>
        <w:rPr/>
        <w:t>2.10.3 Implications for Methodology and Hypotheses Testing</w:t>
      </w:r>
    </w:p>
    <w:p>
      <w:pPr>
        <w:pStyle w:val="BodyText"/>
        <w:ind w:hanging="0" w:left="0" w:right="0"/>
        <w:rPr/>
      </w:pPr>
      <w:r>
        <w:rPr/>
        <w:t>Synthesising the literature, corporate governance indices emerge as theoretical constructs capable of mitigating aggregate agency costs in Nigerian deposit money banks (DMBs), though structural reforms under Basel II/III often falter absent behavioural embedding (Sanusi, 2010). Contemporary Nigerian empirics, employing integrated indices, explicate forty to fifty percent of NPL variance, with practice indices predominating in explanatory power (Ezeagba, 2024; Kafidipe et al., 2021). This evidences a consolidated hypothesis for Research Question 1: stronger indices—encompassing higher Corporate Governance Disclosure Index scores, elevated Bank Practice Scores, and robust Banking Compliance Index adherence—jointly precipitate reductions in NPL ratios, with practice indices demonstrating the largest magnitude and disclosure indices gaining potency post-2014 reforms, even after modulating for bank size, capital adequacy, and macroeconomic covariates such as gross domestic product growth, inflation, and oil prices.</w:t>
      </w:r>
    </w:p>
    <w:p>
      <w:pPr>
        <w:pStyle w:val="BodyText"/>
        <w:ind w:hanging="0" w:left="0" w:right="0"/>
        <w:rPr/>
      </w:pPr>
      <w:r>
        <w:rPr/>
        <w:t>Subsequent chapters operationalise this through panel regressions addressing Research Question 1, complemented by 2024 cross-sectional analyses for Research Questions 2 through 4, thereby contributing to nascent-market corporate governance discourse. The research methodology justifies a mixed-methods approach: quantitative components, including fixed-effects panel regressions, difference-in-differences estimators, and Hayes Process Model 4 for bootstrapped mediation, isolate causal associations with statistical rigour; qualitative elements, via semi-structured interviews and thematic analysis, elucidate underlying mechanisms, with triangulation achieved through joint displays in Chapter 4 (Table 4.9). This pragmatist paradigm harmonises positivist exactitude with interpretivist depth, ensuring data harvest from 160 bank-years (2009–2024) and 234 stakeholder perceptions across ten DMBs. Ethical rigour underpins the design, mandating informed consent, data anonymity, and compliance with the Nigeria Data Protection Act 2023.</w:t>
      </w:r>
    </w:p>
    <w:p>
      <w:pPr>
        <w:pStyle w:val="Heading4"/>
        <w:bidi w:val="0"/>
        <w:jc w:val="left"/>
        <w:rPr/>
      </w:pPr>
      <w:r>
        <w:rPr/>
        <w:t>2.10.4 Call for Context-Specific Reforms</w:t>
      </w:r>
    </w:p>
    <w:p>
      <w:pPr>
        <w:pStyle w:val="BodyText"/>
        <w:ind w:hanging="0" w:left="0" w:right="0"/>
        <w:rPr/>
      </w:pPr>
      <w:r>
        <w:rPr/>
        <w:t>The synthesis of extant literature underscores the pervasive corporate governance failures within Nigeria's deposit money banking sector, where regulatory multiplicity has precipitated elevated non-performing loan ratios and entrenched systemic instability. These dynamics emerge as central drivers of recurrent crises, evidenced by non-performing loan peaks reaching thirty-seven percent in 2009 and twenty percent in 2017, alongside broader institutional vulnerabilities (Udo, 2020; Nwosu, 2020; Adegboye, 2020). Building upon this foundation, the review integrates global and Nigerian empirical inquiries to illuminate historical legacies of fragmented regulatory frameworks, characterised by overlapping mandates between the Central Bank of Nigeria (CBN) and the Securities and Exchange Commission (SEC), which have exacerbated weak board oversight, audit committee deficiencies, practice index failures, and inadequate whistleblowing mechanisms. Such deficiencies directly contribute to heightened default risk, thereby subverting financial stability and impeding Nigeria's broader economic growth trajectory (Sanusi, 2009; Abdulmalik &amp; Ahmad, 2020; Osemeke &amp; Adegbite, 2016).</w:t>
      </w:r>
    </w:p>
    <w:p>
      <w:pPr>
        <w:pStyle w:val="BodyText"/>
        <w:ind w:hanging="0" w:left="0" w:right="0"/>
        <w:rPr/>
      </w:pPr>
      <w:r>
        <w:rPr/>
        <w:t>Correspondingly, the literature advocates for context-specific reforms tailored to the Nigerian deposit money banking sector, emphasising the exigency of aligning domestic practices with OECD principles and Basel III frameworks to mitigate governance erosions in emerging markets (OECD, 2023; BCBS, 2010). For instance, comparative analyses from Ghana and South Africa highlight the efficacy of unified regulatory oversight in attenuating non-performing loan ratios through enhanced disclosure credibility and board independence mandates, offering transferable insights amid Nigeria's post-2009 reform landscape (Tetteh &amp; Dziwornu, 2021; Rossouw &amp; Van Vuuren, 2018). These global benchmarks, when contextualised against Nigeria's institutional voids—such as enforcement multiplicity and informational asymmetries—reinforce the need for reforms that prioritise audit autonomy, disclosure enhancement via standardised indices, and regulatory harmonisation under the CBN Code of Corporate Governance 2014, the Nigerian Code of Corporate Governance 2018, the Companies and Allied Matters Act 2020, and the CBN Guidelines 2023.</w:t>
      </w:r>
    </w:p>
    <w:p>
      <w:pPr>
        <w:pStyle w:val="BodyText"/>
        <w:ind w:hanging="0" w:left="0" w:right="0"/>
        <w:rPr/>
      </w:pPr>
      <w:r>
        <w:rPr/>
        <w:t>This imperative for reform directly informs the present thesis, which addresses governance failures, regulatory multiplicity, and their interdependencies with non-performing loans. The reviewed scholarship supports the recapitulation of methodology and hypotheses testing, thereby previewing the empirical analysis in subsequent chapters. Recent investigations further amplify this call by advocating integrated approaches that link audit committee independence with financial reporting integrity as a mediated pathway to practice index reinforcement in bank operations (Afolabi &amp; Afolabi, 2024; Ojo &amp; Ojo, 2024). From an agency theory perspective, such mediation attenuates principal-agent conflicts by curbing opportunistic lending; stewardship theory posits intrinsic board motivations fostered through independence; while institutional theory frames regulatory clarity as a coercive isomorphism that legitimises governance practices amid economic shocks. Policy implications extend to managerial adoption of bootstrapped mediation models for internal audits and regulatory mandates for ≥50 percent independent directors, ultimately yielding practicable reductions in non-performing loan ratios. This evidences that context-specific reforms, grounded in post-2014 evolutions and Basel III convergence, are indispensable for fostering resilience in Nigeria's deposit money banks.</w:t>
      </w:r>
    </w:p>
    <w:p>
      <w:pPr>
        <w:pStyle w:val="Normal"/>
        <w:bidi w:val="0"/>
        <w:jc w:val="left"/>
        <w:rPr/>
      </w:pPr>
      <w:r>
        <w:rPr/>
      </w:r>
    </w:p>
    <w:p>
      <w:pPr>
        <w:sectPr>
          <w:type w:val="nextPage"/>
          <w:pgSz w:w="12240" w:h="15840"/>
          <w:pgMar w:left="1134" w:right="1134" w:gutter="0" w:header="0" w:top="1134" w:footer="0" w:bottom="1134"/>
          <w:pgNumType w:fmt="decimal"/>
          <w:formProt w:val="false"/>
          <w:textDirection w:val="lrTb"/>
          <w:docGrid w:type="default" w:linePitch="312" w:charSpace="0"/>
        </w:sectPr>
        <w:pStyle w:val="BodyText"/>
        <w:bidi w:val="0"/>
        <w:jc w:val="left"/>
        <w:rPr>
          <w:b/>
          <w:bCs/>
        </w:rPr>
      </w:pPr>
      <w:r>
        <w:rPr>
          <w:b/>
          <w:bCs/>
        </w:rPr>
      </w:r>
    </w:p>
    <w:p>
      <w:pPr>
        <w:pStyle w:val="BodyText"/>
        <w:bidi w:val="0"/>
        <w:jc w:val="left"/>
        <w:rPr>
          <w:b/>
          <w:bCs/>
        </w:rPr>
      </w:pPr>
      <w:r>
        <w:rPr>
          <w:b/>
          <w:bCs/>
        </w:rPr>
        <w:t>Table 1.13: Integrated Reform Framework for Nigerian Corporate Governanc</w:t>
      </w:r>
    </w:p>
    <w:p>
      <w:pPr>
        <w:pStyle w:val="Normal"/>
        <w:bidi w:val="0"/>
        <w:jc w:val="left"/>
        <w:rPr/>
      </w:pPr>
      <w:r>
        <w:rPr/>
      </w:r>
    </w:p>
    <w:p>
      <w:pPr>
        <w:pStyle w:val="Normal"/>
        <w:bidi w:val="0"/>
        <w:jc w:val="left"/>
        <w:rPr/>
      </w:pPr>
      <w:r>
        <w:rPr/>
      </w:r>
    </w:p>
    <w:tbl>
      <w:tblPr>
        <w:tblW w:w="13586" w:type="dxa"/>
        <w:jc w:val="left"/>
        <w:tblInd w:w="36" w:type="dxa"/>
        <w:tblLayout w:type="fixed"/>
        <w:tblCellMar>
          <w:top w:w="0" w:type="dxa"/>
          <w:left w:w="36" w:type="dxa"/>
          <w:bottom w:w="0" w:type="dxa"/>
          <w:right w:w="36" w:type="dxa"/>
        </w:tblCellMar>
      </w:tblPr>
      <w:tblGrid>
        <w:gridCol w:w="1829"/>
        <w:gridCol w:w="2403"/>
        <w:gridCol w:w="3054"/>
        <w:gridCol w:w="4500"/>
        <w:gridCol w:w="1800"/>
      </w:tblGrid>
      <w:tr>
        <w:trPr/>
        <w:tc>
          <w:tcPr>
            <w:tcW w:w="1829" w:type="dxa"/>
            <w:tcBorders/>
          </w:tcPr>
          <w:p>
            <w:pPr>
              <w:pStyle w:val="TableHeading"/>
              <w:tabs>
                <w:tab w:val="clear" w:pos="709"/>
              </w:tabs>
              <w:bidi w:val="0"/>
              <w:rPr>
                <w:lang w:val="en-US"/>
              </w:rPr>
            </w:pPr>
            <w:r>
              <w:rPr>
                <w:rFonts w:ascii="Liberation Serif" w:hAnsi="Liberation Serif"/>
                <w:sz w:val="24"/>
                <w:lang w:val="en-US"/>
              </w:rPr>
              <w:t>Corporate Governance Index</w:t>
            </w:r>
          </w:p>
        </w:tc>
        <w:tc>
          <w:tcPr>
            <w:tcW w:w="2403" w:type="dxa"/>
            <w:tcBorders/>
          </w:tcPr>
          <w:p>
            <w:pPr>
              <w:pStyle w:val="TableHeading"/>
              <w:tabs>
                <w:tab w:val="clear" w:pos="709"/>
              </w:tabs>
              <w:bidi w:val="0"/>
              <w:rPr>
                <w:lang w:val="en-US"/>
              </w:rPr>
            </w:pPr>
            <w:r>
              <w:rPr>
                <w:rFonts w:ascii="Liberation Serif" w:hAnsi="Liberation Serif"/>
                <w:sz w:val="24"/>
                <w:lang w:val="en-US"/>
              </w:rPr>
              <w:t>Key Challenge from Literature</w:t>
            </w:r>
          </w:p>
        </w:tc>
        <w:tc>
          <w:tcPr>
            <w:tcW w:w="3054" w:type="dxa"/>
            <w:tcBorders/>
          </w:tcPr>
          <w:p>
            <w:pPr>
              <w:pStyle w:val="TableHeading"/>
              <w:tabs>
                <w:tab w:val="clear" w:pos="709"/>
              </w:tabs>
              <w:bidi w:val="0"/>
              <w:rPr>
                <w:lang w:val="en-US"/>
              </w:rPr>
            </w:pPr>
            <w:r>
              <w:rPr>
                <w:rFonts w:ascii="Liberation Serif" w:hAnsi="Liberation Serif"/>
                <w:sz w:val="24"/>
                <w:lang w:val="en-US"/>
              </w:rPr>
              <w:t>Proposed Reform</w:t>
            </w:r>
          </w:p>
        </w:tc>
        <w:tc>
          <w:tcPr>
            <w:tcW w:w="4500" w:type="dxa"/>
            <w:tcBorders/>
          </w:tcPr>
          <w:p>
            <w:pPr>
              <w:pStyle w:val="TableHeading"/>
              <w:tabs>
                <w:tab w:val="clear" w:pos="709"/>
              </w:tabs>
              <w:bidi w:val="0"/>
              <w:rPr>
                <w:lang w:val="en-US"/>
              </w:rPr>
            </w:pPr>
            <w:r>
              <w:rPr>
                <w:rFonts w:ascii="Liberation Serif" w:hAnsi="Liberation Serif"/>
                <w:sz w:val="24"/>
                <w:lang w:val="en-US"/>
              </w:rPr>
              <w:t>Expected Outcome</w:t>
            </w:r>
          </w:p>
        </w:tc>
        <w:tc>
          <w:tcPr>
            <w:tcW w:w="1800" w:type="dxa"/>
            <w:tcBorders/>
          </w:tcPr>
          <w:p>
            <w:pPr>
              <w:pStyle w:val="TableHeading"/>
              <w:tabs>
                <w:tab w:val="clear" w:pos="709"/>
              </w:tabs>
              <w:bidi w:val="0"/>
              <w:rPr>
                <w:lang w:val="en-US"/>
              </w:rPr>
            </w:pPr>
            <w:r>
              <w:rPr>
                <w:rFonts w:ascii="Liberation Serif" w:hAnsi="Liberation Serif"/>
                <w:sz w:val="24"/>
                <w:lang w:val="en-US"/>
              </w:rPr>
              <w:t>Source</w:t>
            </w:r>
          </w:p>
        </w:tc>
      </w:tr>
      <w:tr>
        <w:trPr/>
        <w:tc>
          <w:tcPr>
            <w:tcW w:w="1829" w:type="dxa"/>
            <w:tcBorders/>
          </w:tcPr>
          <w:p>
            <w:pPr>
              <w:pStyle w:val="TableContents"/>
              <w:tabs>
                <w:tab w:val="clear" w:pos="709"/>
              </w:tabs>
              <w:bidi w:val="0"/>
              <w:jc w:val="left"/>
              <w:rPr>
                <w:lang w:val="en-US"/>
              </w:rPr>
            </w:pPr>
            <w:r>
              <w:rPr>
                <w:rFonts w:ascii="Liberation Serif" w:hAnsi="Liberation Serif"/>
                <w:sz w:val="24"/>
                <w:lang w:val="en-US"/>
              </w:rPr>
              <w:t>Disclosure</w:t>
            </w:r>
          </w:p>
        </w:tc>
        <w:tc>
          <w:tcPr>
            <w:tcW w:w="2403" w:type="dxa"/>
            <w:tcBorders/>
          </w:tcPr>
          <w:p>
            <w:pPr>
              <w:pStyle w:val="TableContents"/>
              <w:tabs>
                <w:tab w:val="clear" w:pos="709"/>
              </w:tabs>
              <w:bidi w:val="0"/>
              <w:jc w:val="left"/>
              <w:rPr>
                <w:lang w:val="en-US"/>
              </w:rPr>
            </w:pPr>
            <w:r>
              <w:rPr>
                <w:rFonts w:ascii="Liberation Serif" w:hAnsi="Liberation Serif"/>
                <w:sz w:val="24"/>
                <w:lang w:val="en-US"/>
              </w:rPr>
              <w:t>Fraud concealment opaque reporting</w:t>
            </w:r>
          </w:p>
        </w:tc>
        <w:tc>
          <w:tcPr>
            <w:tcW w:w="3054" w:type="dxa"/>
            <w:tcBorders/>
          </w:tcPr>
          <w:p>
            <w:pPr>
              <w:pStyle w:val="TableContents"/>
              <w:tabs>
                <w:tab w:val="clear" w:pos="709"/>
              </w:tabs>
              <w:bidi w:val="0"/>
              <w:jc w:val="left"/>
              <w:rPr>
                <w:lang w:val="en-US"/>
              </w:rPr>
            </w:pPr>
            <w:r>
              <w:rPr>
                <w:rFonts w:ascii="Liberation Serif" w:hAnsi="Liberation Serif"/>
                <w:sz w:val="24"/>
                <w:lang w:val="en-US"/>
              </w:rPr>
              <w:t>Mandatory whistleblowing protections</w:t>
            </w:r>
          </w:p>
        </w:tc>
        <w:tc>
          <w:tcPr>
            <w:tcW w:w="4500" w:type="dxa"/>
            <w:tcBorders/>
          </w:tcPr>
          <w:p>
            <w:pPr>
              <w:pStyle w:val="TableContents"/>
              <w:tabs>
                <w:tab w:val="clear" w:pos="709"/>
              </w:tabs>
              <w:bidi w:val="0"/>
              <w:jc w:val="left"/>
              <w:rPr>
                <w:lang w:val="en-US"/>
              </w:rPr>
            </w:pPr>
            <w:r>
              <w:rPr>
                <w:rFonts w:ascii="Liberation Serif" w:hAnsi="Liberation Serif"/>
                <w:sz w:val="24"/>
                <w:lang w:val="en-US"/>
              </w:rPr>
              <w:t>Misreporting reduction non-performing loans</w:t>
            </w:r>
          </w:p>
        </w:tc>
        <w:tc>
          <w:tcPr>
            <w:tcW w:w="1800" w:type="dxa"/>
            <w:tcBorders/>
          </w:tcPr>
          <w:p>
            <w:pPr>
              <w:pStyle w:val="TableContents"/>
              <w:tabs>
                <w:tab w:val="clear" w:pos="709"/>
              </w:tabs>
              <w:bidi w:val="0"/>
              <w:jc w:val="left"/>
              <w:rPr>
                <w:lang w:val="en-US"/>
              </w:rPr>
            </w:pPr>
            <w:r>
              <w:rPr>
                <w:rFonts w:ascii="Liberation Serif" w:hAnsi="Liberation Serif"/>
                <w:sz w:val="24"/>
                <w:lang w:val="en-US"/>
              </w:rPr>
              <w:t>Olojede et al. 2020 Ojo &amp; Ojo 2024</w:t>
            </w:r>
          </w:p>
        </w:tc>
      </w:tr>
      <w:tr>
        <w:trPr/>
        <w:tc>
          <w:tcPr>
            <w:tcW w:w="1829" w:type="dxa"/>
            <w:tcBorders/>
          </w:tcPr>
          <w:p>
            <w:pPr>
              <w:pStyle w:val="TableContents"/>
              <w:tabs>
                <w:tab w:val="clear" w:pos="709"/>
              </w:tabs>
              <w:bidi w:val="0"/>
              <w:jc w:val="left"/>
              <w:rPr>
                <w:lang w:val="en-US"/>
              </w:rPr>
            </w:pPr>
            <w:r>
              <w:rPr>
                <w:rFonts w:ascii="Liberation Serif" w:hAnsi="Liberation Serif"/>
                <w:sz w:val="24"/>
                <w:lang w:val="en-US"/>
              </w:rPr>
              <w:t>Compliance</w:t>
            </w:r>
          </w:p>
        </w:tc>
        <w:tc>
          <w:tcPr>
            <w:tcW w:w="2403" w:type="dxa"/>
            <w:tcBorders/>
          </w:tcPr>
          <w:p>
            <w:pPr>
              <w:pStyle w:val="TableContents"/>
              <w:tabs>
                <w:tab w:val="clear" w:pos="709"/>
              </w:tabs>
              <w:bidi w:val="0"/>
              <w:jc w:val="left"/>
              <w:rPr>
                <w:lang w:val="en-US"/>
              </w:rPr>
            </w:pPr>
            <w:r>
              <w:rPr>
                <w:rFonts w:ascii="Liberation Serif" w:hAnsi="Liberation Serif"/>
                <w:sz w:val="24"/>
                <w:lang w:val="en-US"/>
              </w:rPr>
              <w:t>Cronyism unqualified appointments</w:t>
            </w:r>
          </w:p>
        </w:tc>
        <w:tc>
          <w:tcPr>
            <w:tcW w:w="3054" w:type="dxa"/>
            <w:tcBorders/>
          </w:tcPr>
          <w:p>
            <w:pPr>
              <w:pStyle w:val="TableContents"/>
              <w:tabs>
                <w:tab w:val="clear" w:pos="709"/>
              </w:tabs>
              <w:bidi w:val="0"/>
              <w:jc w:val="left"/>
              <w:rPr>
                <w:lang w:val="en-US"/>
              </w:rPr>
            </w:pPr>
            <w:r>
              <w:rPr>
                <w:rFonts w:ascii="Liberation Serif" w:hAnsi="Liberation Serif"/>
                <w:sz w:val="24"/>
                <w:lang w:val="en-US"/>
              </w:rPr>
              <w:t>Independent nomination committees</w:t>
            </w:r>
          </w:p>
        </w:tc>
        <w:tc>
          <w:tcPr>
            <w:tcW w:w="4500" w:type="dxa"/>
            <w:tcBorders/>
          </w:tcPr>
          <w:p>
            <w:pPr>
              <w:pStyle w:val="TableContents"/>
              <w:tabs>
                <w:tab w:val="clear" w:pos="709"/>
              </w:tabs>
              <w:bidi w:val="0"/>
              <w:jc w:val="left"/>
              <w:rPr>
                <w:lang w:val="en-US"/>
              </w:rPr>
            </w:pPr>
            <w:r>
              <w:rPr>
                <w:rFonts w:ascii="Liberation Serif" w:hAnsi="Liberation Serif"/>
                <w:sz w:val="24"/>
                <w:lang w:val="en-US"/>
              </w:rPr>
              <w:t>Merit-based oversight exaltation</w:t>
            </w:r>
          </w:p>
        </w:tc>
        <w:tc>
          <w:tcPr>
            <w:tcW w:w="1800" w:type="dxa"/>
            <w:tcBorders/>
          </w:tcPr>
          <w:p>
            <w:pPr>
              <w:pStyle w:val="TableContents"/>
              <w:tabs>
                <w:tab w:val="clear" w:pos="709"/>
              </w:tabs>
              <w:bidi w:val="0"/>
              <w:jc w:val="left"/>
              <w:rPr>
                <w:lang w:val="en-US"/>
              </w:rPr>
            </w:pPr>
            <w:r>
              <w:rPr>
                <w:rFonts w:ascii="Liberation Serif" w:hAnsi="Liberation Serif"/>
                <w:sz w:val="24"/>
                <w:lang w:val="en-US"/>
              </w:rPr>
              <w:t>Ogbechie 2016 Afolabi &amp; Afolabi 2024</w:t>
            </w:r>
          </w:p>
        </w:tc>
      </w:tr>
      <w:tr>
        <w:trPr/>
        <w:tc>
          <w:tcPr>
            <w:tcW w:w="1829" w:type="dxa"/>
            <w:tcBorders/>
          </w:tcPr>
          <w:p>
            <w:pPr>
              <w:pStyle w:val="TableContents"/>
              <w:tabs>
                <w:tab w:val="clear" w:pos="709"/>
              </w:tabs>
              <w:bidi w:val="0"/>
              <w:jc w:val="left"/>
              <w:rPr>
                <w:lang w:val="en-US"/>
              </w:rPr>
            </w:pPr>
            <w:r>
              <w:rPr>
                <w:rFonts w:ascii="Liberation Serif" w:hAnsi="Liberation Serif"/>
                <w:sz w:val="24"/>
                <w:lang w:val="en-US"/>
              </w:rPr>
              <w:t>Practice Indices</w:t>
            </w:r>
          </w:p>
        </w:tc>
        <w:tc>
          <w:tcPr>
            <w:tcW w:w="2403" w:type="dxa"/>
            <w:tcBorders/>
          </w:tcPr>
          <w:p>
            <w:pPr>
              <w:pStyle w:val="TableContents"/>
              <w:tabs>
                <w:tab w:val="clear" w:pos="709"/>
              </w:tabs>
              <w:bidi w:val="0"/>
              <w:jc w:val="left"/>
              <w:rPr>
                <w:lang w:val="en-US"/>
              </w:rPr>
            </w:pPr>
            <w:r>
              <w:rPr>
                <w:rFonts w:ascii="Liberation Serif" w:hAnsi="Liberation Serif"/>
                <w:sz w:val="24"/>
                <w:lang w:val="en-US"/>
              </w:rPr>
              <w:t>Lax lending weak controls</w:t>
            </w:r>
          </w:p>
        </w:tc>
        <w:tc>
          <w:tcPr>
            <w:tcW w:w="3054" w:type="dxa"/>
            <w:tcBorders/>
          </w:tcPr>
          <w:p>
            <w:pPr>
              <w:pStyle w:val="TableContents"/>
              <w:tabs>
                <w:tab w:val="clear" w:pos="709"/>
              </w:tabs>
              <w:bidi w:val="0"/>
              <w:jc w:val="left"/>
              <w:rPr>
                <w:lang w:val="en-US"/>
              </w:rPr>
            </w:pPr>
            <w:r>
              <w:rPr>
                <w:rFonts w:ascii="Liberation Serif" w:hAnsi="Liberation Serif"/>
                <w:sz w:val="24"/>
                <w:lang w:val="en-US"/>
              </w:rPr>
              <w:t>Mandatory governance training executives</w:t>
            </w:r>
          </w:p>
        </w:tc>
        <w:tc>
          <w:tcPr>
            <w:tcW w:w="4500" w:type="dxa"/>
            <w:tcBorders/>
          </w:tcPr>
          <w:p>
            <w:pPr>
              <w:pStyle w:val="TableContents"/>
              <w:tabs>
                <w:tab w:val="clear" w:pos="709"/>
              </w:tabs>
              <w:bidi w:val="0"/>
              <w:jc w:val="left"/>
              <w:rPr>
                <w:lang w:val="en-US"/>
              </w:rPr>
            </w:pPr>
            <w:r>
              <w:rPr>
                <w:rFonts w:ascii="Liberation Serif" w:hAnsi="Liberation Serif"/>
                <w:sz w:val="24"/>
                <w:lang w:val="en-US"/>
              </w:rPr>
              <w:t>Ethical decision-making amelioration</w:t>
            </w:r>
          </w:p>
        </w:tc>
        <w:tc>
          <w:tcPr>
            <w:tcW w:w="1800" w:type="dxa"/>
            <w:tcBorders/>
          </w:tcPr>
          <w:p>
            <w:pPr>
              <w:pStyle w:val="TableContents"/>
              <w:tabs>
                <w:tab w:val="clear" w:pos="709"/>
              </w:tabs>
              <w:bidi w:val="0"/>
              <w:jc w:val="left"/>
              <w:rPr>
                <w:lang w:val="en-US"/>
              </w:rPr>
            </w:pPr>
            <w:r>
              <w:rPr>
                <w:rFonts w:ascii="Liberation Serif" w:hAnsi="Liberation Serif"/>
                <w:sz w:val="24"/>
                <w:lang w:val="en-US"/>
              </w:rPr>
              <w:t>Nwoko et al. 2022 Adegbite et al. 2012</w:t>
            </w:r>
          </w:p>
        </w:tc>
      </w:tr>
      <w:tr>
        <w:trPr/>
        <w:tc>
          <w:tcPr>
            <w:tcW w:w="1829" w:type="dxa"/>
            <w:tcBorders/>
          </w:tcPr>
          <w:p>
            <w:pPr>
              <w:pStyle w:val="TableContents"/>
              <w:tabs>
                <w:tab w:val="clear" w:pos="709"/>
              </w:tabs>
              <w:bidi w:val="0"/>
              <w:jc w:val="left"/>
              <w:rPr>
                <w:lang w:val="en-US"/>
              </w:rPr>
            </w:pPr>
            <w:r>
              <w:rPr>
                <w:rFonts w:ascii="Liberation Serif" w:hAnsi="Liberation Serif"/>
                <w:sz w:val="24"/>
                <w:lang w:val="en-US"/>
              </w:rPr>
              <w:t>Risk Management</w:t>
            </w:r>
          </w:p>
        </w:tc>
        <w:tc>
          <w:tcPr>
            <w:tcW w:w="2403" w:type="dxa"/>
            <w:tcBorders/>
          </w:tcPr>
          <w:p>
            <w:pPr>
              <w:pStyle w:val="TableContents"/>
              <w:tabs>
                <w:tab w:val="clear" w:pos="709"/>
              </w:tabs>
              <w:bidi w:val="0"/>
              <w:jc w:val="left"/>
              <w:rPr>
                <w:lang w:val="en-US"/>
              </w:rPr>
            </w:pPr>
            <w:r>
              <w:rPr>
                <w:rFonts w:ascii="Liberation Serif" w:hAnsi="Liberation Serif"/>
                <w:sz w:val="24"/>
                <w:lang w:val="en-US"/>
              </w:rPr>
              <w:t>Absent risk committees regulatory ambiguity</w:t>
            </w:r>
          </w:p>
        </w:tc>
        <w:tc>
          <w:tcPr>
            <w:tcW w:w="3054" w:type="dxa"/>
            <w:tcBorders/>
          </w:tcPr>
          <w:p>
            <w:pPr>
              <w:pStyle w:val="TableContents"/>
              <w:tabs>
                <w:tab w:val="clear" w:pos="709"/>
              </w:tabs>
              <w:bidi w:val="0"/>
              <w:jc w:val="left"/>
              <w:rPr>
                <w:lang w:val="en-US"/>
              </w:rPr>
            </w:pPr>
            <w:r>
              <w:rPr>
                <w:rFonts w:ascii="Liberation Serif" w:hAnsi="Liberation Serif"/>
                <w:sz w:val="24"/>
                <w:lang w:val="en-US"/>
              </w:rPr>
              <w:t>Harmonized regulations Basel III alignment</w:t>
            </w:r>
          </w:p>
        </w:tc>
        <w:tc>
          <w:tcPr>
            <w:tcW w:w="4500" w:type="dxa"/>
            <w:tcBorders/>
          </w:tcPr>
          <w:p>
            <w:pPr>
              <w:pStyle w:val="TableContents"/>
              <w:tabs>
                <w:tab w:val="clear" w:pos="709"/>
              </w:tabs>
              <w:bidi w:val="0"/>
              <w:jc w:val="left"/>
              <w:rPr>
                <w:lang w:val="en-US"/>
              </w:rPr>
            </w:pPr>
            <w:r>
              <w:rPr>
                <w:rFonts w:ascii="Liberation Serif" w:hAnsi="Liberation Serif"/>
                <w:sz w:val="24"/>
                <w:lang w:val="en-US"/>
              </w:rPr>
              <w:t>Credit assessment fortification</w:t>
            </w:r>
          </w:p>
        </w:tc>
        <w:tc>
          <w:tcPr>
            <w:tcW w:w="1800" w:type="dxa"/>
            <w:tcBorders/>
          </w:tcPr>
          <w:p>
            <w:pPr>
              <w:pStyle w:val="TableContents"/>
              <w:tabs>
                <w:tab w:val="clear" w:pos="709"/>
              </w:tabs>
              <w:bidi w:val="0"/>
              <w:jc w:val="left"/>
              <w:rPr>
                <w:lang w:val="en-US"/>
              </w:rPr>
            </w:pPr>
            <w:r>
              <w:rPr>
                <w:rFonts w:ascii="Liberation Serif" w:hAnsi="Liberation Serif"/>
                <w:sz w:val="24"/>
                <w:lang w:val="en-US"/>
              </w:rPr>
              <w:t>Adegboye 2020 BCBS 2010</w:t>
            </w:r>
          </w:p>
        </w:tc>
      </w:tr>
      <w:tr>
        <w:trPr/>
        <w:tc>
          <w:tcPr>
            <w:tcW w:w="1829" w:type="dxa"/>
            <w:tcBorders/>
          </w:tcPr>
          <w:p>
            <w:pPr>
              <w:pStyle w:val="TableContents"/>
              <w:tabs>
                <w:tab w:val="clear" w:pos="709"/>
              </w:tabs>
              <w:bidi w:val="0"/>
              <w:jc w:val="left"/>
              <w:rPr>
                <w:lang w:val="en-US"/>
              </w:rPr>
            </w:pPr>
            <w:r>
              <w:rPr>
                <w:rFonts w:ascii="Liberation Serif" w:hAnsi="Liberation Serif"/>
                <w:sz w:val="24"/>
                <w:lang w:val="en-US"/>
              </w:rPr>
              <w:t>Audit Committee Independence</w:t>
            </w:r>
          </w:p>
        </w:tc>
        <w:tc>
          <w:tcPr>
            <w:tcW w:w="2403" w:type="dxa"/>
            <w:tcBorders/>
          </w:tcPr>
          <w:p>
            <w:pPr>
              <w:pStyle w:val="TableContents"/>
              <w:tabs>
                <w:tab w:val="clear" w:pos="709"/>
              </w:tabs>
              <w:bidi w:val="0"/>
              <w:jc w:val="left"/>
              <w:rPr>
                <w:lang w:val="en-US"/>
              </w:rPr>
            </w:pPr>
            <w:r>
              <w:rPr>
                <w:rFonts w:ascii="Liberation Serif" w:hAnsi="Liberation Serif"/>
                <w:sz w:val="24"/>
                <w:lang w:val="en-US"/>
              </w:rPr>
              <w:t>Shareholder capture</w:t>
            </w:r>
          </w:p>
        </w:tc>
        <w:tc>
          <w:tcPr>
            <w:tcW w:w="3054" w:type="dxa"/>
            <w:tcBorders/>
          </w:tcPr>
          <w:p>
            <w:pPr>
              <w:pStyle w:val="TableContents"/>
              <w:tabs>
                <w:tab w:val="clear" w:pos="709"/>
              </w:tabs>
              <w:bidi w:val="0"/>
              <w:jc w:val="left"/>
              <w:rPr>
                <w:lang w:val="en-US"/>
              </w:rPr>
            </w:pPr>
            <w:r>
              <w:rPr>
                <w:rFonts w:ascii="Liberation Serif" w:hAnsi="Liberation Serif"/>
                <w:sz w:val="24"/>
                <w:lang w:val="en-US"/>
              </w:rPr>
              <w:t>Equal representation financial expertise mandates</w:t>
            </w:r>
          </w:p>
        </w:tc>
        <w:tc>
          <w:tcPr>
            <w:tcW w:w="4500" w:type="dxa"/>
            <w:tcBorders/>
          </w:tcPr>
          <w:p>
            <w:pPr>
              <w:pStyle w:val="TableContents"/>
              <w:tabs>
                <w:tab w:val="clear" w:pos="709"/>
              </w:tabs>
              <w:bidi w:val="0"/>
              <w:jc w:val="left"/>
              <w:rPr>
                <w:lang w:val="en-US"/>
              </w:rPr>
            </w:pPr>
            <w:r>
              <w:rPr>
                <w:rFonts w:ascii="Liberation Serif" w:hAnsi="Liberation Serif"/>
                <w:sz w:val="24"/>
                <w:lang w:val="en-US"/>
              </w:rPr>
              <w:t>Financial integrity bolster</w:t>
            </w:r>
          </w:p>
        </w:tc>
        <w:tc>
          <w:tcPr>
            <w:tcW w:w="1800" w:type="dxa"/>
            <w:tcBorders/>
          </w:tcPr>
          <w:p>
            <w:pPr>
              <w:pStyle w:val="TableContents"/>
              <w:tabs>
                <w:tab w:val="clear" w:pos="709"/>
              </w:tabs>
              <w:bidi w:val="0"/>
              <w:jc w:val="left"/>
              <w:rPr>
                <w:lang w:val="en-US"/>
              </w:rPr>
            </w:pPr>
            <w:r>
              <w:rPr>
                <w:rFonts w:ascii="Liberation Serif" w:hAnsi="Liberation Serif"/>
                <w:sz w:val="24"/>
                <w:lang w:val="en-US"/>
              </w:rPr>
              <w:t>Adegbite 2014 OECD 2023</w:t>
            </w:r>
          </w:p>
        </w:tc>
      </w:tr>
    </w:tbl>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Note: Adapted Adegbite 2014 Ojo &amp; Ojo 2024 Afolabi and Afolabi 2024. Reforms integrated indices holistic governance amelioration.</w:t>
      </w:r>
    </w:p>
    <w:p>
      <w:pPr>
        <w:pStyle w:val="Normal"/>
        <w:bidi w:val="0"/>
        <w:jc w:val="left"/>
        <w:rPr/>
      </w:pPr>
      <w:r>
        <w:rPr/>
      </w:r>
    </w:p>
    <w:p>
      <w:pPr>
        <w:pStyle w:val="Normal"/>
        <w:bidi w:val="0"/>
        <w:jc w:val="left"/>
        <w:rPr/>
      </w:pPr>
      <w:r>
        <w:rPr/>
      </w:r>
    </w:p>
    <w:p>
      <w:pPr>
        <w:pStyle w:val="Normal"/>
        <w:rPr>
          <w:color w:val="000000"/>
          <w:kern w:val="0"/>
        </w:rPr>
      </w:pPr>
      <w:r>
        <w:rPr>
          <w:color w:val="000000"/>
          <w:kern w:val="0"/>
        </w:rPr>
      </w:r>
    </w:p>
    <w:p>
      <w:pPr>
        <w:pStyle w:val="Normal"/>
        <w:rPr>
          <w:color w:val="000000"/>
          <w:kern w:val="0"/>
        </w:rPr>
      </w:pPr>
      <w:r>
        <w:rPr>
          <w:color w:val="000000"/>
          <w:kern w:val="0"/>
        </w:rPr>
      </w:r>
    </w:p>
    <w:p>
      <w:pPr>
        <w:pStyle w:val="Normal"/>
        <w:rPr>
          <w:color w:val="000000"/>
          <w:kern w:val="0"/>
        </w:rPr>
      </w:pPr>
      <w:r>
        <w:rPr>
          <w:color w:val="000000"/>
          <w:kern w:val="0"/>
        </w:rPr>
      </w:r>
    </w:p>
    <w:p>
      <w:pPr>
        <w:pStyle w:val="Normal"/>
        <w:rPr>
          <w:color w:val="000000"/>
          <w:kern w:val="0"/>
        </w:rPr>
      </w:pPr>
      <w:r>
        <w:rPr>
          <w:color w:val="000000"/>
          <w:kern w:val="0"/>
        </w:rPr>
      </w:r>
    </w:p>
    <w:p>
      <w:pPr>
        <w:pStyle w:val="Normal"/>
        <w:rPr>
          <w:color w:val="000000"/>
          <w:kern w:val="0"/>
        </w:rPr>
      </w:pPr>
      <w:r>
        <w:rPr>
          <w:color w:val="000000"/>
          <w:kern w:val="0"/>
        </w:rPr>
      </w:r>
    </w:p>
    <w:p>
      <w:pPr>
        <w:pStyle w:val="Normal"/>
        <w:rPr>
          <w:color w:val="000000"/>
          <w:kern w:val="0"/>
        </w:rPr>
      </w:pPr>
      <w:r>
        <w:rPr>
          <w:color w:val="000000"/>
          <w:kern w:val="0"/>
        </w:rPr>
      </w:r>
    </w:p>
    <w:p>
      <w:pPr>
        <w:pStyle w:val="Normal"/>
        <w:rPr>
          <w:color w:val="000000"/>
          <w:kern w:val="0"/>
        </w:rPr>
      </w:pPr>
      <w:r>
        <w:rPr>
          <w:color w:val="000000"/>
          <w:kern w:val="0"/>
        </w:rPr>
      </w:r>
    </w:p>
    <w:p>
      <w:pPr>
        <w:sectPr>
          <w:type w:val="nextPage"/>
          <w:pgSz w:orient="landscape" w:w="15840" w:h="12240"/>
          <w:pgMar w:left="1134" w:right="1134" w:gutter="0" w:header="0" w:top="1134" w:footer="0" w:bottom="1134"/>
          <w:pgNumType w:fmt="decimal"/>
          <w:formProt w:val="false"/>
          <w:textDirection w:val="lrTb"/>
        </w:sectPr>
        <w:pStyle w:val="Normal"/>
        <w:rPr>
          <w:color w:val="000000"/>
          <w:kern w:val="0"/>
        </w:rPr>
      </w:pPr>
      <w:r>
        <w:rPr>
          <w:color w:val="000000"/>
          <w:kern w:val="0"/>
        </w:rPr>
      </w:r>
    </w:p>
    <w:p>
      <w:pPr>
        <w:pStyle w:val="Normal"/>
        <w:rPr/>
      </w:pPr>
      <w:r>
        <w:rPr/>
        <w:t>Chapter 3: Methodology</w:t>
      </w:r>
    </w:p>
    <w:p>
      <w:pPr>
        <w:pStyle w:val="Author"/>
        <w:rPr/>
      </w:pPr>
      <w:r>
        <w:rPr/>
      </w:r>
    </w:p>
    <w:p>
      <w:pPr>
        <w:pStyle w:val="Normal"/>
        <w:rPr/>
      </w:pPr>
      <w:r>
        <w:rPr/>
        <w:t>3.0 Methodology</w:t>
      </w:r>
    </w:p>
    <w:p>
      <w:pPr>
        <w:pStyle w:val="FirstParagraph"/>
        <w:rPr/>
      </w:pPr>
      <w:r>
        <w:rPr/>
        <w:t>This chapter outlines the methodology used to address research questions one through four and objectives one through five. It aligns with the study’s pragmatic epistemology, which combines positivist quantitative rigor with interpretivist qualitative depth (Creswell &amp; Plano Clark, 2018). The design follows a convergent parallel mixed-methods paradigm, where quantitative and qualitative strands are collected at the same time, with priority given to quantitative data for RQ1 and RQ3, and qualitative data as a complement for RQ2 and RQ4. The strands are merged to form meta-inferences that provide a full understanding of corporate governance mechanisms and their effects on non-performing loan ratios in Nigeria’s deposit money banking sector. For RQ1, a quantitative longitudinal panel design uses secondary data from 2009 to 2024 to examine how governance pillars—disclosure via the Corporate Governance Disclosure Index, practice via the Practice Index, and compliance via the Compliance Index—affect NPL ratios, while controlling for institutional factors like capital adequacy and macroeconomic changes. For RQ2, a 2024 cross-sectional design applies Hayes Process Model 4 with 5,000 bootstraps to test if audit committee independence directly reduces NPL ratios and if this is partially mediated by improved financial reporting integrity as perceived by bank insiders. For RQ3, a difference-in-differences fixed-effects model for 2009–2024 assesses if the link between disclosure (Corporate Governance Disclosure Index) and NPL ratios shifts from insignificant pre-reform (2009–2014) to significantly negative post-reform (2016–2024), due to Central Bank of Nigeria mandates on board tenure (up to 12 years), at least 50% independent directors, and executive vetting, treated as a quasi-natural experiment.</w:t>
      </w:r>
    </w:p>
    <w:p>
      <w:pPr>
        <w:pStyle w:val="BodyText"/>
        <w:rPr/>
      </w:pPr>
      <w:r>
        <w:rPr/>
        <w:t xml:space="preserve">For RQ4, a 2024 cross-sectional design uses survey perceptions from 10 semi-structured interviews and panel forecasts for 2020–2025 to examine if improved regulatory clarity and enforcement consistency cause NPL declines (total effect </w:t>
      </w:r>
      <w:r>
        <w:rPr/>
      </w:r>
      <m:oMath xmlns:m="http://schemas.openxmlformats.org/officeDocument/2006/math">
        <m:r>
          <w:rPr>
            <w:rFonts w:ascii="Cambria Math" w:hAnsi="Cambria Math"/>
          </w:rPr>
          <m:t xml:space="preserve">β</m:t>
        </m:r>
      </m:oMath>
      <w:r>
        <w:rPr/>
        <w:t xml:space="preserve"> &lt; 0, p &lt; .05), with direct mediation by compliance efficacy, while controlling for economic shocks like devaluation and inflation. This dual approach enhances robustness: quantitative regressions isolate associations, while qualitative themes explain mechanisms. Triangulation occurs through joint displays in Chapter 4 (Table 4.9). Ethical standards include informed consent and data anonymity under the Nigeria Data Protection Act 2023.</w:t>
      </w:r>
    </w:p>
    <w:p>
      <w:pPr>
        <w:pStyle w:val="BodyText"/>
        <w:rPr/>
      </w:pPr>
      <w:r>
        <w:rPr/>
        <w:t>This chapter explains the methodological framework for examining corporate governance deficiencies at the board level in Nigerian deposit money banks, focusing on disclosure, practice, and compliance to reduce default risk measured by non-performing loan ratios. The mixed-methods approach integrates quantitative and qualitative data to dissect corporate governance pillars—disclosure (Corporate Governance Disclosure Index), practice (Operational Effectiveness Index), compliance (Banking Compliance Index), audit independence, and financial reporting integrity as perceived by insiders—in the post-2004 consolidation era. The methodology supports the research objectives by exploring how governance pillars, audit independence, and regulatory clarity influence non-performing loan ratios, proposing actionable reforms for Nigeria’s deposit money banking sector. It addresses gaps in post-consolidation analyses and aligns with the aim of strengthening fiscal resilience.</w:t>
      </w:r>
    </w:p>
    <w:p>
      <w:pPr>
        <w:sectPr>
          <w:type w:val="nextPage"/>
          <w:pgSz w:w="12240" w:h="15840"/>
          <w:pgMar w:left="1134" w:right="1134" w:gutter="0" w:header="0" w:top="1134" w:footer="0" w:bottom="1134"/>
          <w:pgNumType w:fmt="decimal"/>
          <w:formProt w:val="false"/>
          <w:textDirection w:val="lrTb"/>
          <w:docGrid w:type="default" w:linePitch="312" w:charSpace="0"/>
        </w:sectPr>
        <w:pStyle w:val="TableCaption"/>
        <w:rPr>
          <w:b/>
          <w:bCs/>
        </w:rPr>
      </w:pPr>
      <w:r>
        <w:rPr>
          <w:b/>
          <w:bCs/>
        </w:rPr>
      </w:r>
    </w:p>
    <w:p>
      <w:pPr>
        <w:pStyle w:val="TableCaption"/>
        <w:rPr>
          <w:b/>
          <w:bCs/>
          <w:sz w:val="24"/>
          <w:szCs w:val="24"/>
        </w:rPr>
      </w:pPr>
      <w:r>
        <w:rPr>
          <w:b/>
          <w:bCs/>
          <w:sz w:val="24"/>
          <w:szCs w:val="24"/>
        </w:rPr>
        <w:t>Table 3.1</w:t>
      </w:r>
      <w:r>
        <w:rPr>
          <w:b/>
          <w:bCs/>
          <w:sz w:val="24"/>
          <w:szCs w:val="24"/>
        </w:rPr>
        <w:t>Research Design Alignment with Research Questions</w:t>
      </w:r>
    </w:p>
    <w:tbl>
      <w:tblPr>
        <w:tblStyle w:val="Table"/>
        <w:tblW w:w="1358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80"/>
        <w:gridCol w:w="1800"/>
        <w:gridCol w:w="2160"/>
        <w:gridCol w:w="1800"/>
        <w:gridCol w:w="2240"/>
        <w:gridCol w:w="2700"/>
      </w:tblGrid>
      <w:tr>
        <w:trPr>
          <w:tblHeader w:val="true"/>
          <w:trHeight w:val="620" w:hRule="atLeast"/>
        </w:trPr>
        <w:tc>
          <w:tcPr>
            <w:tcW w:w="2880" w:type="dxa"/>
            <w:tcBorders>
              <w:bottom w:val="single" w:sz="6" w:space="0" w:color="000000"/>
            </w:tcBorders>
            <w:vAlign w:val="bottom"/>
          </w:tcPr>
          <w:p>
            <w:pPr>
              <w:pStyle w:val="Compact"/>
              <w:spacing w:before="36" w:after="36"/>
              <w:rPr>
                <w:sz w:val="24"/>
                <w:szCs w:val="24"/>
                <w:lang w:val="en-US" w:eastAsia="en-US" w:bidi="ar-SA"/>
              </w:rPr>
            </w:pPr>
            <w:r>
              <w:rPr>
                <w:sz w:val="24"/>
                <w:szCs w:val="24"/>
                <w:lang w:val="en-US" w:eastAsia="en-US" w:bidi="ar-SA"/>
              </w:rPr>
              <w:t>Research Question</w:t>
            </w:r>
          </w:p>
        </w:tc>
        <w:tc>
          <w:tcPr>
            <w:tcW w:w="1800" w:type="dxa"/>
            <w:tcBorders>
              <w:bottom w:val="single" w:sz="6" w:space="0" w:color="000000"/>
            </w:tcBorders>
            <w:vAlign w:val="bottom"/>
          </w:tcPr>
          <w:p>
            <w:pPr>
              <w:pStyle w:val="Compact"/>
              <w:spacing w:before="36" w:after="36"/>
              <w:rPr>
                <w:sz w:val="24"/>
                <w:szCs w:val="24"/>
                <w:lang w:val="en-US" w:eastAsia="en-US" w:bidi="ar-SA"/>
              </w:rPr>
            </w:pPr>
            <w:r>
              <w:rPr>
                <w:sz w:val="24"/>
                <w:szCs w:val="24"/>
                <w:lang w:val="en-US" w:eastAsia="en-US" w:bidi="ar-SA"/>
              </w:rPr>
              <w:t>Nature of Approach</w:t>
            </w:r>
          </w:p>
        </w:tc>
        <w:tc>
          <w:tcPr>
            <w:tcW w:w="2160" w:type="dxa"/>
            <w:tcBorders>
              <w:bottom w:val="single" w:sz="6" w:space="0" w:color="000000"/>
            </w:tcBorders>
            <w:vAlign w:val="bottom"/>
          </w:tcPr>
          <w:p>
            <w:pPr>
              <w:pStyle w:val="Compact"/>
              <w:spacing w:before="36" w:after="36"/>
              <w:rPr>
                <w:sz w:val="24"/>
                <w:szCs w:val="24"/>
                <w:lang w:val="en-US" w:eastAsia="en-US" w:bidi="ar-SA"/>
              </w:rPr>
            </w:pPr>
            <w:r>
              <w:rPr>
                <w:sz w:val="24"/>
                <w:szCs w:val="24"/>
                <w:lang w:val="en-US" w:eastAsia="en-US" w:bidi="ar-SA"/>
              </w:rPr>
              <w:t>Primary Data Source</w:t>
            </w:r>
          </w:p>
        </w:tc>
        <w:tc>
          <w:tcPr>
            <w:tcW w:w="1800" w:type="dxa"/>
            <w:tcBorders>
              <w:bottom w:val="single" w:sz="6" w:space="0" w:color="000000"/>
            </w:tcBorders>
            <w:vAlign w:val="bottom"/>
          </w:tcPr>
          <w:p>
            <w:pPr>
              <w:pStyle w:val="Compact"/>
              <w:spacing w:before="36" w:after="36"/>
              <w:rPr>
                <w:sz w:val="24"/>
                <w:szCs w:val="24"/>
                <w:lang w:val="en-US" w:eastAsia="en-US" w:bidi="ar-SA"/>
              </w:rPr>
            </w:pPr>
            <w:r>
              <w:rPr>
                <w:sz w:val="24"/>
                <w:szCs w:val="24"/>
                <w:lang w:val="en-US" w:eastAsia="en-US" w:bidi="ar-SA"/>
              </w:rPr>
              <w:t>Secondary Data Source</w:t>
            </w:r>
          </w:p>
        </w:tc>
        <w:tc>
          <w:tcPr>
            <w:tcW w:w="2240" w:type="dxa"/>
            <w:tcBorders>
              <w:bottom w:val="single" w:sz="6" w:space="0" w:color="000000"/>
            </w:tcBorders>
            <w:vAlign w:val="bottom"/>
          </w:tcPr>
          <w:p>
            <w:pPr>
              <w:pStyle w:val="Compact"/>
              <w:spacing w:before="36" w:after="36"/>
              <w:rPr>
                <w:sz w:val="24"/>
                <w:szCs w:val="24"/>
                <w:lang w:val="en-US" w:eastAsia="en-US" w:bidi="ar-SA"/>
              </w:rPr>
            </w:pPr>
            <w:r>
              <w:rPr>
                <w:sz w:val="24"/>
                <w:szCs w:val="24"/>
                <w:lang w:val="en-US" w:eastAsia="en-US" w:bidi="ar-SA"/>
              </w:rPr>
              <w:t>Analytical Strategy</w:t>
            </w:r>
          </w:p>
        </w:tc>
        <w:tc>
          <w:tcPr>
            <w:tcW w:w="2700" w:type="dxa"/>
            <w:tcBorders>
              <w:bottom w:val="single" w:sz="6" w:space="0" w:color="000000"/>
            </w:tcBorders>
            <w:vAlign w:val="bottom"/>
          </w:tcPr>
          <w:p>
            <w:pPr>
              <w:pStyle w:val="Compact"/>
              <w:spacing w:before="36" w:after="36"/>
              <w:rPr>
                <w:sz w:val="24"/>
                <w:szCs w:val="24"/>
                <w:lang w:val="en-US" w:eastAsia="en-US" w:bidi="ar-SA"/>
              </w:rPr>
            </w:pPr>
            <w:r>
              <w:rPr>
                <w:sz w:val="24"/>
                <w:szCs w:val="24"/>
                <w:lang w:val="en-US" w:eastAsia="en-US" w:bidi="ar-SA"/>
              </w:rPr>
              <w:t>Key Focus and Rationale</w:t>
            </w:r>
          </w:p>
        </w:tc>
      </w:tr>
      <w:tr>
        <w:trPr>
          <w:trHeight w:val="3588" w:hRule="atLeast"/>
        </w:trPr>
        <w:tc>
          <w:tcPr>
            <w:tcW w:w="2880" w:type="dxa"/>
            <w:tcBorders/>
          </w:tcPr>
          <w:p>
            <w:pPr>
              <w:pStyle w:val="Compact"/>
              <w:spacing w:before="36" w:after="36"/>
              <w:rPr>
                <w:sz w:val="24"/>
                <w:szCs w:val="24"/>
                <w:lang w:val="en-US" w:eastAsia="en-US" w:bidi="ar-SA"/>
              </w:rPr>
            </w:pPr>
            <w:r>
              <w:rPr>
                <w:sz w:val="24"/>
                <w:szCs w:val="24"/>
                <w:lang w:val="en-US" w:eastAsia="en-US" w:bidi="ar-SA"/>
              </w:rPr>
              <w:t>RQ1: Extent of CG indices (CGDI, Practice Index, Compliance Index) modulating NPL ratios in Nigerian DMBs 2009-2024, controlling for bank size, capital adequacy, macro factors (GDP growth, inflation, oil prices)?</w:t>
            </w:r>
          </w:p>
        </w:tc>
        <w:tc>
          <w:tcPr>
            <w:tcW w:w="1800" w:type="dxa"/>
            <w:tcBorders/>
          </w:tcPr>
          <w:p>
            <w:pPr>
              <w:pStyle w:val="Compact"/>
              <w:spacing w:before="36" w:after="36"/>
              <w:rPr>
                <w:sz w:val="24"/>
                <w:szCs w:val="24"/>
                <w:lang w:val="en-US" w:eastAsia="en-US" w:bidi="ar-SA"/>
              </w:rPr>
            </w:pPr>
            <w:r>
              <w:rPr>
                <w:sz w:val="24"/>
                <w:szCs w:val="24"/>
                <w:lang w:val="en-US" w:eastAsia="en-US" w:bidi="ar-SA"/>
              </w:rPr>
              <w:t>Longitudinal quantitative focusing on temporal associations</w:t>
            </w:r>
          </w:p>
        </w:tc>
        <w:tc>
          <w:tcPr>
            <w:tcW w:w="2160" w:type="dxa"/>
            <w:tcBorders/>
          </w:tcPr>
          <w:p>
            <w:pPr>
              <w:pStyle w:val="Compact"/>
              <w:spacing w:before="36" w:after="36"/>
              <w:rPr>
                <w:sz w:val="24"/>
                <w:szCs w:val="24"/>
                <w:lang w:val="en-US" w:eastAsia="en-US" w:bidi="ar-SA"/>
              </w:rPr>
            </w:pPr>
            <w:r>
              <w:rPr>
                <w:sz w:val="24"/>
                <w:szCs w:val="24"/>
                <w:lang w:val="en-US" w:eastAsia="en-US" w:bidi="ar-SA"/>
              </w:rPr>
              <w:t>Audited financials/regulatory reports from 10 DMBs (160 bank-year obs, 2009–2024); indices via checklists (e.g., board composition, CBN compliance)</w:t>
            </w:r>
          </w:p>
        </w:tc>
        <w:tc>
          <w:tcPr>
            <w:tcW w:w="1800" w:type="dxa"/>
            <w:tcBorders/>
          </w:tcPr>
          <w:p>
            <w:pPr>
              <w:pStyle w:val="Compact"/>
              <w:spacing w:before="36" w:after="36"/>
              <w:rPr>
                <w:sz w:val="24"/>
                <w:szCs w:val="24"/>
                <w:lang w:val="en-US" w:eastAsia="en-US" w:bidi="ar-SA"/>
              </w:rPr>
            </w:pPr>
            <w:r>
              <w:rPr>
                <w:sz w:val="24"/>
                <w:szCs w:val="24"/>
                <w:lang w:val="en-US" w:eastAsia="en-US" w:bidi="ar-SA"/>
              </w:rPr>
              <w:t>Macro indicators from World Bank/IMF (2009–2024): GDP rates, inflation, oil volatility</w:t>
            </w:r>
          </w:p>
        </w:tc>
        <w:tc>
          <w:tcPr>
            <w:tcW w:w="2240" w:type="dxa"/>
            <w:tcBorders/>
          </w:tcPr>
          <w:p>
            <w:pPr>
              <w:pStyle w:val="Compact"/>
              <w:spacing w:before="36" w:after="36"/>
              <w:rPr>
                <w:sz w:val="24"/>
                <w:szCs w:val="24"/>
                <w:lang w:val="en-US" w:eastAsia="en-US" w:bidi="ar-SA"/>
              </w:rPr>
            </w:pPr>
            <w:r>
              <w:rPr>
                <w:sz w:val="24"/>
                <w:szCs w:val="24"/>
                <w:lang w:val="en-US" w:eastAsia="en-US" w:bidi="ar-SA"/>
              </w:rPr>
              <w:t>Panel fixed-effects regressions with controls and robustness (e.g., heteroskedasticity-consistent SEs) for governance modulation</w:t>
            </w:r>
          </w:p>
        </w:tc>
        <w:tc>
          <w:tcPr>
            <w:tcW w:w="2700" w:type="dxa"/>
            <w:tcBorders/>
          </w:tcPr>
          <w:p>
            <w:pPr>
              <w:pStyle w:val="Compact"/>
              <w:spacing w:before="36" w:after="36"/>
              <w:rPr>
                <w:sz w:val="24"/>
                <w:szCs w:val="24"/>
                <w:lang w:val="en-US" w:eastAsia="en-US" w:bidi="ar-SA"/>
              </w:rPr>
            </w:pPr>
            <w:r>
              <w:rPr>
                <w:sz w:val="24"/>
                <w:szCs w:val="24"/>
                <w:lang w:val="en-US" w:eastAsia="en-US" w:bidi="ar-SA"/>
              </w:rPr>
              <w:t>Temporal dynamics of CG on default risk using post-2009 data; addresses endogeneity in opaque settings; grounded in institutional theory (Sanusi, 2014; Adegbite, 2014)</w:t>
            </w:r>
          </w:p>
        </w:tc>
      </w:tr>
      <w:tr>
        <w:trPr/>
        <w:tc>
          <w:tcPr>
            <w:tcW w:w="2880" w:type="dxa"/>
            <w:tcBorders/>
          </w:tcPr>
          <w:p>
            <w:pPr>
              <w:pStyle w:val="Compact"/>
              <w:spacing w:before="36" w:after="36"/>
              <w:rPr>
                <w:sz w:val="24"/>
                <w:szCs w:val="24"/>
                <w:lang w:val="en-US" w:eastAsia="en-US" w:bidi="ar-SA"/>
              </w:rPr>
            </w:pPr>
            <w:r>
              <w:rPr>
                <w:sz w:val="24"/>
                <w:szCs w:val="24"/>
                <w:lang w:val="en-US" w:eastAsia="en-US" w:bidi="ar-SA"/>
              </w:rPr>
              <w:t>RQ2: Degree of audit committee independence reducing 2024 NPL ratios in Nigerian DMBs, partially mediated by financial reporting integrity per bank insiders?</w:t>
            </w:r>
          </w:p>
        </w:tc>
        <w:tc>
          <w:tcPr>
            <w:tcW w:w="1800" w:type="dxa"/>
            <w:tcBorders/>
          </w:tcPr>
          <w:p>
            <w:pPr>
              <w:pStyle w:val="Compact"/>
              <w:spacing w:before="36" w:after="36"/>
              <w:rPr>
                <w:sz w:val="24"/>
                <w:szCs w:val="24"/>
                <w:lang w:val="en-US" w:eastAsia="en-US" w:bidi="ar-SA"/>
              </w:rPr>
            </w:pPr>
            <w:r>
              <w:rPr>
                <w:sz w:val="24"/>
                <w:szCs w:val="24"/>
                <w:lang w:val="en-US" w:eastAsia="en-US" w:bidi="ar-SA"/>
              </w:rPr>
              <w:t>Cross-sectional blended with quantitative measurement and perceptual insights</w:t>
            </w:r>
          </w:p>
        </w:tc>
        <w:tc>
          <w:tcPr>
            <w:tcW w:w="2160" w:type="dxa"/>
            <w:tcBorders/>
          </w:tcPr>
          <w:p>
            <w:pPr>
              <w:pStyle w:val="Compact"/>
              <w:spacing w:before="36" w:after="36"/>
              <w:rPr>
                <w:sz w:val="24"/>
                <w:szCs w:val="24"/>
                <w:lang w:val="en-US" w:eastAsia="en-US" w:bidi="ar-SA"/>
              </w:rPr>
            </w:pPr>
            <w:r>
              <w:rPr>
                <w:sz w:val="24"/>
                <w:szCs w:val="24"/>
                <w:lang w:val="en-US" w:eastAsia="en-US" w:bidi="ar-SA"/>
              </w:rPr>
              <w:t>Survey responses from 234 stakeholders in 10 DMBs (April 2024); 7-point Likert for audit independence (e.g., non-executive dominance) and reporting integrity (e.g., fraud efficacy)</w:t>
            </w:r>
          </w:p>
        </w:tc>
        <w:tc>
          <w:tcPr>
            <w:tcW w:w="1800" w:type="dxa"/>
            <w:tcBorders/>
          </w:tcPr>
          <w:p>
            <w:pPr>
              <w:pStyle w:val="Compact"/>
              <w:spacing w:before="36" w:after="36"/>
              <w:rPr>
                <w:sz w:val="24"/>
                <w:szCs w:val="24"/>
                <w:lang w:val="en-US" w:eastAsia="en-US" w:bidi="ar-SA"/>
              </w:rPr>
            </w:pPr>
            <w:r>
              <w:rPr>
                <w:sz w:val="24"/>
                <w:szCs w:val="24"/>
                <w:lang w:val="en-US" w:eastAsia="en-US" w:bidi="ar-SA"/>
              </w:rPr>
              <w:t>2024 NPL ratios from CBN bulletins, NDIC reports, DMB statements; 2009–2024 trends for benchmarking</w:t>
            </w:r>
          </w:p>
        </w:tc>
        <w:tc>
          <w:tcPr>
            <w:tcW w:w="2240" w:type="dxa"/>
            <w:tcBorders/>
          </w:tcPr>
          <w:p>
            <w:pPr>
              <w:pStyle w:val="Compact"/>
              <w:spacing w:before="36" w:after="36"/>
              <w:rPr>
                <w:sz w:val="24"/>
                <w:szCs w:val="24"/>
                <w:lang w:val="en-US" w:eastAsia="en-US" w:bidi="ar-SA"/>
              </w:rPr>
            </w:pPr>
            <w:r>
              <w:rPr>
                <w:sz w:val="24"/>
                <w:szCs w:val="24"/>
                <w:lang w:val="en-US" w:eastAsia="en-US" w:bidi="ar-SA"/>
              </w:rPr>
              <w:t>Bootstrapped mediation (Hayes Process Model 4) with bank controls for partial effects (e.g., indirect via reporting integrity)</w:t>
            </w:r>
          </w:p>
        </w:tc>
        <w:tc>
          <w:tcPr>
            <w:tcW w:w="2700" w:type="dxa"/>
            <w:tcBorders/>
          </w:tcPr>
          <w:p>
            <w:pPr>
              <w:pStyle w:val="Compact"/>
              <w:spacing w:before="36" w:after="36"/>
              <w:rPr>
                <w:sz w:val="24"/>
                <w:szCs w:val="24"/>
                <w:lang w:val="en-US" w:eastAsia="en-US" w:bidi="ar-SA"/>
              </w:rPr>
            </w:pPr>
            <w:r>
              <w:rPr>
                <w:sz w:val="24"/>
                <w:szCs w:val="24"/>
                <w:lang w:val="en-US" w:eastAsia="en-US" w:bidi="ar-SA"/>
              </w:rPr>
              <w:t>Mediation mechanisms in current settings; blends perceptions with metrics for audit role in misreporting mitigation; agency theory (Abdulmalik &amp; Ahmad, 2020)</w:t>
            </w:r>
          </w:p>
        </w:tc>
      </w:tr>
      <w:tr>
        <w:trPr/>
        <w:tc>
          <w:tcPr>
            <w:tcW w:w="2880" w:type="dxa"/>
            <w:tcBorders/>
          </w:tcPr>
          <w:p>
            <w:pPr>
              <w:pStyle w:val="Compact"/>
              <w:spacing w:before="36" w:after="36"/>
              <w:rPr>
                <w:sz w:val="24"/>
                <w:szCs w:val="24"/>
                <w:lang w:val="en-US" w:eastAsia="en-US" w:bidi="ar-SA"/>
              </w:rPr>
            </w:pPr>
            <w:r>
              <w:rPr>
                <w:sz w:val="24"/>
                <w:szCs w:val="24"/>
                <w:lang w:val="en-US" w:eastAsia="en-US" w:bidi="ar-SA"/>
              </w:rPr>
              <w:t>RQ3: Shift in CG disclosure-NPL link from insignificant pre-reform (2009–2014) to negative post-reform (2016–2024) due to CBN mandates (board tenure limits, ≥50% independent directors, executive vetting)?</w:t>
            </w:r>
          </w:p>
        </w:tc>
        <w:tc>
          <w:tcPr>
            <w:tcW w:w="1800" w:type="dxa"/>
            <w:tcBorders/>
          </w:tcPr>
          <w:p>
            <w:pPr>
              <w:pStyle w:val="Compact"/>
              <w:spacing w:before="36" w:after="36"/>
              <w:rPr>
                <w:sz w:val="24"/>
                <w:szCs w:val="24"/>
                <w:lang w:val="en-US" w:eastAsia="en-US" w:bidi="ar-SA"/>
              </w:rPr>
            </w:pPr>
            <w:r>
              <w:rPr>
                <w:sz w:val="24"/>
                <w:szCs w:val="24"/>
                <w:lang w:val="en-US" w:eastAsia="en-US" w:bidi="ar-SA"/>
              </w:rPr>
              <w:t>Longitudinal quantitative emphasizing shifts and reform impacts</w:t>
            </w:r>
          </w:p>
        </w:tc>
        <w:tc>
          <w:tcPr>
            <w:tcW w:w="2160" w:type="dxa"/>
            <w:tcBorders/>
          </w:tcPr>
          <w:p>
            <w:pPr>
              <w:pStyle w:val="Compact"/>
              <w:spacing w:before="36" w:after="36"/>
              <w:rPr>
                <w:sz w:val="24"/>
                <w:szCs w:val="24"/>
                <w:lang w:val="en-US" w:eastAsia="en-US" w:bidi="ar-SA"/>
              </w:rPr>
            </w:pPr>
            <w:r>
              <w:rPr>
                <w:sz w:val="24"/>
                <w:szCs w:val="24"/>
                <w:lang w:val="en-US" w:eastAsia="en-US" w:bidi="ar-SA"/>
              </w:rPr>
              <w:t>Panel data from 10 DMBs (160 bank-years, 2009–2024); disclosure indices from annual reports/compliance audits</w:t>
            </w:r>
          </w:p>
        </w:tc>
        <w:tc>
          <w:tcPr>
            <w:tcW w:w="1800" w:type="dxa"/>
            <w:tcBorders/>
          </w:tcPr>
          <w:p>
            <w:pPr>
              <w:pStyle w:val="Compact"/>
              <w:spacing w:before="36" w:after="36"/>
              <w:rPr>
                <w:sz w:val="24"/>
                <w:szCs w:val="24"/>
                <w:lang w:val="en-US" w:eastAsia="en-US" w:bidi="ar-SA"/>
              </w:rPr>
            </w:pPr>
            <w:r>
              <w:rPr>
                <w:sz w:val="24"/>
                <w:szCs w:val="24"/>
                <w:lang w:val="en-US" w:eastAsia="en-US" w:bidi="ar-SA"/>
              </w:rPr>
              <w:t>CBN reform docs (e.g., 2014 Code, 2023 Guidelines); macro controls from IMF/World Bank (2009–2024)</w:t>
            </w:r>
          </w:p>
        </w:tc>
        <w:tc>
          <w:tcPr>
            <w:tcW w:w="2240" w:type="dxa"/>
            <w:tcBorders/>
          </w:tcPr>
          <w:p>
            <w:pPr>
              <w:pStyle w:val="Compact"/>
              <w:spacing w:before="36" w:after="36"/>
              <w:rPr>
                <w:sz w:val="24"/>
                <w:szCs w:val="24"/>
                <w:lang w:val="en-US" w:eastAsia="en-US" w:bidi="ar-SA"/>
              </w:rPr>
            </w:pPr>
            <w:r>
              <w:rPr>
                <w:sz w:val="24"/>
                <w:szCs w:val="24"/>
                <w:lang w:val="en-US" w:eastAsia="en-US" w:bidi="ar-SA"/>
              </w:rPr>
              <w:t>Difference-in-differences model partitioning pre/post-reform; interaction terms for disclosure; robustness via propensity matching</w:t>
            </w:r>
          </w:p>
        </w:tc>
        <w:tc>
          <w:tcPr>
            <w:tcW w:w="2700" w:type="dxa"/>
            <w:tcBorders/>
          </w:tcPr>
          <w:p>
            <w:pPr>
              <w:pStyle w:val="Compact"/>
              <w:spacing w:before="36" w:after="36"/>
              <w:rPr>
                <w:sz w:val="24"/>
                <w:szCs w:val="24"/>
                <w:lang w:val="en-US" w:eastAsia="en-US" w:bidi="ar-SA"/>
              </w:rPr>
            </w:pPr>
            <w:r>
              <w:rPr>
                <w:sz w:val="24"/>
                <w:szCs w:val="24"/>
                <w:lang w:val="en-US" w:eastAsia="en-US" w:bidi="ar-SA"/>
              </w:rPr>
              <w:t>Reform activation of disclosure for causality in institutional contexts; tests strengthened associations; signaling theory (Olojede et al., 2020; OECD, 2023)</w:t>
            </w:r>
          </w:p>
        </w:tc>
      </w:tr>
      <w:tr>
        <w:trPr/>
        <w:tc>
          <w:tcPr>
            <w:tcW w:w="2880" w:type="dxa"/>
            <w:tcBorders/>
          </w:tcPr>
          <w:p>
            <w:pPr>
              <w:pStyle w:val="Compact"/>
              <w:spacing w:before="36" w:after="36"/>
              <w:rPr>
                <w:sz w:val="24"/>
                <w:szCs w:val="24"/>
                <w:lang w:val="en-US" w:eastAsia="en-US" w:bidi="ar-SA"/>
              </w:rPr>
            </w:pPr>
            <w:r>
              <w:rPr>
                <w:sz w:val="24"/>
                <w:szCs w:val="24"/>
                <w:lang w:val="en-US" w:eastAsia="en-US" w:bidi="ar-SA"/>
              </w:rPr>
              <w:t>RQ4: Extent of perceived regulatory clarity from CBN/SEC harmonization (2020–2025) causing NPL declines (β &lt; 0, p &lt; .05), controlling for shocks (devaluation, inflation)?</w:t>
            </w:r>
          </w:p>
        </w:tc>
        <w:tc>
          <w:tcPr>
            <w:tcW w:w="1800" w:type="dxa"/>
            <w:tcBorders/>
          </w:tcPr>
          <w:p>
            <w:pPr>
              <w:pStyle w:val="Compact"/>
              <w:spacing w:before="36" w:after="36"/>
              <w:rPr>
                <w:sz w:val="24"/>
                <w:szCs w:val="24"/>
                <w:lang w:val="en-US" w:eastAsia="en-US" w:bidi="ar-SA"/>
              </w:rPr>
            </w:pPr>
            <w:r>
              <w:rPr>
                <w:sz w:val="24"/>
                <w:szCs w:val="24"/>
                <w:lang w:val="en-US" w:eastAsia="en-US" w:bidi="ar-SA"/>
              </w:rPr>
              <w:t>Cross-sectional blended prioritizing perceptual/interpretive depth</w:t>
            </w:r>
          </w:p>
        </w:tc>
        <w:tc>
          <w:tcPr>
            <w:tcW w:w="2160" w:type="dxa"/>
            <w:tcBorders/>
          </w:tcPr>
          <w:p>
            <w:pPr>
              <w:pStyle w:val="Compact"/>
              <w:spacing w:before="36" w:after="36"/>
              <w:rPr>
                <w:sz w:val="24"/>
                <w:szCs w:val="24"/>
                <w:lang w:val="en-US" w:eastAsia="en-US" w:bidi="ar-SA"/>
              </w:rPr>
            </w:pPr>
            <w:r>
              <w:rPr>
                <w:sz w:val="24"/>
                <w:szCs w:val="24"/>
                <w:lang w:val="en-US" w:eastAsia="en-US" w:bidi="ar-SA"/>
              </w:rPr>
              <w:t>Survey data from 234 stakeholders (April 2024) on harmonization (e.g., Likert on CBN-SEC efficacy); 10 executive interviews for elaboration</w:t>
            </w:r>
          </w:p>
        </w:tc>
        <w:tc>
          <w:tcPr>
            <w:tcW w:w="1800" w:type="dxa"/>
            <w:tcBorders/>
          </w:tcPr>
          <w:p>
            <w:pPr>
              <w:pStyle w:val="Compact"/>
              <w:spacing w:before="36" w:after="36"/>
              <w:rPr>
                <w:sz w:val="24"/>
                <w:szCs w:val="24"/>
                <w:lang w:val="en-US" w:eastAsia="en-US" w:bidi="ar-SA"/>
              </w:rPr>
            </w:pPr>
            <w:r>
              <w:rPr>
                <w:sz w:val="24"/>
                <w:szCs w:val="24"/>
                <w:lang w:val="en-US" w:eastAsia="en-US" w:bidi="ar-SA"/>
              </w:rPr>
              <w:t>2020–2025 NPL ratios/shock indicators (e.g., naira devaluation) from CBN bulletins, NDIC reports, IMF data</w:t>
            </w:r>
          </w:p>
        </w:tc>
        <w:tc>
          <w:tcPr>
            <w:tcW w:w="2240" w:type="dxa"/>
            <w:tcBorders/>
          </w:tcPr>
          <w:p>
            <w:pPr>
              <w:pStyle w:val="Compact"/>
              <w:spacing w:before="36" w:after="36"/>
              <w:rPr>
                <w:sz w:val="24"/>
                <w:szCs w:val="24"/>
                <w:lang w:val="en-US" w:eastAsia="en-US" w:bidi="ar-SA"/>
              </w:rPr>
            </w:pPr>
            <w:r>
              <w:rPr>
                <w:sz w:val="24"/>
                <w:szCs w:val="24"/>
                <w:lang w:val="en-US" w:eastAsia="en-US" w:bidi="ar-SA"/>
              </w:rPr>
              <w:t>Integrated regression/thematic analysis; bootstrapped coefficients for causal inference on clarity; fixed effects for shocks</w:t>
            </w:r>
          </w:p>
        </w:tc>
        <w:tc>
          <w:tcPr>
            <w:tcW w:w="2700" w:type="dxa"/>
            <w:tcBorders/>
          </w:tcPr>
          <w:p>
            <w:pPr>
              <w:pStyle w:val="Compact"/>
              <w:spacing w:before="36" w:after="36"/>
              <w:rPr>
                <w:sz w:val="24"/>
                <w:szCs w:val="24"/>
                <w:lang w:val="en-US" w:eastAsia="en-US" w:bidi="ar-SA"/>
              </w:rPr>
            </w:pPr>
            <w:r>
              <w:rPr>
                <w:sz w:val="24"/>
                <w:szCs w:val="24"/>
                <w:lang w:val="en-US" w:eastAsia="en-US" w:bidi="ar-SA"/>
              </w:rPr>
              <w:t>Perceptual improvements with empirical declines; policy insights on harmonization in fragmentation; stewardship/institutional theories (Natufe &amp; Evbayiro-Osagie, 2023; CBN, 2023)</w:t>
            </w:r>
            <w:bookmarkStart w:id="1" w:name="methodology"/>
            <w:bookmarkStart w:id="2" w:name="tab%3Aresearch_design"/>
            <w:bookmarkEnd w:id="1"/>
            <w:bookmarkEnd w:id="2"/>
          </w:p>
        </w:tc>
      </w:tr>
    </w:tbl>
    <w:p>
      <w:pPr>
        <w:pStyle w:val="Normal"/>
        <w:rPr/>
      </w:pPr>
      <w:r>
        <w:rPr>
          <w:rStyle w:val="Emphasis"/>
        </w:rPr>
        <w:t>Note.</w:t>
      </w:r>
      <w:r>
        <w:rPr/>
        <w:t xml:space="preserve"> This table outlines the alignment of research questions with their respective methodologies, data sources, analytical strategies, and theoretical underpinnings for a study on corporate governance (CG) and non-performing loan (NPL) ratios in Nigerian deposit money banks (DMBs). CG = corporate governance; DMBs = deposit money banks; NPL = non-performing loans; CBN = Central Bank of Nigeria; NDIC = Nigeria Deposit Insurance Corporation; IMF = International Monetary Fund; SEs = standard errors. References cited include Sanusi (2014), Adegbite (2014), Abdulmalik &amp; Ahmad (2020), Olojede et al. (2020), OECD (2023), Natufe &amp; Evbayiro-Osagie (2023), and CBN (2023).</w:t>
      </w:r>
    </w:p>
    <w:p>
      <w:pPr>
        <w:sectPr>
          <w:type w:val="nextPage"/>
          <w:pgSz w:orient="landscape" w:w="15840" w:h="12240"/>
          <w:pgMar w:left="1134" w:right="1134" w:gutter="0" w:header="0" w:top="1134" w:footer="0" w:bottom="1134"/>
          <w:pgNumType w:fmt="decimal"/>
          <w:formProt w:val="false"/>
          <w:textDirection w:val="lrTb"/>
        </w:sectPr>
        <w:pStyle w:val="Normal"/>
        <w:rPr/>
      </w:pPr>
      <w:r>
        <w:rPr/>
      </w:r>
    </w:p>
    <w:p>
      <w:pPr>
        <w:pStyle w:val="Normal"/>
        <w:rPr>
          <w:b/>
          <w:bCs/>
        </w:rPr>
      </w:pPr>
      <w:r>
        <w:rPr>
          <w:b/>
          <w:bCs/>
        </w:rPr>
        <w:t xml:space="preserve">3.2: </w:t>
      </w:r>
      <w:r>
        <w:rPr>
          <w:b/>
          <w:bCs/>
        </w:rPr>
        <w:t>Research Paradigm</w:t>
      </w:r>
    </w:p>
    <w:p>
      <w:pPr>
        <w:pStyle w:val="FirstParagraph"/>
        <w:rPr/>
      </w:pPr>
      <w:r>
        <w:rPr/>
        <w:t>This study adopts a pragmatic epistemological approach that combines positivist and interpretivist paradigms to examine corporate governance deficiencies in Nigerian deposit money banks, focusing on disclosure, practice, compliance, and their role in reducing default risk measured by non-performing loan ratios (Creswell &amp; Plano Clark, 2018). Pragmatism emphasizes practical problem-solving and methodological flexibility, which is ideal for Nigeria’s emerging market with historical legacies, regulatory overlaps, and systemic governance failures—such as weak board oversight—that increase default risks post-2004 (Elias, 2024; Chinweoda et al., 2020; Sanusi, 2014). For example, risk management failures have led to non-performing loans peaking at over 20% in 2017, compared to the Central Bank of Nigeria’s 5% threshold, reflecting loose lending and poor controls that caused crises like Intercontinental Bank’s collapse (Adegboye, 2020).</w:t>
      </w:r>
    </w:p>
    <w:p>
      <w:pPr>
        <w:pStyle w:val="BodyText"/>
        <w:rPr/>
      </w:pPr>
      <w:r>
        <w:rPr/>
        <w:t>Unlike Basel III’s resilience standards (BCBS, 2010), fraud concealment through weak whistleblowing persisted in the 2009 crisis, contrasting with the European Union’s protected systems (Olojede et al., 2020; EU, 2019). These issues erode confidence, trigger deposit runs, and destabilize Nigeria’s economy, where banks are key drivers (Siyanbola, 2019). The 2009 crisis, costing the Central Bank of Nigeria $3.9 billion in bailouts, exposed risks from oversight gaps and related-party abuses (Sanusi, 2009). Globally, OECD principles stress independent boards and risk stewardship, areas where Nigeria lags (OECD, 2015). The pragmatic paradigm rejects universal truths and prioritizes methods that achieve practical outcomes and research objectives, such as proposing actionable reforms (Tashakkori &amp; Teddlie, 1998). In Nigeria’s fluid banking environment, with economic shocks like devaluation and inflation, flexible methods yield robust insights. The positivist paradigm supports the quantitative component through structured questionnaires that objectively measure relationships between corporate governance pillars—disclosure (Corporate Governance Disclosure Index), practice (Operational Effectiveness Index), compliance (Banking Compliance Index)—and non-performing loan ratios. Positivism assumes governance deficiencies are observable and quantifiable, with non-performing loan ratios as a strong indicator of governance quality and default risk.</w:t>
      </w:r>
    </w:p>
    <w:p>
      <w:pPr>
        <w:pStyle w:val="BodyText"/>
        <w:rPr/>
      </w:pPr>
      <w:r>
        <w:rPr/>
        <w:t>The interpretivist paradigm underpins the qualitative component through semi-structured interviews and thematic analysis to capture stakeholder perceptions of regulatory clarity and enforcement. Interpretivism views governance as socially constructed, emphasizing participant meanings in areas like audit independence and financial reporting mediation (Creswell &amp; Plano Clark, 2018). By integrating positivist empirical rigor with interpretivist contextual depth, the pragmatic approach provides nuanced, actionable insights into governance mechanisms for reducing defaults in Nigerian deposit money banks. This paradigm supports the mixed-methods design: longitudinal quantitative for RQ1 and RQ3, and cross-sectional blended for RQ2 and RQ4, addressing post-2009 reform legacies and regulatory fragmentation (Osita et al., 2019).</w:t>
      </w:r>
    </w:p>
    <w:p>
      <w:pPr>
        <w:pStyle w:val="Normal"/>
        <w:rPr>
          <w:b/>
          <w:bCs/>
        </w:rPr>
      </w:pPr>
      <w:r>
        <w:rPr>
          <w:b/>
          <w:bCs/>
        </w:rPr>
        <w:t xml:space="preserve">3.3: </w:t>
      </w:r>
      <w:bookmarkStart w:id="3" w:name="research-process-management"/>
      <w:r>
        <w:rPr>
          <w:b/>
          <w:bCs/>
        </w:rPr>
        <w:t>Research Process Management</w:t>
      </w:r>
    </w:p>
    <w:p>
      <w:pPr>
        <w:pStyle w:val="Normal"/>
        <w:rPr/>
      </w:pPr>
      <w:bookmarkStart w:id="4" w:name="construction-and-execution-of-the-survey"/>
      <w:r>
        <w:rPr/>
        <w:t>Construction and Execution of the Survey</w:t>
      </w:r>
    </w:p>
    <w:p>
      <w:pPr>
        <w:pStyle w:val="FirstParagraph"/>
        <w:rPr/>
      </w:pPr>
      <w:bookmarkStart w:id="5" w:name="construction-and-execution-of-the-survey"/>
      <w:r>
        <w:rPr/>
        <w:t>This section describes the survey-based methodology for investigating corporate governance challenges in Nigeria’s deposit money banking sector, including board oversight, audit committee independence, and practice index deficiencies that drive high non-performing loan ratios. It justifies the use of Likert-scale questionnaires in mixed-methods research, drawing on methodological literature (Popper, 1959; Grant &amp; Wall, 2009; Hinkin, 1998; Jensen &amp; Meckling, 1976; Donaldson &amp; Davis, 1991). The small sample sizes and potential biases in prior studies are addressed. The section details survey construction, execution, strengths, limitations, and alignment with study objectives for context-specific reforms and banking stability.</w:t>
      </w:r>
      <w:bookmarkEnd w:id="5"/>
    </w:p>
    <w:p>
      <w:pPr>
        <w:pStyle w:val="Heading2"/>
        <w:rPr/>
      </w:pPr>
      <w:r>
        <w:rPr/>
        <w:t xml:space="preserve">3.3.1: </w:t>
      </w:r>
      <w:bookmarkStart w:id="6" w:name="strengths-of-survey-based-methodologies"/>
      <w:r>
        <w:rPr/>
        <w:t>Strengths of Survey-Based Methodologies</w:t>
      </w:r>
    </w:p>
    <w:p>
      <w:pPr>
        <w:pStyle w:val="FirstParagraph"/>
        <w:rPr/>
      </w:pPr>
      <w:r>
        <w:rPr/>
        <w:t>Surveys using 7-point Likert scales offer key advantages in Nigeria’s deposit money banking sector, where anonymity and data reliability are crucial amid cronyism and regulatory scrutiny (Natufe &amp; Evbayiro-Osagie, 2023). They quantify perceptions of governance constructs, enabling rigorous testing of agency and stewardship theories: Hypothesis 1 on corporate governance indices reducing non-performing loans, Hypothesis 2 on audit committee independence mediating financial reporting integrity to lower non-performing loans, Hypothesis 3 on disclosure mitigating default risk, and Hypothesis 4 on regulatory clarity and enforcement reducing governance failures. Surveys efficiently collect data from diverse stakeholders—board members, audit committee members, and risk managers—across multiple deposit money banks. They address gaps in small-sample studies by focusing on 2024 listed banks. Questions are grounded in validated constructs for reliability and allow cross-study comparisons, countering inconsistent metrics in Nigerian research (Basel III, BCBS, 2010; Olojede et al., 2020). Anonymity ensures candid responses on sensitive issues like audit committee capture and unethical lending in Nigeria’s high-stakes context (Owolabi, 2013). Data coding for statistical tools (SPSS, Stata) enables descriptive statistics, correlations, and regressions, overcoming biases in prior descriptive work (The Effect of Non-Performing Loans on Profitability of Banks in Africa, 2024).</w:t>
      </w:r>
      <w:bookmarkEnd w:id="6"/>
    </w:p>
    <w:p>
      <w:pPr>
        <w:pStyle w:val="Heading2"/>
        <w:rPr/>
      </w:pPr>
      <w:r>
        <w:rPr/>
        <w:t xml:space="preserve">3.3.2: </w:t>
      </w:r>
      <w:bookmarkStart w:id="7" w:name="mitigating-limitations"/>
      <w:r>
        <w:rPr/>
        <w:t>Mitigating Limitations</w:t>
      </w:r>
    </w:p>
    <w:p>
      <w:pPr>
        <w:pStyle w:val="FirstParagraph"/>
        <w:rPr/>
      </w:pPr>
      <w:r>
        <w:rPr/>
        <w:t>Surveys may not fully capture Nigeria’s complex governance dynamics, such as patronage-driven appointments and regulatory overlaps (Taylor &amp; Bogdan, 1998). The study integrates qualitative interviews to explore nuances like political influences missed by Likert scales. Justification for using surveys despite organizational pressures includes triangulating responses from three stakeholders per bank (board member, audit committee member, risk manager) and guided completion by research assistants for clarity and thoughtfulness (Hinkin, 1998). Question design addresses cultural factors like tribal affiliations by grounding in global and Nigerian literature, with pilot testing by local experts (Adams et al., 2011; John et al., 2016; Uwuigbe et al., 2019; Natufe &amp; Evbayiro-Osagie, 2023). The 2024 focus justifies using qualitative case studies for historical context (Eisenhardt, 1989).</w:t>
      </w:r>
      <w:bookmarkEnd w:id="7"/>
    </w:p>
    <w:p>
      <w:pPr>
        <w:pStyle w:val="Heading2"/>
        <w:rPr/>
      </w:pPr>
      <w:r>
        <w:rPr/>
        <w:t xml:space="preserve">3.3.3 </w:t>
      </w:r>
      <w:bookmarkStart w:id="8" w:name="administration-and-coding"/>
      <w:r>
        <w:rPr/>
        <w:t>Administration and Coding</w:t>
      </w:r>
    </w:p>
    <w:p>
      <w:pPr>
        <w:pStyle w:val="FirstParagraph"/>
        <w:rPr/>
      </w:pPr>
      <w:r>
        <w:rPr/>
        <w:t>Questionnaires were administered anonymously to encourage candid responses in Nigeria’s deposit money banking sector, where governance issues like patronage and fraud concealment are sensitive (Olojede et al., 2020). Four hundred questionnaires were distributed to mid- and high-level professionals in twenty systemic deposit money banks, stratified by size (ten large, ten mid-tier), representing 70% of the sector (Central Bank of Nigeria, 2024). This yielded 234 valid responses (58.5% response rate). Respondents included board members, risk managers, and auditors for strategic and operational perspectives, enhancing data triangulation (Grant &amp; Wall, 2009).</w:t>
      </w:r>
    </w:p>
    <w:p>
      <w:pPr>
        <w:pStyle w:val="BodyText"/>
        <w:rPr/>
      </w:pPr>
      <w:r>
        <w:rPr/>
        <w:t>Personalized emails emphasized anonymity and ethical compliance with the Nigeria Data Protection Act 2023. Contact persons at each bank facilitated in-person or virtual sessions. Trained research assistants from local Nigerian universities, supervised by the principal researcher, briefed participants on ethical protocols and clarified questions for 100% individual completion. This hands-on approach addressed cultural and logistical barriers, achieving a robust response rate compared to typical emerging market surveys (Baruch &amp; Holtom, 2008; Nederhof, 1985). Semi-structured interviews with ten high-ranking officials (50% response rate from twenty invited) from ten to twenty deposit money banks complemented quantitative data with qualitative depth. Questionnaire design followed rigorous scale development for psychometric validity, aligning with corporate governance constructs (Hinkin, 1998). Indices for disclosure (Corporate Governance Disclosure Index), practice (Operational Effectiveness), compliance (Banking Compliance Index), audit committee independence, and regulatory clarity used thirty-five validated 7-point Likert-scale items (1 = strongly disagree, 7 = strongly agree) to test Hypotheses 1–4 deductively (Hinkin, 1998; DeVellis, 2017). For example: Disclosure (Corporate Governance Disclosure Index) items assess banks’ transparent financial reporting (Osemeke &amp; Adegbite, 2016, informing disclosure gaps and compliance ambiguities). Practice (Operational Effectiveness) questions evaluate board oversight and nomination committee independence (Abdulmalik &amp; Ahmad, 2020, drawing on politically motivated appointments linked to non-performing loan spikes).</w:t>
      </w:r>
    </w:p>
    <w:p>
      <w:pPr>
        <w:pStyle w:val="BodyText"/>
        <w:rPr/>
      </w:pPr>
      <w:r>
        <w:rPr/>
        <w:t xml:space="preserve">Compliance (Banking Compliance Index) items measure adherence to Central Bank of Nigeria Guidelines 2023 (Adegboye, 2020; Olojede et al., 2020, based on weak compliance in 61% of banks). Audit Committee Independence questions assess freedom from shareholder influence (Adegbite, 2014), with items probing mediation by financial reporting integrity. Regulatory Clarity questions evaluate clarity and enforcement consistency in conflicting regulations (Abdulmalik &amp; Ahmad, 2020). This literature-driven approach addresses research gaps with psychometrically sound items (Cronbach’s </w:t>
      </w:r>
      <w:r>
        <w:rPr/>
      </w:r>
      <m:oMath xmlns:m="http://schemas.openxmlformats.org/officeDocument/2006/math">
        <m:r>
          <w:rPr>
            <w:rFonts w:ascii="Cambria Math" w:hAnsi="Cambria Math"/>
          </w:rPr>
          <m:t xml:space="preserve">α</m:t>
        </m:r>
      </m:oMath>
      <w:r>
        <w:rPr/>
        <w:t xml:space="preserve"> 0.85 post-pilot), ensuring contextual relevance to Nigeria’s governance challenges like patronage-driven appointments and regulatory multiplicity (Osita et al., 2019).</w:t>
      </w:r>
    </w:p>
    <w:p>
      <w:pPr>
        <w:pStyle w:val="BodyText"/>
        <w:rPr/>
      </w:pPr>
      <w:r>
        <w:rPr/>
        <w:t>Pilot testing with fifteen banking professionals (sufficient for exploratory refinement; van Teijlingen &amp; Hundley, 2002) refined items for clarity, relevance, and cultural sensitivity. For example, cronyism influences were replaced with agency theory (principal-agent conflicts) and stewardship (managerial accountability) terms. Questionnaire responses were digitized in SPSS, treating Likert scores as interval data for regression analysis of governance-non-performing loan relationships. Coding followed a standardized protocol with double-entry verification to minimize errors. Responses were cross-validated with secondary non-performing loan data from Central Bank of Nigeria and Nigeria Deposit Insurance Corporation reports to address opaque reporting (Olojede et al., 2020; Central Bank of Nigeria, 2024; Nigeria Deposit Insurance Corporation, 2024). Interview transcripts were coded in NVivo for thematic analysis, identifying patterns like enforcement gaps and regulatory multiplicity for robust mixed-methods integration (Braun &amp; Clarke, 2006).</w:t>
      </w:r>
      <w:bookmarkEnd w:id="8"/>
    </w:p>
    <w:p>
      <w:pPr>
        <w:pStyle w:val="Heading2"/>
        <w:rPr/>
      </w:pPr>
      <w:r>
        <w:rPr/>
        <w:t xml:space="preserve">3.4 </w:t>
      </w:r>
      <w:bookmarkStart w:id="9" w:name="Xa7ae934aa66bd3faf409ee86517ef3b4d39fc4a"/>
      <w:r>
        <w:rPr/>
        <w:t>Justification of Non-Performing Loans as a Measure</w:t>
      </w:r>
    </w:p>
    <w:p>
      <w:pPr>
        <w:pStyle w:val="FirstParagraph"/>
        <w:rPr/>
      </w:pPr>
      <w:r>
        <w:rPr/>
        <w:t>Non-performing loans, defined as the percentage of loans overdue by 90 days or more relative to total loans, serve as the primary measure of default risk in Nigeria’s deposit money banking sector, reflecting corporate governance deficiencies and their impact on financial stability. This aligns with the study’s focus on corporate governance indices (disclosure, practice, compliance), audit committee independence, and regulatory clarity. Despite challenges in data reliability due to opaque reporting, cross-validation with Central Bank of Nigeria and Nigeria Deposit Insurance Corporation data from 2009–2024 ensures robust measurement.</w:t>
      </w:r>
    </w:p>
    <w:p>
      <w:pPr>
        <w:pStyle w:val="BodyText"/>
        <w:rPr/>
      </w:pPr>
      <w:r>
        <w:rPr/>
        <w:t>Non-performing loans are a robust measure in the Nigerian context, directly linked to governance deficiencies identified in the literature. Natufe and Evbayiro-Osagie (2023) validate non-performing loans as a reliable indicator of lax lending, weak controls, and unethical behaviors in Nigerian deposit money banks. The 2009 Oceanic Bank crisis, with 75% non-performing loans from insider loans by family-dominated boards, illustrates governance lapses like lack of board independence and practice indices (Sanusi, 2009). Adegboye (2020) links the 2017 non-performing loan peak at 20% to poor credit assessments and weak oversight in collapses like Intercontinental Bank and Bank PHB, due to unqualified management and ineffective audit committees (Owolabi, 2013). These cases show non-performing loans effectively capture practice (lax lending), disclosure (weak oversight), compliance (selective adherence), audit independence (inadequate processes), and regulatory clarity (poor decision-making).</w:t>
      </w:r>
    </w:p>
    <w:p>
      <w:pPr>
        <w:pStyle w:val="BodyText"/>
        <w:rPr/>
      </w:pPr>
      <w:r>
        <w:rPr/>
        <w:t>The choice of non-performing loans is further justified by its systemic implications for Nigeria’s deposit money banking sector, critical for economic growth (King &amp; Levine, 1993). High non-performing loans reduce bank capital, impair liquidity, erode confidence, and risk deposit withdrawals, as in the 2009 crisis (Sanusi, 2009). Non-performing loans’ systemic nature has led to 425 bank failures since 1988 and costly interventions like the 2009 bailout. This perspective aligns with the research aim of evaluating governance effectiveness for financial stability.</w:t>
      </w:r>
    </w:p>
    <w:p>
      <w:pPr>
        <w:pStyle w:val="BodyText"/>
        <w:rPr/>
      </w:pPr>
      <w:r>
        <w:rPr/>
        <w:t>Theoretically, non-performing loans align with agency and stewardship theories in the conceptual framework. Agency theory (Jensen &amp; Meckling, 1976) posits governance mechanisms like independent boards and audit committees reduce conflicts, mitigating risky lending and non-performing loans. In Nigeria, weak oversight and audit capture enabled insider lending at Oceanic Bank (Sanusi, 2009). Stewardship theory (Donaldson &amp; Davis, 1991) emphasizes ethical management through sound practice indices for long-term stability. Politically motivated management in Nigerian deposit money banks lacks expertise and ethics, driving non-performing loans (Sanusi, 2009; Nwoko et al., 2022). Non-performing loans link these frameworks, providing a robust foundation for analyzing corporate governance indices.</w:t>
      </w:r>
    </w:p>
    <w:p>
      <w:pPr>
        <w:pStyle w:val="BodyText"/>
        <w:rPr/>
      </w:pPr>
      <w:r>
        <w:rPr/>
        <w:t>Despite data reliability challenges in Nigeria, where opaque reporting obscures true non-performing loans due to governance weaknesses, methodological strategies ensure robust measurement. Olojede et al. (2020) note audit capture and auditor conflicts led to misstatements in 2009, delaying distress awareness. This opacity challenges using non-performing loans as a metric. The study employs cross-validation, triangulating questionnaire perceptions with secondary data from Central Bank of Nigeria reports, Nigeria Deposit Insurance Corporation records, and audited financials for 2009–2024 (RQ1) and 2024 (RQ2–RQ4), following Olojede et al. (2020).</w:t>
      </w:r>
    </w:p>
    <w:p>
      <w:pPr>
        <w:pStyle w:val="BodyText"/>
        <w:rPr/>
      </w:pPr>
      <w:r>
        <w:rPr/>
        <w:t>This multi-source approach mitigates manipulation risks, ensuring non-performing loan data reflects governance impacts. Control variables like bank size, GDP growth, and loan diversity isolate effects, enhancing robustness (Natufe &amp; Evbayiro-Osagie, 2023). Questionnaire items directly link governance indices to non-performing loan outcomes, such as board oversight influencing loan quality, ensuring relevance to research objectives.</w:t>
      </w:r>
    </w:p>
    <w:p>
      <w:pPr>
        <w:pStyle w:val="BodyText"/>
        <w:rPr/>
      </w:pPr>
      <w:r>
        <w:rPr/>
        <w:t>Qualitatively, interviews with high-level officials complement quantitative non-performing loans by exploring perceptions of governance failures driving defaults. Questions probe practical implications, like weak whistleblowing leading to non-performing loan accumulation (Sanusi, 2009; Olojede et al., 2020). Insights enrich understanding of non-performing loans as a governance outcome, providing context-specific views on historical legacies and regulatory multiplicity exacerbating default risks.</w:t>
      </w:r>
    </w:p>
    <w:p>
      <w:pPr>
        <w:pStyle w:val="BodyText"/>
        <w:rPr/>
      </w:pPr>
      <w:r>
        <w:rPr/>
        <w:t>Quantitative and qualitative integration allows statistical measurement of non-performing loans alongside stakeholder experiences, validating non-performing loans and enhancing proposed reforms. Afolabi and Afolabi (2024) support cross-validation for addressing disclosure and practice issues, verifying audit-reported non-performing loans. The 2024 non-performing loan ratio of 5.62% highlights ongoing opacity (CBN, 2024). Non-performing loans align with global standards like Basel III, which emphasize robust practice indices for credit risk mitigation and non-performing loan reduction through capital adequacy and liquidity (BCBS, 2010). Nigerian deposit money banks’ failure to fully adopt these contributes to persistent spikes (Adegboye, 2020), underscoring the need for governance reforms.</w:t>
      </w:r>
    </w:p>
    <w:p>
      <w:pPr>
        <w:pStyle w:val="BodyText"/>
        <w:rPr/>
      </w:pPr>
      <w:r>
        <w:rPr/>
        <w:t>The European Union’s whistleblowing framework (EU, 2019) enables early fraud detection, reducing risks—effective in European banks (Olojede et al., 2020). Nigeria’s underdeveloped mechanisms, lacking protections, suppress reports amid retaliation fears (Olojede et al., 2020). Afolabi and Afolabi (2024) advocate European-style frameworks to improve practice indices, audit independence, and financial reporting mediation, fostering compliance In summary, non-performing loans are a justified measure of default risk in Nigerian deposit money banks due to sensitivity to governance deficiencies, systemic implications, theoretical alignment, and global standards. Its ability to capture disclosure, practice, compliance, audit independence, and regulatory clarity impacts is central to research objectives. Despite data challenges, cross-validation, controls, and qualitative depth ensure robust measurement and contextual insights for reforms enhancing financial stability in Nigeria’s deposit money banking sector.</w:t>
      </w:r>
      <w:bookmarkEnd w:id="3"/>
      <w:bookmarkEnd w:id="9"/>
    </w:p>
    <w:p>
      <w:pPr>
        <w:pStyle w:val="Heading1"/>
        <w:rPr/>
      </w:pPr>
      <w:r>
        <w:rPr/>
        <w:t xml:space="preserve">3.5: </w:t>
      </w:r>
      <w:bookmarkStart w:id="10" w:name="data-collection-methods"/>
      <w:r>
        <w:rPr/>
        <w:t>Data Collection Methods</w:t>
      </w:r>
    </w:p>
    <w:p>
      <w:pPr>
        <w:pStyle w:val="FirstParagraph"/>
        <w:rPr/>
      </w:pPr>
      <w:r>
        <w:rPr/>
        <w:t>The study targets deposit money banks (DMBs) in Nigeria’s deposit money banking sector for their systemic role in financial stability and economic growth (CBN, 2024). For RQ1, the quantitative panel sample includes ten systemically important banks (SIBs) designated by the CBN: Access Bank, Zenith Bank, First Bank of Nigeria (FBN), United Bank for Africa (UBA), Guaranty Trust Holding Company (GTCO), Ecobank Nigeria, Fidelity Bank, Stanbic IBTC, Union Bank, and Sterling Bank (CBN, 2024). These represent 78–80% of sector assets (N212.4 trillion combined for quoted banks in 2024, per Nairametrics; sector total  N265 trillion, CBN, 2024), ensuring systemic relevance (The Banker, 2024).</w:t>
      </w:r>
    </w:p>
    <w:p>
      <w:pPr>
        <w:pStyle w:val="BodyText"/>
        <w:rPr/>
      </w:pPr>
      <w:r>
        <w:rPr/>
        <w:t>Data spans 2009–2024, yielding 160 bank-year observations after balancing. Annual financial statements, prudential returns, and governance disclosures are hand-collected from CBN archives, NDIC reports, bank websites, and Nairametrics audited filings. Macroeconomic controls, like GDP per capita (constant 2010 US$), use World Bank Development Indicators (2024 release; e.g., $2,447.64 in 2024, down from $2,510.59 in 2023, World Bank, 2024). Mergers (2012, 2019) are adjusted retroactively using the purchase method for continuity. For RQ2–RQ4, cross-sectional purposive sampling targets 400 banking professionals (executives, auditors, risk managers) in Abuja-based branches of ten SIBs, yielding 234 responses (58.5% rate). Interviews involve 10 key informants (5 CEOs/board chairs, 5 executives) selected via snowballing for expertise. This dual sampling ensures representativeness of quantitative trends and qualitative depth, with demographic balance (e.g., 52% male, 48% female; 60% large-bank affiliated).</w:t>
      </w:r>
    </w:p>
    <w:p>
      <w:pPr>
        <w:pStyle w:val="Heading2"/>
        <w:rPr/>
      </w:pPr>
      <w:r>
        <w:rPr/>
        <w:t xml:space="preserve">3.5.1 </w:t>
      </w:r>
      <w:bookmarkStart w:id="11" w:name="Xa701c85c3c03529723f5da08c8315f370493f0d"/>
      <w:r>
        <w:rPr/>
        <w:t>Quantitative Component Questionnaire Survey</w:t>
      </w:r>
    </w:p>
    <w:p>
      <w:pPr>
        <w:pStyle w:val="FirstParagraph"/>
        <w:rPr/>
      </w:pPr>
      <w:r>
        <w:rPr/>
        <w:t>The quantitative segment uses a structured questionnaire based on academic precedents to empirically assess how corporate governance indices (disclosure, practice, compliance), audit committee independence, and regulatory clarity influence NPL ratios in Nigerian DMBs. A 7-point Likert scale (1 = Strongly Disagree, 7 = Strongly Agree) captures nuanced evaluations of governance practices, providing granular data suitable for statistical analyses like multiple regression and factor analysis, accommodating perceptual variances across professional experiences and institutional cultures.</w:t>
      </w:r>
      <w:bookmarkEnd w:id="11"/>
    </w:p>
    <w:p>
      <w:pPr>
        <w:pStyle w:val="Heading2"/>
        <w:rPr/>
      </w:pPr>
      <w:r>
        <w:rPr/>
        <w:t xml:space="preserve">3.5.2 </w:t>
      </w:r>
      <w:bookmarkStart w:id="12" w:name="questionnaire-design-justification"/>
      <w:r>
        <w:rPr/>
        <w:t>Questionnaire Design Justification</w:t>
      </w:r>
    </w:p>
    <w:p>
      <w:pPr>
        <w:pStyle w:val="FirstParagraph"/>
        <w:rPr/>
      </w:pPr>
      <w:r>
        <w:rPr/>
        <w:t>The questionnaire structure is grounded in classical and contemporary literature for validity, relevance, and adaptability to Nigeria’s deposit money banking context, reflecting local regulatory nuances and global standards. Disclosure (CGDI) items assess financial reporting transparency (Osemeke &amp; Adegbite, 2016). Practice (OPEFF) questions evaluate board oversight and nomination committee independence (Abdulmalik &amp; Ahmad, 2020). Compliance (COMID) items measure adherence to regulations like CBN Guidelines 2023 (Abdulmalik &amp; Ahmad, 2020). Audit Committee Independence questions assess autonomy and whistleblowing effectiveness (Adegbite, 2014), including mediation by financial reporting integrity. Regulatory Clarity questions evaluate clarity and enforcement consistency in statutes like CAMA 2020 and NCCG 2018 (Abdulmalik &amp; Ahmad, 2020; e.g., "Harmonized regulations reduce compliance ambiguity"). Items link indices to NPLs (e.g., "Audit independence lowers risky lending exposure"), supporting research objectives. See Appendix 1 for specimen. The design ensures standardized, quantifiable data for parametric testing, reducing interviewer bias and efficiently revealing systemic governance patterns.</w:t>
      </w:r>
      <w:bookmarkEnd w:id="12"/>
    </w:p>
    <w:p>
      <w:pPr>
        <w:pStyle w:val="Heading2"/>
        <w:rPr/>
      </w:pPr>
      <w:r>
        <w:rPr/>
        <w:t xml:space="preserve">3.5.3 </w:t>
      </w:r>
      <w:bookmarkStart w:id="13" w:name="target-population-sampling"/>
      <w:r>
        <w:rPr/>
        <w:t>Target Population Sampling</w:t>
      </w:r>
    </w:p>
    <w:p>
      <w:pPr>
        <w:pStyle w:val="FirstParagraph"/>
        <w:rPr/>
      </w:pPr>
      <w:r>
        <w:rPr/>
        <w:t>The target population includes banking professionals in Nigeria’s DMBs: risk managers for operational insights, branch managers for compliance views, department heads for strategic insights, and regional managers for governance oversight, capturing a broad spectrum of NPL-related perspectives. The sample is geographically limited to Abuja, the administrative and financial hub hosting head offices and key branches of nearly all DMBs, for logistical efficiency and reflection of national trends; Lagos was considered but excluded due to resources. Sampling stratifies by bank size: small (&lt;₦500 billion assets, 20%), medium (₦500 billion–₦2 trillion, 35%), large (&gt;₦2 trillion, 45%), mirroring CBN 2024 categories where large banks hold 70% of assets. Non-probability purposive sampling targets individuals with CG expertise for complex queries, as random sampling would yield superficial data in this exploratory, regulated field (Bryman, 2016; Etikan et al., 2016; Tongco, 2007). This ensures data quality and balances hierarchies and scales.</w:t>
      </w:r>
      <w:bookmarkEnd w:id="13"/>
    </w:p>
    <w:p>
      <w:pPr>
        <w:pStyle w:val="Heading2"/>
        <w:rPr/>
      </w:pPr>
      <w:r>
        <w:rPr/>
        <w:t xml:space="preserve">3.5.4 </w:t>
      </w:r>
      <w:bookmarkStart w:id="14" w:name="sample-size-determination"/>
      <w:r>
        <w:rPr/>
        <w:t>Sample Size Determination</w:t>
      </w:r>
    </w:p>
    <w:p>
      <w:pPr>
        <w:pStyle w:val="FirstParagraph"/>
        <w:rPr/>
      </w:pPr>
      <w:r>
        <w:rPr/>
        <w:t>The sample size was determined using SPSS, targeting 400 to yield 234 valid responses (58.5% response rate) for inferential strength and practicality. Yamane’s (1967) formula (</w:t>
      </w:r>
      <w:r>
        <w:rPr/>
      </w:r>
      <m:oMath xmlns:m="http://schemas.openxmlformats.org/officeDocument/2006/math">
        <m:r>
          <w:rPr>
            <w:rFonts w:ascii="Cambria Math" w:hAnsi="Cambria Math"/>
          </w:rPr>
          <m:t xml:space="preserve">n</m:t>
        </m:r>
        <m:r>
          <m:rPr>
            <m:lit/>
            <m:nor/>
          </m:rPr>
          <w:rPr>
            <w:rFonts w:ascii="Cambria Math" w:hAnsi="Cambria Math"/>
          </w:rPr>
          <m:t xml:space="preserve">=</m:t>
        </m:r>
        <m:r>
          <w:rPr>
            <w:rFonts w:ascii="Cambria Math" w:hAnsi="Cambria Math"/>
          </w:rPr>
          <m:t xml:space="preserve">N</m:t>
        </m:r>
        <m:r>
          <m:rPr>
            <m:lit/>
            <m:nor/>
          </m:rPr>
          <w:rPr>
            <w:rFonts w:ascii="Cambria Math" w:hAnsi="Cambria Math"/>
          </w:rPr>
          <m:t xml:space="preserve">/</m:t>
        </m:r>
        <m:r>
          <w:rPr>
            <w:rFonts w:ascii="Cambria Math" w:hAnsi="Cambria Math"/>
          </w:rPr>
          <m:t xml:space="preserve">(</m:t>
        </m:r>
        <m:r>
          <w:rPr>
            <w:rFonts w:ascii="Cambria Math" w:hAnsi="Cambria Math"/>
          </w:rPr>
          <m:t xml:space="preserve">1</m:t>
        </m:r>
        <m:r>
          <m:rPr>
            <m:lit/>
            <m:nor/>
          </m:rPr>
          <w:rPr>
            <w:rFonts w:ascii="Cambria Math" w:hAnsi="Cambria Math"/>
          </w:rPr>
          <m:t xml:space="preserve">+</m:t>
        </m:r>
        <m:r>
          <w:rPr>
            <w:rFonts w:ascii="Cambria Math" w:hAnsi="Cambria Math"/>
          </w:rPr>
          <m:t xml:space="preserve">N</m:t>
        </m:r>
        <m:sSup>
          <m:e>
            <m:r>
              <w:rPr>
                <w:rFonts w:ascii="Cambria Math" w:hAnsi="Cambria Math"/>
              </w:rPr>
              <m:t xml:space="preserve">e</m:t>
            </m:r>
          </m:e>
          <m:sup>
            <m:r>
              <w:rPr>
                <w:rFonts w:ascii="Cambria Math" w:hAnsi="Cambria Math"/>
              </w:rPr>
              <m:t xml:space="preserve">2</m:t>
            </m:r>
          </m:sup>
        </m:sSup>
      </m:oMath>
      <w:r>
        <w:rPr/>
        <w:t>), with N=5000 estimated Abuja professionals, e=0.05) suggests  370; 400 provides a buffer for precision and non-response. Bootstrapping confirms resilience to attrition, with 20-25% from pilot feedback adequate for subgroup analysis and generalizability, minimizing type II errors (Cohen, 1992; Faul et al., 2009).</w:t>
      </w:r>
      <w:bookmarkEnd w:id="14"/>
    </w:p>
    <w:p>
      <w:pPr>
        <w:pStyle w:val="Heading2"/>
        <w:rPr/>
      </w:pPr>
      <w:r>
        <w:rPr/>
        <w:t xml:space="preserve">3.6 </w:t>
      </w:r>
      <w:bookmarkStart w:id="15" w:name="data-collection-process"/>
      <w:r>
        <w:rPr/>
        <w:t>Data Collection Process</w:t>
      </w:r>
    </w:p>
    <w:p>
      <w:pPr>
        <w:pStyle w:val="FirstParagraph"/>
        <w:rPr/>
      </w:pPr>
      <w:r>
        <w:rPr/>
        <w:t>Questionnaires were distributed manually in-person at selected Abuja bank branches. The researcher used patience, courtesy, and deference to build trust and encourage participation from professionals ranging from cashiers (frontline transactions) to regional managers (strategic operations), maximizing response authenticity and completeness. Traversals included a representative assortment of institutions. Preliminary explanations of the study purpose, ethical safeguards, and item rationales enhanced comprehension, especially for sophisticated governance concepts that might intimidate lower-tier staff.</w:t>
      </w:r>
    </w:p>
    <w:p>
      <w:pPr>
        <w:pStyle w:val="BodyText"/>
        <w:rPr/>
      </w:pPr>
      <w:r>
        <w:rPr/>
        <w:t>To counter social desirability bias—where respondents embellish CG perceptions to conform to norms or avoid scrutiny—anonymity was enforced through coded sheets (no personal identifiers), sealed envelopes, and assurances of aggregated, non-attributable data. Balanced item wording discouraged positive skewing (Podsakoff et al., 2003; Nederhof, 1985). Cross-validation with secondary repositories (CBN supervisory reports, NDIC indicators) rectified NPL opacity, validating perceptual data against verified ratios (e.g., audit independence assertions with historical misstatements from the 2009 crisis) for integrity in an underreporting environment driven by weak enforcement (Olojede et al., 2020; Sanusi, 2014). This hands-on process, though resource-intensive, elevated response quality through immediate clarifications and rapport-building, superior to digital alternatives in Nigeria’s trust-oriented culture where skepticism leads to low engagement.</w:t>
      </w:r>
      <w:bookmarkEnd w:id="15"/>
    </w:p>
    <w:p>
      <w:pPr>
        <w:pStyle w:val="Heading2"/>
        <w:rPr/>
      </w:pPr>
      <w:r>
        <w:rPr/>
        <w:t xml:space="preserve">3.6.1 </w:t>
      </w:r>
      <w:bookmarkStart w:id="16" w:name="pilot-testing-validation"/>
      <w:r>
        <w:rPr/>
        <w:t>Pilot Testing Validation</w:t>
      </w:r>
    </w:p>
    <w:p>
      <w:pPr>
        <w:pStyle w:val="FirstParagraph"/>
        <w:rPr/>
      </w:pPr>
      <w:r>
        <w:rPr/>
        <w:t xml:space="preserve">A pilot trial with 15 questionnaires, stratified to mirror main demographics (5 risk managers, 5 branch managers, 5 department heads), assessed clarity, reliability, and burden. Cronbach’s </w:t>
      </w:r>
      <w:r>
        <w:rPr/>
      </w:r>
      <m:oMath xmlns:m="http://schemas.openxmlformats.org/officeDocument/2006/math">
        <m:r>
          <w:rPr>
            <w:rFonts w:ascii="Cambria Math" w:hAnsi="Cambria Math"/>
          </w:rPr>
          <m:t xml:space="preserve">α</m:t>
        </m:r>
      </m:oMath>
      <w:r>
        <w:rPr/>
        <w:t xml:space="preserve"> was 0.85 overall (subscales: 0.78 Disclosure, 0.81 Practice, 0.85 Compliance, 0.88 Audit Committee Independence, 0.88 Regulatory Clarity), indicating strong consistency (Nunnally, 1978). Feedback led to revisions, such as rephrasing ambiguous Regulatory Clarity terms for junior staff and adding reverse-scored items (e.g., "Regulatory overlaps do not affect compliance") to counter acquiescence (12% noted in pilots). Two redundant items (low r&lt;0.3) were removed to reduce fatigue. Factor loadings &gt;0.6 in exploratory analysis refined the instrument for construct validity and cultural fit in Nigeria’s diverse sector (Bryman, 2016; DeVellis, 2017; Boateng et al., 2018). Final counts: 8 Disclosure, 7 Practice, 6 Compliance, 5 Audit Committee Independence, 5 Regulatory Clarity. This iterative process minimized error variance and boosted response quality in emerging markets.</w:t>
      </w:r>
      <w:bookmarkEnd w:id="16"/>
    </w:p>
    <w:p>
      <w:pPr>
        <w:pStyle w:val="Heading2"/>
        <w:rPr/>
      </w:pPr>
      <w:r>
        <w:rPr/>
        <w:t xml:space="preserve">3.6.2 </w:t>
      </w:r>
      <w:bookmarkStart w:id="17" w:name="Xa6fbc8a69b656745190335cc35756410dfd7b9e"/>
      <w:r>
        <w:rPr/>
        <w:t>Qualitative Component Semi-Structured Interviews</w:t>
      </w:r>
    </w:p>
    <w:p>
      <w:pPr>
        <w:pStyle w:val="FirstParagraph"/>
        <w:rPr/>
      </w:pPr>
      <w:r>
        <w:rPr/>
        <w:t>The qualitative component uses semi-structured interviews with 10 high-level officials (50% response rate from 20 invitations) to provide contextual depth on CG deficiencies and their link to NPLs, complementing quantitative data with insights into political influences and mechanisms.</w:t>
      </w:r>
      <w:bookmarkEnd w:id="17"/>
    </w:p>
    <w:p>
      <w:pPr>
        <w:pStyle w:val="Heading2"/>
        <w:rPr/>
      </w:pPr>
      <w:r>
        <w:rPr/>
        <w:t xml:space="preserve">3.6.3 </w:t>
      </w:r>
      <w:bookmarkStart w:id="18" w:name="interview-design-protocol"/>
      <w:r>
        <w:rPr/>
        <w:t>Interview Design Protocol</w:t>
      </w:r>
    </w:p>
    <w:p>
      <w:pPr>
        <w:pStyle w:val="FirstParagraph"/>
        <w:rPr/>
      </w:pPr>
      <w:r>
        <w:rPr/>
        <w:t>Questions are derived from literature on corporate governance indices, audit committee independence, and regulatory clarity (e.g., "How do conflicts between CAMA 2020 and NCCG 2018 hinder clarity and enforcement, increasing NPLs?" for Regulatory Clarity; "What role do audit committees play in ensuring financial reporting integrity to reduce default risks?" for Audit Committee Independence). The semi-structured format allows adaptive probing (e.g., "Describe specific cases of political interference in appointments impacting NPLs").</w:t>
      </w:r>
    </w:p>
    <w:p>
      <w:pPr>
        <w:pStyle w:val="BodyText"/>
        <w:rPr/>
      </w:pPr>
      <w:r>
        <w:rPr/>
        <w:t>Sessions last 35–45 minutes. Ethical measures include informed consent, optional audio recording, and manual transcription with privacy via encrypted Otter.ai. Thematic coding in NVivo follows Braun and Clarke’s (2006) six-phase process: familiarization, 180 initial codes, theme refinement/review/definition (45 final themes, e.g., enforcement gaps, audit committee capture). This flexible yet structured approach justifies uncovering evolving issues like post-2009 fraud concealment while staying focused on research goals (Braun &amp; Clarke, 2021). Compliance aligns with Nigeria NDPA 2023 (Nigeria Data Protection Commission, 2024).</w:t>
      </w:r>
      <w:bookmarkEnd w:id="18"/>
    </w:p>
    <w:p>
      <w:pPr>
        <w:pStyle w:val="Heading2"/>
        <w:rPr/>
      </w:pPr>
      <w:r>
        <w:rPr/>
        <w:t xml:space="preserve">3.6.4 </w:t>
      </w:r>
      <w:bookmarkStart w:id="19" w:name="participant-selection-recruitment"/>
      <w:r>
        <w:rPr/>
        <w:t>Participant Selection Recruitment</w:t>
      </w:r>
    </w:p>
    <w:p>
      <w:pPr>
        <w:pStyle w:val="FirstParagraph"/>
        <w:rPr/>
      </w:pPr>
      <w:r>
        <w:rPr/>
        <w:t>Purposive selection targets executives with authoritative expertise. Recruitment involved 20 tailored emails detailing purpose, duration ( 35 minutes), confidentiality, and no incentives to avoid coercion. Ten consents were obtained through persistent follow-ups and rapport-building to navigate access obstacles in elite, time-scarce circles, where response rates often hover below 50% (Baruch &amp; Holtom, 2008).</w:t>
      </w:r>
      <w:bookmarkEnd w:id="19"/>
    </w:p>
    <w:p>
      <w:pPr>
        <w:pStyle w:val="Heading2"/>
        <w:rPr/>
      </w:pPr>
      <w:r>
        <w:rPr/>
        <w:t xml:space="preserve">3.6.5 </w:t>
      </w:r>
      <w:bookmarkStart w:id="20" w:name="interview-process"/>
      <w:r>
        <w:rPr/>
        <w:t>Interview Process</w:t>
      </w:r>
    </w:p>
    <w:p>
      <w:pPr>
        <w:pStyle w:val="FirstParagraph"/>
        <w:rPr/>
      </w:pPr>
      <w:r>
        <w:rPr/>
        <w:t>Interviews were conducted in-office for professional immersion and trust-building. Deferential conduct, active listening, empathetic nods, and neutral probes elicited forthrightness on sensitivities like board cronyism. Confidentiality was reinforced with anonymized transcripts (pseudonyms, redacted identifiers) and secure storage on encrypted drives. Post-interview debriefs addressed discomfort or reprisal fears, mitigating bias (e.g., overly positive framing due to status concerns) for authentic narratives enriching quantitative findings (Kvale &amp; Brinkmann, 2015).</w:t>
      </w:r>
      <w:bookmarkEnd w:id="20"/>
    </w:p>
    <w:p>
      <w:pPr>
        <w:pStyle w:val="Heading2"/>
        <w:rPr/>
      </w:pPr>
      <w:r>
        <w:rPr/>
        <w:t xml:space="preserve">3.7 </w:t>
      </w:r>
      <w:r>
        <w:rPr/>
        <w:t>Data Sources</w:t>
      </w:r>
    </w:p>
    <w:p>
      <w:pPr>
        <w:pStyle w:val="FirstParagraph"/>
        <w:rPr/>
      </w:pPr>
      <w:r>
        <w:rPr/>
        <w:t>The study targets deposit money banks (DMBs) in Nigeria’s deposit money banking sector for their systemic role in financial stability and economic growth (CBN, 2024). For RQ1, the quantitative panel sample includes ten systemically important banks (SIBs) designated by the CBN: Access Bank, Zenith Bank, First Bank of Nigeria (FBN), United Bank for Africa (UBA), Guaranty Trust Holding Company (GTCO), Ecobank Nigeria, Fidelity Bank, Stanbic IBTC, Union Bank, and Sterling Bank (CBN, 2024). These represent 78–80% of sector assets (N212.4 trillion combined for quoted banks in 2024, per Nairametrics; sector total  N265 trillion, CBN, 2024), ensuring systemic relevance (The Banker, 2024).</w:t>
      </w:r>
    </w:p>
    <w:p>
      <w:pPr>
        <w:pStyle w:val="BodyText"/>
        <w:rPr/>
      </w:pPr>
      <w:r>
        <w:rPr/>
        <w:t>Data spans 2009–2024, yielding 160 bank-year observations after balancing. Annual financial statements, prudential returns, and governance disclosures are hand-collected from CBN archives, NDIC reports, bank websites, and Nairametrics audited filings. Macroeconomic controls, like GDP per capita (constant 2010 US$), use World Bank Development Indicators (2024 release; e.g., $2,447.64 in 2024, down from $2,510.59 in 2023, World Bank, 2024). Mergers (2012, 2019) are adjusted retroactively using the purchase method for continuity.</w:t>
      </w:r>
    </w:p>
    <w:p>
      <w:pPr>
        <w:pStyle w:val="BodyText"/>
        <w:rPr/>
      </w:pPr>
      <w:r>
        <w:rPr/>
        <w:t>For RQ2–RQ4, cross-sectional purposive sampling targets 400 banking professionals (executives, auditors, risk managers) in Abuja-based branches of ten SIBs, yielding 234 responses (58.5% rate). Interviews involve 10 key informants (5 CEOs/board chairs, 5 executives) selected via snowballing for expertise. This dual sampling ensures representativeness of quantitative trends and qualitative depth, with demographic balance (e.g., 52% male, 48% female; 60% large-bank affiliated).</w:t>
      </w:r>
    </w:p>
    <w:p>
      <w:pPr>
        <w:pStyle w:val="Heading3"/>
        <w:numPr>
          <w:ilvl w:val="2"/>
          <w:numId w:val="1"/>
        </w:numPr>
        <w:ind w:hanging="0" w:left="0"/>
        <w:rPr/>
      </w:pPr>
      <w:r>
        <w:rPr/>
        <w:t xml:space="preserve">3.7.1 </w:t>
      </w:r>
      <w:bookmarkStart w:id="21" w:name="primary-data"/>
      <w:r>
        <w:rPr/>
        <w:t>Primary Data</w:t>
      </w:r>
    </w:p>
    <w:p>
      <w:pPr>
        <w:pStyle w:val="FirstParagraph"/>
        <w:rPr/>
      </w:pPr>
      <w:r>
        <w:rPr/>
        <w:t>Primary data from 234 questionnaire replies and 10 interviews involve in-person engagements to capture immediacy, authenticity, and relevance. This secures perceptual and experiential facets of corporate governance indices, audit committee independence, and regulatory clarity, fulfilling objectives through direct interaction that minimizes misinterpretations in a culturally diverse setting.</w:t>
      </w:r>
      <w:bookmarkEnd w:id="21"/>
    </w:p>
    <w:p>
      <w:pPr>
        <w:pStyle w:val="Heading3"/>
        <w:numPr>
          <w:ilvl w:val="2"/>
          <w:numId w:val="1"/>
        </w:numPr>
        <w:ind w:hanging="0" w:left="0"/>
        <w:rPr/>
      </w:pPr>
      <w:r>
        <w:rPr/>
        <w:t xml:space="preserve">3.7.2 </w:t>
      </w:r>
      <w:r>
        <w:rPr/>
        <w:t>Secondary Data</w:t>
      </w:r>
    </w:p>
    <w:p>
      <w:pPr>
        <w:pStyle w:val="FirstParagraph"/>
        <w:rPr/>
      </w:pPr>
      <w:r>
        <w:rPr/>
        <w:t>Secondary data on NPL ratios (37% peak in 2009,  5.62% in April 2024) come from quarterly CBN bulletins (sector aggregates), NDIC reports (granular soundness indicators), and World Bank/IMF Financial Soundness Indicators (global benchmarks), with bank-specific audits. Reliability is strengthened by cross-checking: CBN supervisory reports and NDIC indicators rectify NPL opacity, validating perceptual data against verified ratios (e.g., audit independence with 2009 misstatements) in an underreporting environment (Olojede et al., 2020; Sanusi, 2014). Control variables in regressions include GDP growth and inflation (CBN, 2024) to isolate governance effects from macroeconomic influences, standard in CG-NPL studies to avoid confounding (Natufe &amp; Evbayiro-Osagie, 2023).</w:t>
      </w:r>
    </w:p>
    <w:p>
      <w:pPr>
        <w:sectPr>
          <w:type w:val="nextPage"/>
          <w:pgSz w:w="12240" w:h="15840"/>
          <w:pgMar w:left="1134" w:right="1134" w:gutter="0" w:header="0" w:top="1134" w:footer="0" w:bottom="1134"/>
          <w:pgNumType w:fmt="decimal"/>
          <w:formProt w:val="false"/>
          <w:textDirection w:val="lrTb"/>
          <w:docGrid w:type="default" w:linePitch="312" w:charSpace="0"/>
        </w:sectPr>
        <w:pStyle w:val="FirstParagraph"/>
        <w:rPr>
          <w:b/>
          <w:bCs/>
        </w:rPr>
      </w:pPr>
      <w:r>
        <w:rPr>
          <w:b/>
          <w:bCs/>
        </w:rPr>
      </w:r>
    </w:p>
    <w:p>
      <w:pPr>
        <w:pStyle w:val="FirstParagraph"/>
        <w:rPr>
          <w:b/>
          <w:bCs/>
        </w:rPr>
      </w:pPr>
      <w:r>
        <w:rPr>
          <w:b/>
          <w:bCs/>
        </w:rPr>
        <w:t xml:space="preserve">Table 3.2: </w:t>
      </w:r>
      <w:r>
        <w:rPr>
          <w:b/>
          <w:bCs/>
        </w:rPr>
        <w:t>Data Types, Sources, and Applications</w:t>
      </w:r>
    </w:p>
    <w:tbl>
      <w:tblPr>
        <w:tblStyle w:val="Table"/>
        <w:tblW w:w="1304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4460"/>
        <w:gridCol w:w="5940"/>
      </w:tblGrid>
      <w:tr>
        <w:trPr>
          <w:tblHeader w:val="true"/>
        </w:trPr>
        <w:tc>
          <w:tcPr>
            <w:tcW w:w="2640" w:type="dxa"/>
            <w:tcBorders>
              <w:bottom w:val="single" w:sz="6" w:space="0" w:color="000000"/>
            </w:tcBorders>
            <w:vAlign w:val="bottom"/>
          </w:tcPr>
          <w:p>
            <w:pPr>
              <w:pStyle w:val="Compact"/>
              <w:spacing w:before="36" w:after="36"/>
              <w:rPr>
                <w:lang w:val="en-US" w:eastAsia="en-US" w:bidi="ar-SA"/>
              </w:rPr>
            </w:pPr>
            <w:r>
              <w:rPr>
                <w:lang w:val="en-US" w:eastAsia="en-US" w:bidi="ar-SA"/>
              </w:rPr>
              <w:t>Data Type</w:t>
            </w:r>
          </w:p>
        </w:tc>
        <w:tc>
          <w:tcPr>
            <w:tcW w:w="4460" w:type="dxa"/>
            <w:tcBorders>
              <w:bottom w:val="single" w:sz="6" w:space="0" w:color="000000"/>
            </w:tcBorders>
            <w:vAlign w:val="bottom"/>
          </w:tcPr>
          <w:p>
            <w:pPr>
              <w:pStyle w:val="Compact"/>
              <w:spacing w:before="36" w:after="36"/>
              <w:rPr>
                <w:lang w:val="en-US" w:eastAsia="en-US" w:bidi="ar-SA"/>
              </w:rPr>
            </w:pPr>
            <w:r>
              <w:rPr>
                <w:lang w:val="en-US" w:eastAsia="en-US" w:bidi="ar-SA"/>
              </w:rPr>
              <w:t>Source</w:t>
            </w:r>
          </w:p>
        </w:tc>
        <w:tc>
          <w:tcPr>
            <w:tcW w:w="5940" w:type="dxa"/>
            <w:tcBorders>
              <w:bottom w:val="single" w:sz="6" w:space="0" w:color="000000"/>
            </w:tcBorders>
            <w:vAlign w:val="bottom"/>
          </w:tcPr>
          <w:p>
            <w:pPr>
              <w:pStyle w:val="Compact"/>
              <w:spacing w:before="36" w:after="36"/>
              <w:rPr>
                <w:lang w:val="en-US" w:eastAsia="en-US" w:bidi="ar-SA"/>
              </w:rPr>
            </w:pPr>
            <w:r>
              <w:rPr>
                <w:lang w:val="en-US" w:eastAsia="en-US" w:bidi="ar-SA"/>
              </w:rPr>
              <w:t>Application</w:t>
            </w:r>
          </w:p>
        </w:tc>
      </w:tr>
      <w:tr>
        <w:trPr/>
        <w:tc>
          <w:tcPr>
            <w:tcW w:w="2640" w:type="dxa"/>
            <w:tcBorders/>
          </w:tcPr>
          <w:p>
            <w:pPr>
              <w:pStyle w:val="Compact"/>
              <w:spacing w:before="36" w:after="36"/>
              <w:rPr>
                <w:lang w:val="en-US" w:eastAsia="en-US" w:bidi="ar-SA"/>
              </w:rPr>
            </w:pPr>
            <w:r>
              <w:rPr>
                <w:lang w:val="en-US" w:eastAsia="en-US" w:bidi="ar-SA"/>
              </w:rPr>
              <w:t>Quantitative</w:t>
            </w:r>
          </w:p>
        </w:tc>
        <w:tc>
          <w:tcPr>
            <w:tcW w:w="4460" w:type="dxa"/>
            <w:tcBorders/>
          </w:tcPr>
          <w:p>
            <w:pPr>
              <w:pStyle w:val="Compact"/>
              <w:spacing w:before="36" w:after="36"/>
              <w:rPr>
                <w:lang w:val="en-US" w:eastAsia="en-US" w:bidi="ar-SA"/>
              </w:rPr>
            </w:pPr>
            <w:r>
              <w:rPr>
                <w:lang w:val="en-US" w:eastAsia="en-US" w:bidi="ar-SA"/>
              </w:rPr>
              <w:t>234 survey responses (7-point Likert scales) from stakeholders across 10 DMBs (April 2024); panel data from CBN/NDIC reports and audited financial statements (160 bank-years, 2009–2024)</w:t>
            </w:r>
          </w:p>
        </w:tc>
        <w:tc>
          <w:tcPr>
            <w:tcW w:w="5940" w:type="dxa"/>
            <w:tcBorders/>
          </w:tcPr>
          <w:p>
            <w:pPr>
              <w:pStyle w:val="Compact"/>
              <w:spacing w:before="36" w:after="36"/>
              <w:rPr>
                <w:lang w:val="en-US" w:eastAsia="en-US" w:bidi="ar-SA"/>
              </w:rPr>
            </w:pPr>
            <w:r>
              <w:rPr>
                <w:lang w:val="en-US" w:eastAsia="en-US" w:bidi="ar-SA"/>
              </w:rPr>
              <w:t>Fixed-effects panel regressions for RQ1 (governance indices modulation); bootstrapped mediation models for RQ2 (audit independence via reporting integrity); difference-in-differences for RQ3 (pre/post-reform disclosure shifts); cross-sectional regressions for RQ4 (regulatory clarity impacts)</w:t>
            </w:r>
          </w:p>
        </w:tc>
      </w:tr>
      <w:tr>
        <w:trPr/>
        <w:tc>
          <w:tcPr>
            <w:tcW w:w="2640" w:type="dxa"/>
            <w:tcBorders/>
          </w:tcPr>
          <w:p>
            <w:pPr>
              <w:pStyle w:val="Compact"/>
              <w:spacing w:before="36" w:after="36"/>
              <w:rPr>
                <w:lang w:val="en-US" w:eastAsia="en-US" w:bidi="ar-SA"/>
              </w:rPr>
            </w:pPr>
            <w:r>
              <w:rPr>
                <w:lang w:val="en-US" w:eastAsia="en-US" w:bidi="ar-SA"/>
              </w:rPr>
              <w:t>Qualitative</w:t>
            </w:r>
          </w:p>
        </w:tc>
        <w:tc>
          <w:tcPr>
            <w:tcW w:w="4460" w:type="dxa"/>
            <w:tcBorders/>
          </w:tcPr>
          <w:p>
            <w:pPr>
              <w:pStyle w:val="Compact"/>
              <w:spacing w:before="36" w:after="36"/>
              <w:rPr>
                <w:lang w:val="en-US" w:eastAsia="en-US" w:bidi="ar-SA"/>
              </w:rPr>
            </w:pPr>
            <w:r>
              <w:rPr>
                <w:lang w:val="en-US" w:eastAsia="en-US" w:bidi="ar-SA"/>
              </w:rPr>
              <w:t>10 semi-structured interviews with high-level executives (e.g., CEOs, board members) conducted in April 2024, probing contextual nuances of reforms and perceptions</w:t>
            </w:r>
          </w:p>
        </w:tc>
        <w:tc>
          <w:tcPr>
            <w:tcW w:w="5940" w:type="dxa"/>
            <w:tcBorders/>
          </w:tcPr>
          <w:p>
            <w:pPr>
              <w:pStyle w:val="Compact"/>
              <w:spacing w:before="36" w:after="36"/>
              <w:rPr>
                <w:lang w:val="en-US" w:eastAsia="en-US" w:bidi="ar-SA"/>
              </w:rPr>
            </w:pPr>
            <w:r>
              <w:rPr>
                <w:lang w:val="en-US" w:eastAsia="en-US" w:bidi="ar-SA"/>
              </w:rPr>
              <w:t>Thematic analysis to enrich interpretations for RQ2 (mediation insights), RQ3 (reform attributions), and RQ4 (harmonization feasibility), triangulated with quantitative results for convergent validity</w:t>
            </w:r>
          </w:p>
        </w:tc>
      </w:tr>
      <w:tr>
        <w:trPr>
          <w:trHeight w:val="2103" w:hRule="atLeast"/>
        </w:trPr>
        <w:tc>
          <w:tcPr>
            <w:tcW w:w="2640" w:type="dxa"/>
            <w:tcBorders/>
          </w:tcPr>
          <w:p>
            <w:pPr>
              <w:pStyle w:val="Compact"/>
              <w:spacing w:before="36" w:after="36"/>
              <w:rPr>
                <w:lang w:val="en-US" w:eastAsia="en-US" w:bidi="ar-SA"/>
              </w:rPr>
            </w:pPr>
            <w:r>
              <w:rPr>
                <w:lang w:val="en-US" w:eastAsia="en-US" w:bidi="ar-SA"/>
              </w:rPr>
              <w:t>Secondary</w:t>
            </w:r>
          </w:p>
        </w:tc>
        <w:tc>
          <w:tcPr>
            <w:tcW w:w="4460" w:type="dxa"/>
            <w:tcBorders/>
          </w:tcPr>
          <w:p>
            <w:pPr>
              <w:pStyle w:val="Compact"/>
              <w:spacing w:before="36" w:after="36"/>
              <w:rPr>
                <w:lang w:val="en-US" w:eastAsia="en-US" w:bidi="ar-SA"/>
              </w:rPr>
            </w:pPr>
            <w:r>
              <w:rPr>
                <w:lang w:val="en-US" w:eastAsia="en-US" w:bidi="ar-SA"/>
              </w:rPr>
              <w:t>CBN statistical bulletins, NDIC annual reports, World Bank/IMF macroeconomic indicators (e.g., GDP growth, inflation, oil prices; 2009–2024); reform documents (e.g., CBN 2014 Code, NCCG 2018, CAMA 2020, CBN Guidelines 2023)</w:t>
            </w:r>
          </w:p>
        </w:tc>
        <w:tc>
          <w:tcPr>
            <w:tcW w:w="5940" w:type="dxa"/>
            <w:tcBorders/>
          </w:tcPr>
          <w:p>
            <w:pPr>
              <w:pStyle w:val="Compact"/>
              <w:spacing w:before="36" w:after="36"/>
              <w:rPr>
                <w:lang w:val="en-US" w:eastAsia="en-US" w:bidi="ar-SA"/>
              </w:rPr>
            </w:pPr>
            <w:r>
              <w:rPr>
                <w:lang w:val="en-US" w:eastAsia="en-US" w:bidi="ar-SA"/>
              </w:rPr>
              <w:t>Cross-validation of NPL ratios and controls (e.g., bank size, capital adequacy, economic shocks); contextual benchmarking for temporal analyses in RQ1 and RQ3, and shock controls in RQ4</w:t>
            </w:r>
            <w:bookmarkStart w:id="22" w:name="data-sources"/>
            <w:bookmarkStart w:id="23" w:name="secondary-data"/>
            <w:bookmarkStart w:id="24" w:name="tab%3Adata_types"/>
            <w:bookmarkEnd w:id="22"/>
            <w:bookmarkEnd w:id="23"/>
            <w:bookmarkEnd w:id="24"/>
          </w:p>
        </w:tc>
      </w:tr>
    </w:tbl>
    <w:p>
      <w:pPr>
        <w:pStyle w:val="BodyText"/>
        <w:keepLines/>
        <w:spacing w:before="160" w:after="80"/>
        <w:ind w:hanging="0" w:left="0" w:right="0"/>
        <w:rPr>
          <w:rFonts w:ascii="Aptos Display" w:hAnsi="Aptos Display" w:eastAsia="" w:cs="" w:asciiTheme="majorHAnsi" w:cstheme="majorBidi" w:eastAsiaTheme="majorEastAsia" w:hAnsiTheme="majorHAnsi"/>
          <w:color w:themeColor="accent1" w:themeShade="bf" w:val="0F4761"/>
          <w:sz w:val="32"/>
          <w:szCs w:val="32"/>
        </w:rPr>
      </w:pPr>
      <w:r>
        <w:rPr>
          <w:rStyle w:val="Emphasis"/>
          <w:rFonts w:eastAsia="" w:cs="" w:cstheme="majorBidi" w:eastAsiaTheme="majorEastAsia" w:ascii="Aptos Display" w:hAnsi="Aptos Display"/>
          <w:color w:themeColor="accent1" w:themeShade="bf" w:val="0F4761"/>
          <w:sz w:val="32"/>
          <w:szCs w:val="32"/>
        </w:rPr>
        <w:t>Note.</w:t>
      </w:r>
      <w:r>
        <w:rPr>
          <w:rFonts w:eastAsia="" w:cs="" w:cstheme="majorBidi" w:eastAsiaTheme="majorEastAsia" w:ascii="Aptos Display" w:hAnsi="Aptos Display"/>
          <w:color w:themeColor="accent1" w:themeShade="bf" w:val="0F4761"/>
          <w:sz w:val="32"/>
          <w:szCs w:val="32"/>
        </w:rPr>
        <w:t xml:space="preserve"> This table summarizes the data types, sources, and analytical applications for a mixed-methods study on corporate governance (CG) and non-performing loan (NPL) ratios in Nigerian deposit money banks (DMBs). CBN = Central Bank of Nigeria; NDIC = Nigeria Deposit Insurance Corporation; IMF = International Monetary Fund; NCCG = Nigerian Code of Corporate Governance; CAMA = Companies and Allied Matters Act.</w:t>
      </w:r>
    </w:p>
    <w:p>
      <w:pPr>
        <w:sectPr>
          <w:type w:val="nextPage"/>
          <w:pgSz w:orient="landscape" w:w="15840" w:h="12240"/>
          <w:pgMar w:left="1134" w:right="1134" w:gutter="0" w:header="0" w:top="1134" w:footer="0" w:bottom="1134"/>
          <w:pgNumType w:fmt="decimal"/>
          <w:formProt w:val="false"/>
          <w:textDirection w:val="lrTb"/>
        </w:sectPr>
        <w:pStyle w:val="Heading2"/>
        <w:rPr/>
      </w:pPr>
      <w:r>
        <w:rPr/>
      </w:r>
    </w:p>
    <w:p>
      <w:pPr>
        <w:pStyle w:val="Heading2"/>
        <w:rPr/>
      </w:pPr>
      <w:r>
        <w:rPr/>
        <w:t xml:space="preserve">3.8 </w:t>
      </w:r>
      <w:r>
        <w:rPr/>
        <w:t>Variable Definition Measurement</w:t>
      </w:r>
    </w:p>
    <w:p>
      <w:pPr>
        <w:pStyle w:val="FirstParagraph"/>
        <w:rPr/>
      </w:pPr>
      <w:r>
        <w:rPr/>
        <w:t>Variables are operationalized to align corporate governance indices (disclosure, practice, compliance) with theoretical fidelity and empirical precision. Dependent Variable</w:t>
      </w:r>
    </w:p>
    <w:p>
      <w:pPr>
        <w:pStyle w:val="BodyText"/>
        <w:rPr/>
      </w:pPr>
      <w:r>
        <w:rPr/>
        <w:t>Non-performing loan ratio (NPLR): IFRS-9 Stage-3 credit-impaired assets divided by gross loans and advances, expressed as a percentage. Exposures reflect significant credit deterioration; consistency post-2018 IFRS-9 transition aligns with post-2009 reforms (CBN, 2018). NPLR’s validity as a default proxy aligns with CBN’s 5% threshold and emerging-market literature (Natufe &amp; Evbayiro-Osagie, 2023; Fernando et al., 2019).</w:t>
      </w:r>
    </w:p>
    <w:p>
      <w:pPr>
        <w:pStyle w:val="BodyText"/>
        <w:rPr/>
      </w:pPr>
      <w:r>
        <w:rPr/>
        <w:t>Independent Variables: Corporate Governance Indices (i) Disclosure (CGDI): 60-item checklist based on OECD (2015) and CBN (2018) templates, scored 1 for disclosed items (e.g., board composition, risk policies) in annual reports/governance statements, scaled 0–100 for informational breadth and timeliness.</w:t>
      </w:r>
    </w:p>
    <w:p>
      <w:pPr>
        <w:pStyle w:val="BodyText"/>
        <w:rPr/>
      </w:pPr>
      <w:r>
        <w:rPr/>
        <w:t>(ii) Practice (OPEFF): 100 × (1 – cost-to-income ratio); higher scores indicate efficient, controlled processes mitigating underwriting errors (COSO, 2013). (iii) Compliance (COMID): Weighted composite (equal weights) of prudential-return timeliness (days late), CAMELS rating accuracy, and audit discrepancies remediation speed (days to resolve CBN findings), normalized 0–100 for behavioral adherence beyond binary compliance.</w:t>
      </w:r>
    </w:p>
    <w:p>
      <w:pPr>
        <w:pStyle w:val="BodyText"/>
        <w:rPr/>
      </w:pPr>
      <w:r>
        <w:rPr/>
        <w:t>(iv) Audit Committee Independence: 5 questionnaire items on 7-point Likert scale (</w:t>
      </w:r>
      <w:r>
        <w:rPr/>
      </w:r>
      <m:oMath xmlns:m="http://schemas.openxmlformats.org/officeDocument/2006/math">
        <m:r>
          <w:rPr>
            <w:rFonts w:ascii="Cambria Math" w:hAnsi="Cambria Math"/>
          </w:rPr>
          <m:t xml:space="preserve">α</m:t>
        </m:r>
      </m:oMath>
      <w:r>
        <w:rPr/>
        <w:t>=0.85) measuring autonomy and effectiveness (e.g., "Audit committees operate free from shareholder influence," informed by Adegbite, 2014), including mediation by financial reporting integrity.</w:t>
      </w:r>
    </w:p>
    <w:p>
      <w:pPr>
        <w:pStyle w:val="BodyText"/>
        <w:rPr/>
      </w:pPr>
      <w:r>
        <w:rPr/>
        <w:t>(v) Regulatory Clarity: 6 questionnaire items on 7-point Likert scale (</w:t>
      </w:r>
      <w:r>
        <w:rPr/>
      </w:r>
      <m:oMath xmlns:m="http://schemas.openxmlformats.org/officeDocument/2006/math">
        <m:r>
          <w:rPr>
            <w:rFonts w:ascii="Cambria Math" w:hAnsi="Cambria Math"/>
          </w:rPr>
          <m:t xml:space="preserve">α</m:t>
        </m:r>
      </m:oMath>
      <w:r>
        <w:rPr/>
        <w:t xml:space="preserve">=0.88) measuring clarity and enforcement consistency (e.g., "Harmonized regulations reduce compliance ambiguity," drawn from Abdulmalik &amp; Ahmad, 2020). Control Variables Log GDP per capita (LnGDPPC): Natural log of constant 2010 US$ values (World Bank, 2024) for cyclical repayment capacity (e.g., $2,447.64 in 2024). Regressions include bank size (log total assets) and inflation (CBN, 2024). For RQ2–RQ4, questionnaire items on 7-point Likert operationalize constructs (e.g., audit committee independence: 5 items, </w:t>
      </w:r>
      <w:r>
        <w:rPr/>
      </w:r>
      <m:oMath xmlns:m="http://schemas.openxmlformats.org/officeDocument/2006/math">
        <m:r>
          <w:rPr>
            <w:rFonts w:ascii="Cambria Math" w:hAnsi="Cambria Math"/>
          </w:rPr>
          <m:t xml:space="preserve">α</m:t>
        </m:r>
      </m:oMath>
      <w:r>
        <w:rPr/>
        <w:t xml:space="preserve">=0.85; regulatory clarity: 6 items, </w:t>
      </w:r>
      <w:r>
        <w:rPr/>
      </w:r>
      <m:oMath xmlns:m="http://schemas.openxmlformats.org/officeDocument/2006/math">
        <m:r>
          <w:rPr>
            <w:rFonts w:ascii="Cambria Math" w:hAnsi="Cambria Math"/>
          </w:rPr>
          <m:t xml:space="preserve">α</m:t>
        </m:r>
      </m:oMath>
      <w:r>
        <w:rPr/>
        <w:t>=0.88). Interview guides probe qualitatively.</w:t>
      </w:r>
    </w:p>
    <w:p>
      <w:pPr>
        <w:sectPr>
          <w:type w:val="nextPage"/>
          <w:pgSz w:w="12240" w:h="15840"/>
          <w:pgMar w:left="1134" w:right="1134" w:gutter="0" w:header="0" w:top="1134" w:footer="0" w:bottom="1134"/>
          <w:pgNumType w:fmt="decimal"/>
          <w:formProt w:val="false"/>
          <w:textDirection w:val="lrTb"/>
          <w:docGrid w:type="default" w:linePitch="312" w:charSpace="0"/>
        </w:sectPr>
        <w:pStyle w:val="TableCaption"/>
        <w:rPr>
          <w:b/>
          <w:bCs/>
        </w:rPr>
      </w:pPr>
      <w:r>
        <w:rPr>
          <w:b/>
          <w:bCs/>
        </w:rPr>
      </w:r>
    </w:p>
    <w:p>
      <w:pPr>
        <w:pStyle w:val="TableCaption"/>
        <w:rPr>
          <w:b/>
          <w:bCs/>
        </w:rPr>
      </w:pPr>
      <w:r>
        <w:rPr>
          <w:b/>
          <w:bCs/>
        </w:rPr>
        <w:t xml:space="preserve">Table 3.3: </w:t>
      </w:r>
      <w:r>
        <w:rPr>
          <w:b/>
          <w:bCs/>
        </w:rPr>
        <w:t>Variable Definition Measurement</w:t>
      </w:r>
    </w:p>
    <w:tbl>
      <w:tblPr>
        <w:tblStyle w:val="Table"/>
        <w:tblW w:w="1358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8520"/>
        <w:gridCol w:w="2420"/>
      </w:tblGrid>
      <w:tr>
        <w:trPr>
          <w:tblHeader w:val="true"/>
        </w:trPr>
        <w:tc>
          <w:tcPr>
            <w:tcW w:w="2640" w:type="dxa"/>
            <w:tcBorders>
              <w:bottom w:val="single" w:sz="6" w:space="0" w:color="000000"/>
            </w:tcBorders>
            <w:vAlign w:val="bottom"/>
          </w:tcPr>
          <w:p>
            <w:pPr>
              <w:pStyle w:val="Compact"/>
              <w:spacing w:before="36" w:after="36"/>
              <w:rPr>
                <w:lang w:val="en-US" w:eastAsia="en-US" w:bidi="ar-SA"/>
              </w:rPr>
            </w:pPr>
            <w:r>
              <w:rPr>
                <w:lang w:val="en-US" w:eastAsia="en-US" w:bidi="ar-SA"/>
              </w:rPr>
              <w:t>Variable</w:t>
            </w:r>
          </w:p>
        </w:tc>
        <w:tc>
          <w:tcPr>
            <w:tcW w:w="8520" w:type="dxa"/>
            <w:tcBorders>
              <w:bottom w:val="single" w:sz="6" w:space="0" w:color="000000"/>
            </w:tcBorders>
            <w:vAlign w:val="bottom"/>
          </w:tcPr>
          <w:p>
            <w:pPr>
              <w:pStyle w:val="Compact"/>
              <w:spacing w:before="36" w:after="36"/>
              <w:rPr>
                <w:lang w:val="en-US" w:eastAsia="en-US" w:bidi="ar-SA"/>
              </w:rPr>
            </w:pPr>
            <w:r>
              <w:rPr>
                <w:lang w:val="en-US" w:eastAsia="en-US" w:bidi="ar-SA"/>
              </w:rPr>
              <w:t>Description</w:t>
            </w:r>
          </w:p>
        </w:tc>
        <w:tc>
          <w:tcPr>
            <w:tcW w:w="2420" w:type="dxa"/>
            <w:tcBorders>
              <w:bottom w:val="single" w:sz="6" w:space="0" w:color="000000"/>
            </w:tcBorders>
            <w:vAlign w:val="bottom"/>
          </w:tcPr>
          <w:p>
            <w:pPr>
              <w:pStyle w:val="Compact"/>
              <w:spacing w:before="36" w:after="36"/>
              <w:rPr>
                <w:lang w:val="en-US" w:eastAsia="en-US" w:bidi="ar-SA"/>
              </w:rPr>
            </w:pPr>
            <w:r>
              <w:rPr>
                <w:lang w:val="en-US" w:eastAsia="en-US" w:bidi="ar-SA"/>
              </w:rPr>
              <w:t>Source</w:t>
            </w:r>
          </w:p>
        </w:tc>
      </w:tr>
      <w:tr>
        <w:trPr/>
        <w:tc>
          <w:tcPr>
            <w:tcW w:w="2640" w:type="dxa"/>
            <w:tcBorders/>
          </w:tcPr>
          <w:p>
            <w:pPr>
              <w:pStyle w:val="Compact"/>
              <w:spacing w:before="36" w:after="36"/>
              <w:rPr>
                <w:lang w:val="en-US" w:eastAsia="en-US" w:bidi="ar-SA"/>
              </w:rPr>
            </w:pPr>
            <w:r>
              <w:rPr>
                <w:lang w:val="en-US" w:eastAsia="en-US" w:bidi="ar-SA"/>
              </w:rPr>
              <w:t>NPLR</w:t>
            </w:r>
          </w:p>
        </w:tc>
        <w:tc>
          <w:tcPr>
            <w:tcW w:w="8520" w:type="dxa"/>
            <w:tcBorders/>
          </w:tcPr>
          <w:p>
            <w:pPr>
              <w:pStyle w:val="Compact"/>
              <w:spacing w:before="36" w:after="36"/>
              <w:rPr>
                <w:lang w:val="en-US" w:eastAsia="en-US" w:bidi="ar-SA"/>
              </w:rPr>
            </w:pPr>
            <w:r>
              <w:rPr>
                <w:lang w:val="en-US" w:eastAsia="en-US" w:bidi="ar-SA"/>
              </w:rPr>
              <w:t>Non-performing loan ratio (IFRS-9 Stage-3 assets / gross loans (%))</w:t>
            </w:r>
          </w:p>
        </w:tc>
        <w:tc>
          <w:tcPr>
            <w:tcW w:w="2420" w:type="dxa"/>
            <w:tcBorders/>
          </w:tcPr>
          <w:p>
            <w:pPr>
              <w:pStyle w:val="Compact"/>
              <w:spacing w:before="36" w:after="36"/>
              <w:rPr>
                <w:lang w:val="en-US" w:eastAsia="en-US" w:bidi="ar-SA"/>
              </w:rPr>
            </w:pPr>
            <w:r>
              <w:rPr>
                <w:lang w:val="en-US" w:eastAsia="en-US" w:bidi="ar-SA"/>
              </w:rPr>
              <w:t>Annual reports, CBN</w:t>
            </w:r>
          </w:p>
        </w:tc>
      </w:tr>
      <w:tr>
        <w:trPr/>
        <w:tc>
          <w:tcPr>
            <w:tcW w:w="2640" w:type="dxa"/>
            <w:tcBorders/>
          </w:tcPr>
          <w:p>
            <w:pPr>
              <w:pStyle w:val="Compact"/>
              <w:spacing w:before="36" w:after="36"/>
              <w:rPr>
                <w:lang w:val="en-US" w:eastAsia="en-US" w:bidi="ar-SA"/>
              </w:rPr>
            </w:pPr>
            <w:r>
              <w:rPr>
                <w:lang w:val="en-US" w:eastAsia="en-US" w:bidi="ar-SA"/>
              </w:rPr>
              <w:t>CGDI</w:t>
            </w:r>
          </w:p>
        </w:tc>
        <w:tc>
          <w:tcPr>
            <w:tcW w:w="8520" w:type="dxa"/>
            <w:tcBorders/>
          </w:tcPr>
          <w:p>
            <w:pPr>
              <w:pStyle w:val="Compact"/>
              <w:spacing w:before="36" w:after="36"/>
              <w:rPr>
                <w:lang w:val="en-US" w:eastAsia="en-US" w:bidi="ar-SA"/>
              </w:rPr>
            </w:pPr>
            <w:r>
              <w:rPr>
                <w:lang w:val="en-US" w:eastAsia="en-US" w:bidi="ar-SA"/>
              </w:rPr>
              <w:t>Disclosure index (60-item checklist / 60 × 100)</w:t>
            </w:r>
          </w:p>
        </w:tc>
        <w:tc>
          <w:tcPr>
            <w:tcW w:w="2420" w:type="dxa"/>
            <w:tcBorders/>
          </w:tcPr>
          <w:p>
            <w:pPr>
              <w:pStyle w:val="Compact"/>
              <w:spacing w:before="36" w:after="36"/>
              <w:rPr>
                <w:lang w:val="en-US" w:eastAsia="en-US" w:bidi="ar-SA"/>
              </w:rPr>
            </w:pPr>
            <w:r>
              <w:rPr>
                <w:lang w:val="en-US" w:eastAsia="en-US" w:bidi="ar-SA"/>
              </w:rPr>
              <w:t>Annual reports, OECD/CBN templates</w:t>
            </w:r>
          </w:p>
        </w:tc>
      </w:tr>
      <w:tr>
        <w:trPr/>
        <w:tc>
          <w:tcPr>
            <w:tcW w:w="2640" w:type="dxa"/>
            <w:tcBorders/>
          </w:tcPr>
          <w:p>
            <w:pPr>
              <w:pStyle w:val="Compact"/>
              <w:spacing w:before="36" w:after="36"/>
              <w:rPr>
                <w:lang w:val="en-US" w:eastAsia="en-US" w:bidi="ar-SA"/>
              </w:rPr>
            </w:pPr>
            <w:r>
              <w:rPr>
                <w:lang w:val="en-US" w:eastAsia="en-US" w:bidi="ar-SA"/>
              </w:rPr>
              <w:t>OPEFF</w:t>
            </w:r>
          </w:p>
        </w:tc>
        <w:tc>
          <w:tcPr>
            <w:tcW w:w="8520" w:type="dxa"/>
            <w:tcBorders/>
          </w:tcPr>
          <w:p>
            <w:pPr>
              <w:pStyle w:val="Compact"/>
              <w:spacing w:before="36" w:after="36"/>
              <w:rPr>
                <w:lang w:val="en-US" w:eastAsia="en-US" w:bidi="ar-SA"/>
              </w:rPr>
            </w:pPr>
            <w:r>
              <w:rPr>
                <w:lang w:val="en-US" w:eastAsia="en-US" w:bidi="ar-SA"/>
              </w:rPr>
              <w:t>Practice index (100 × (1 – cost-to-income ratio))</w:t>
            </w:r>
          </w:p>
        </w:tc>
        <w:tc>
          <w:tcPr>
            <w:tcW w:w="2420" w:type="dxa"/>
            <w:tcBorders/>
          </w:tcPr>
          <w:p>
            <w:pPr>
              <w:pStyle w:val="Compact"/>
              <w:spacing w:before="36" w:after="36"/>
              <w:rPr>
                <w:lang w:val="en-US" w:eastAsia="en-US" w:bidi="ar-SA"/>
              </w:rPr>
            </w:pPr>
            <w:r>
              <w:rPr>
                <w:lang w:val="en-US" w:eastAsia="en-US" w:bidi="ar-SA"/>
              </w:rPr>
              <w:t>Bank income statements</w:t>
            </w:r>
          </w:p>
        </w:tc>
      </w:tr>
      <w:tr>
        <w:trPr/>
        <w:tc>
          <w:tcPr>
            <w:tcW w:w="2640" w:type="dxa"/>
            <w:tcBorders/>
          </w:tcPr>
          <w:p>
            <w:pPr>
              <w:pStyle w:val="Compact"/>
              <w:spacing w:before="36" w:after="36"/>
              <w:rPr>
                <w:lang w:val="en-US" w:eastAsia="en-US" w:bidi="ar-SA"/>
              </w:rPr>
            </w:pPr>
            <w:r>
              <w:rPr>
                <w:lang w:val="en-US" w:eastAsia="en-US" w:bidi="ar-SA"/>
              </w:rPr>
              <w:t>COMID</w:t>
            </w:r>
          </w:p>
        </w:tc>
        <w:tc>
          <w:tcPr>
            <w:tcW w:w="8520" w:type="dxa"/>
            <w:tcBorders/>
          </w:tcPr>
          <w:p>
            <w:pPr>
              <w:pStyle w:val="Compact"/>
              <w:spacing w:before="36" w:after="36"/>
              <w:rPr>
                <w:lang w:val="en-US" w:eastAsia="en-US" w:bidi="ar-SA"/>
              </w:rPr>
            </w:pPr>
            <w:r>
              <w:rPr>
                <w:lang w:val="en-US" w:eastAsia="en-US" w:bidi="ar-SA"/>
              </w:rPr>
              <w:t>Compliance index (Weighted composite of return accuracy, CAMELS, remediation speed (0–100))</w:t>
            </w:r>
          </w:p>
        </w:tc>
        <w:tc>
          <w:tcPr>
            <w:tcW w:w="2420" w:type="dxa"/>
            <w:tcBorders/>
          </w:tcPr>
          <w:p>
            <w:pPr>
              <w:pStyle w:val="Compact"/>
              <w:spacing w:before="36" w:after="36"/>
              <w:rPr>
                <w:lang w:val="en-US" w:eastAsia="en-US" w:bidi="ar-SA"/>
              </w:rPr>
            </w:pPr>
            <w:r>
              <w:rPr>
                <w:lang w:val="en-US" w:eastAsia="en-US" w:bidi="ar-SA"/>
              </w:rPr>
              <w:t>CBN supervision archives</w:t>
            </w:r>
          </w:p>
        </w:tc>
      </w:tr>
      <w:tr>
        <w:trPr/>
        <w:tc>
          <w:tcPr>
            <w:tcW w:w="2640" w:type="dxa"/>
            <w:tcBorders/>
          </w:tcPr>
          <w:p>
            <w:pPr>
              <w:pStyle w:val="Compact"/>
              <w:spacing w:before="36" w:after="36"/>
              <w:rPr>
                <w:lang w:val="en-US" w:eastAsia="en-US" w:bidi="ar-SA"/>
              </w:rPr>
            </w:pPr>
            <w:r>
              <w:rPr>
                <w:lang w:val="en-US" w:eastAsia="en-US" w:bidi="ar-SA"/>
              </w:rPr>
              <w:t>Audit Committee Independence</w:t>
            </w:r>
          </w:p>
        </w:tc>
        <w:tc>
          <w:tcPr>
            <w:tcW w:w="8520" w:type="dxa"/>
            <w:tcBorders/>
          </w:tcPr>
          <w:p>
            <w:pPr>
              <w:pStyle w:val="Compact"/>
              <w:spacing w:before="36" w:after="36"/>
              <w:rPr>
                <w:lang w:val="en-US" w:eastAsia="en-US" w:bidi="ar-SA"/>
              </w:rPr>
            </w:pPr>
            <w:r>
              <w:rPr>
                <w:lang w:val="en-US" w:eastAsia="en-US" w:bidi="ar-SA"/>
              </w:rPr>
              <w:t>Autonomy and effectiveness (5-item Likert scale (</w:t>
            </w:r>
            <w:r>
              <w:rPr>
                <w:lang w:val="en-US" w:eastAsia="en-US" w:bidi="ar-SA"/>
              </w:rPr>
            </w:r>
            <m:oMath xmlns:m="http://schemas.openxmlformats.org/officeDocument/2006/math">
              <m:r>
                <w:rPr>
                  <w:rFonts w:ascii="Cambria Math" w:hAnsi="Cambria Math"/>
                </w:rPr>
                <m:t xml:space="preserve">α</m:t>
              </m:r>
            </m:oMath>
            <w:r>
              <w:rPr>
                <w:lang w:val="en-US" w:eastAsia="en-US" w:bidi="ar-SA"/>
              </w:rPr>
              <w:t>=0.85))</w:t>
            </w:r>
          </w:p>
        </w:tc>
        <w:tc>
          <w:tcPr>
            <w:tcW w:w="2420" w:type="dxa"/>
            <w:tcBorders/>
          </w:tcPr>
          <w:p>
            <w:pPr>
              <w:pStyle w:val="Compact"/>
              <w:spacing w:before="36" w:after="36"/>
              <w:rPr>
                <w:lang w:val="en-US" w:eastAsia="en-US" w:bidi="ar-SA"/>
              </w:rPr>
            </w:pPr>
            <w:r>
              <w:rPr>
                <w:lang w:val="en-US" w:eastAsia="en-US" w:bidi="ar-SA"/>
              </w:rPr>
              <w:t>Questionnaire responses</w:t>
            </w:r>
          </w:p>
        </w:tc>
      </w:tr>
      <w:tr>
        <w:trPr/>
        <w:tc>
          <w:tcPr>
            <w:tcW w:w="2640" w:type="dxa"/>
            <w:tcBorders/>
          </w:tcPr>
          <w:p>
            <w:pPr>
              <w:pStyle w:val="Compact"/>
              <w:spacing w:before="36" w:after="36"/>
              <w:rPr>
                <w:lang w:val="en-US" w:eastAsia="en-US" w:bidi="ar-SA"/>
              </w:rPr>
            </w:pPr>
            <w:r>
              <w:rPr>
                <w:lang w:val="en-US" w:eastAsia="en-US" w:bidi="ar-SA"/>
              </w:rPr>
              <w:t>Regulatory Clarity</w:t>
            </w:r>
          </w:p>
        </w:tc>
        <w:tc>
          <w:tcPr>
            <w:tcW w:w="8520" w:type="dxa"/>
            <w:tcBorders/>
          </w:tcPr>
          <w:p>
            <w:pPr>
              <w:pStyle w:val="Compact"/>
              <w:spacing w:before="36" w:after="36"/>
              <w:rPr>
                <w:lang w:val="en-US" w:eastAsia="en-US" w:bidi="ar-SA"/>
              </w:rPr>
            </w:pPr>
            <w:r>
              <w:rPr>
                <w:lang w:val="en-US" w:eastAsia="en-US" w:bidi="ar-SA"/>
              </w:rPr>
              <w:t>Regulatory consistency (6-item Likert scale (</w:t>
            </w:r>
            <w:r>
              <w:rPr>
                <w:lang w:val="en-US" w:eastAsia="en-US" w:bidi="ar-SA"/>
              </w:rPr>
            </w:r>
            <m:oMath xmlns:m="http://schemas.openxmlformats.org/officeDocument/2006/math">
              <m:r>
                <w:rPr>
                  <w:rFonts w:ascii="Cambria Math" w:hAnsi="Cambria Math"/>
                </w:rPr>
                <m:t xml:space="preserve">α</m:t>
              </m:r>
            </m:oMath>
            <w:r>
              <w:rPr>
                <w:lang w:val="en-US" w:eastAsia="en-US" w:bidi="ar-SA"/>
              </w:rPr>
              <w:t>=0.88))</w:t>
            </w:r>
          </w:p>
        </w:tc>
        <w:tc>
          <w:tcPr>
            <w:tcW w:w="2420" w:type="dxa"/>
            <w:tcBorders/>
          </w:tcPr>
          <w:p>
            <w:pPr>
              <w:pStyle w:val="Compact"/>
              <w:spacing w:before="36" w:after="36"/>
              <w:rPr>
                <w:lang w:val="en-US" w:eastAsia="en-US" w:bidi="ar-SA"/>
              </w:rPr>
            </w:pPr>
            <w:r>
              <w:rPr>
                <w:lang w:val="en-US" w:eastAsia="en-US" w:bidi="ar-SA"/>
              </w:rPr>
              <w:t>Questionnaire responses</w:t>
            </w:r>
          </w:p>
        </w:tc>
      </w:tr>
      <w:tr>
        <w:trPr/>
        <w:tc>
          <w:tcPr>
            <w:tcW w:w="2640" w:type="dxa"/>
            <w:tcBorders/>
          </w:tcPr>
          <w:p>
            <w:pPr>
              <w:pStyle w:val="Compact"/>
              <w:spacing w:before="36" w:after="36"/>
              <w:rPr>
                <w:lang w:val="en-US" w:eastAsia="en-US" w:bidi="ar-SA"/>
              </w:rPr>
            </w:pPr>
            <w:r>
              <w:rPr>
                <w:lang w:val="en-US" w:eastAsia="en-US" w:bidi="ar-SA"/>
              </w:rPr>
              <w:t>LnGDPPC</w:t>
            </w:r>
          </w:p>
        </w:tc>
        <w:tc>
          <w:tcPr>
            <w:tcW w:w="8520" w:type="dxa"/>
            <w:tcBorders/>
          </w:tcPr>
          <w:p>
            <w:pPr>
              <w:pStyle w:val="Compact"/>
              <w:spacing w:before="36" w:after="36"/>
              <w:rPr>
                <w:lang w:val="en-US" w:eastAsia="en-US" w:bidi="ar-SA"/>
              </w:rPr>
            </w:pPr>
            <w:r>
              <w:rPr>
                <w:lang w:val="en-US" w:eastAsia="en-US" w:bidi="ar-SA"/>
              </w:rPr>
              <w:t>Macro control (ln(GDP per capita, 2010 US$))</w:t>
            </w:r>
          </w:p>
        </w:tc>
        <w:tc>
          <w:tcPr>
            <w:tcW w:w="2420" w:type="dxa"/>
            <w:tcBorders/>
          </w:tcPr>
          <w:p>
            <w:pPr>
              <w:pStyle w:val="Compact"/>
              <w:spacing w:before="36" w:after="36"/>
              <w:rPr>
                <w:lang w:val="en-US" w:eastAsia="en-US" w:bidi="ar-SA"/>
              </w:rPr>
            </w:pPr>
            <w:r>
              <w:rPr>
                <w:lang w:val="en-US" w:eastAsia="en-US" w:bidi="ar-SA"/>
              </w:rPr>
              <w:t>World Bank Development Indicators</w:t>
            </w:r>
          </w:p>
        </w:tc>
      </w:tr>
      <w:tr>
        <w:trPr/>
        <w:tc>
          <w:tcPr>
            <w:tcW w:w="2640" w:type="dxa"/>
            <w:tcBorders/>
          </w:tcPr>
          <w:p>
            <w:pPr>
              <w:pStyle w:val="Compact"/>
              <w:spacing w:before="36" w:after="36"/>
              <w:rPr>
                <w:lang w:val="en-US" w:eastAsia="en-US" w:bidi="ar-SA"/>
              </w:rPr>
            </w:pPr>
            <w:r>
              <w:rPr>
                <w:lang w:val="en-US" w:eastAsia="en-US" w:bidi="ar-SA"/>
              </w:rPr>
              <w:t>Bank Size</w:t>
            </w:r>
          </w:p>
        </w:tc>
        <w:tc>
          <w:tcPr>
            <w:tcW w:w="8520" w:type="dxa"/>
            <w:tcBorders/>
          </w:tcPr>
          <w:p>
            <w:pPr>
              <w:pStyle w:val="Compact"/>
              <w:spacing w:before="36" w:after="36"/>
              <w:rPr>
                <w:lang w:val="en-US" w:eastAsia="en-US" w:bidi="ar-SA"/>
              </w:rPr>
            </w:pPr>
            <w:r>
              <w:rPr>
                <w:lang w:val="en-US" w:eastAsia="en-US" w:bidi="ar-SA"/>
              </w:rPr>
              <w:t>Total assets (ln(total assets))</w:t>
            </w:r>
          </w:p>
        </w:tc>
        <w:tc>
          <w:tcPr>
            <w:tcW w:w="2420" w:type="dxa"/>
            <w:tcBorders/>
          </w:tcPr>
          <w:p>
            <w:pPr>
              <w:pStyle w:val="Compact"/>
              <w:spacing w:before="36" w:after="36"/>
              <w:rPr>
                <w:lang w:val="en-US" w:eastAsia="en-US" w:bidi="ar-SA"/>
              </w:rPr>
            </w:pPr>
            <w:r>
              <w:rPr>
                <w:lang w:val="en-US" w:eastAsia="en-US" w:bidi="ar-SA"/>
              </w:rPr>
              <w:t>Bank financial statements</w:t>
            </w:r>
          </w:p>
        </w:tc>
      </w:tr>
      <w:tr>
        <w:trPr/>
        <w:tc>
          <w:tcPr>
            <w:tcW w:w="2640" w:type="dxa"/>
            <w:tcBorders/>
          </w:tcPr>
          <w:p>
            <w:pPr>
              <w:pStyle w:val="Compact"/>
              <w:spacing w:before="36" w:after="36"/>
              <w:rPr>
                <w:lang w:val="en-US" w:eastAsia="en-US" w:bidi="ar-SA"/>
              </w:rPr>
            </w:pPr>
            <w:r>
              <w:rPr>
                <w:lang w:val="en-US" w:eastAsia="en-US" w:bidi="ar-SA"/>
              </w:rPr>
              <w:t>Inflation</w:t>
            </w:r>
          </w:p>
        </w:tc>
        <w:tc>
          <w:tcPr>
            <w:tcW w:w="8520" w:type="dxa"/>
            <w:tcBorders/>
          </w:tcPr>
          <w:p>
            <w:pPr>
              <w:pStyle w:val="Compact"/>
              <w:spacing w:before="36" w:after="36"/>
              <w:rPr>
                <w:lang w:val="en-US" w:eastAsia="en-US" w:bidi="ar-SA"/>
              </w:rPr>
            </w:pPr>
            <w:r>
              <w:rPr>
                <w:lang w:val="en-US" w:eastAsia="en-US" w:bidi="ar-SA"/>
              </w:rPr>
              <w:t>Macro control (Annual inflation rate (%))</w:t>
            </w:r>
          </w:p>
        </w:tc>
        <w:tc>
          <w:tcPr>
            <w:tcW w:w="2420" w:type="dxa"/>
            <w:tcBorders/>
          </w:tcPr>
          <w:p>
            <w:pPr>
              <w:pStyle w:val="Compact"/>
              <w:spacing w:before="36" w:after="36"/>
              <w:rPr>
                <w:lang w:val="en-US" w:eastAsia="en-US" w:bidi="ar-SA"/>
              </w:rPr>
            </w:pPr>
            <w:r>
              <w:rPr>
                <w:lang w:val="en-US" w:eastAsia="en-US" w:bidi="ar-SA"/>
              </w:rPr>
              <w:t>CBN</w:t>
            </w:r>
            <w:bookmarkStart w:id="25" w:name="tab%3Avariables"/>
            <w:bookmarkEnd w:id="25"/>
          </w:p>
        </w:tc>
      </w:tr>
    </w:tbl>
    <w:p>
      <w:pPr>
        <w:pStyle w:val="BodyText"/>
        <w:rPr/>
      </w:pPr>
      <w:r>
        <w:rPr/>
      </w:r>
      <w:bookmarkEnd w:id="10"/>
    </w:p>
    <w:p>
      <w:pPr>
        <w:pStyle w:val="BodyText"/>
        <w:ind w:hanging="0" w:left="0" w:right="0"/>
        <w:rPr/>
      </w:pPr>
      <w:r>
        <w:rPr>
          <w:rStyle w:val="Emphasis"/>
        </w:rPr>
        <w:t>Note.</w:t>
      </w:r>
      <w:r>
        <w:rPr/>
        <w:t xml:space="preserve"> This table defines key variables used in the analysis of corporate governance (CG) and non-performing loan (NPL) ratios in Nigerian deposit money banks (DMBs). All indices are scaled to 0–100 unless otherwise specified. Cronbach’s α values are reported for multi-item perceptual scales. IFRS-9 = International Financial Reporting Standard 9; CBN = Central Bank of Nigeria; OECD = Organisation for Economic Co-operation and Development; CAMELS = Capital adequacy, Asset quality, Management, Earnings, Liquidity, Sensitivity.</w:t>
      </w:r>
      <w:bookmarkStart w:id="26" w:name="tab%3Avariables_Copy_1"/>
      <w:bookmarkEnd w:id="26"/>
    </w:p>
    <w:p>
      <w:pPr>
        <w:sectPr>
          <w:type w:val="nextPage"/>
          <w:pgSz w:orient="landscape" w:w="15840" w:h="12240"/>
          <w:pgMar w:left="1134" w:right="1134" w:gutter="0" w:header="0" w:top="1134" w:footer="0" w:bottom="1134"/>
          <w:pgNumType w:fmt="decimal"/>
          <w:formProt w:val="false"/>
          <w:textDirection w:val="lrTb"/>
        </w:sectPr>
        <w:pStyle w:val="Heading1"/>
        <w:rPr/>
      </w:pPr>
      <w:r>
        <w:rPr/>
      </w:r>
    </w:p>
    <w:p>
      <w:pPr>
        <w:pStyle w:val="Heading1"/>
        <w:rPr/>
      </w:pPr>
      <w:r>
        <w:rPr/>
        <w:t xml:space="preserve">3.9 </w:t>
      </w:r>
      <w:bookmarkStart w:id="27" w:name="data-analysis-procedures"/>
      <w:r>
        <w:rPr/>
        <w:t>Data Analysis Procedures</w:t>
      </w:r>
    </w:p>
    <w:p>
      <w:pPr>
        <w:pStyle w:val="Heading2"/>
        <w:rPr/>
      </w:pPr>
      <w:r>
        <w:rPr/>
        <w:t xml:space="preserve">3.9.1 </w:t>
      </w:r>
      <w:bookmarkStart w:id="28" w:name="econometric-specification"/>
      <w:r>
        <w:rPr/>
        <w:t>Econometric Specification</w:t>
      </w:r>
    </w:p>
    <w:p>
      <w:pPr>
        <w:pStyle w:val="FirstParagraph"/>
        <w:rPr/>
      </w:pPr>
      <w:r>
        <w:rPr/>
        <w:t>For RQ1, the baseline two-way fixed-effects model is:</w:t>
      </w:r>
    </w:p>
    <w:p>
      <w:pPr>
        <w:pStyle w:val="BodyText"/>
        <w:rPr/>
      </w:pPr>
      <w:r>
        <w:rPr/>
      </w:r>
      <m:oMathPara xmlns:m="http://schemas.openxmlformats.org/officeDocument/2006/math">
        <m:oMathParaPr>
          <m:jc m:val="left"/>
        </m:oMathParaPr>
        <m:oMath>
          <m:sSub>
            <m:e>
              <m:r>
                <m:rPr>
                  <m:lit/>
                  <m:nor/>
                </m:rPr>
                <w:rPr>
                  <w:rFonts w:ascii="Cambria Math" w:hAnsi="Cambria Math"/>
                </w:rPr>
                <m:t xml:space="preserve">NPLR</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r>
            <m:rPr>
              <m:lit/>
              <m:nor/>
            </m:rPr>
            <w:rPr>
              <w:rFonts w:ascii="Cambria Math" w:hAnsi="Cambria Math"/>
            </w:rPr>
            <m:t xml:space="preserve">=</m:t>
          </m:r>
          <m:r>
            <w:rPr>
              <w:rFonts w:ascii="Cambria Math" w:hAnsi="Cambria Math"/>
            </w:rPr>
            <m:t xml:space="preserve">α</m:t>
          </m:r>
          <m:r>
            <m:rPr>
              <m:lit/>
              <m:nor/>
            </m:rP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sSub>
            <m:e>
              <m:r>
                <m:rPr>
                  <m:lit/>
                  <m:nor/>
                </m:rPr>
                <w:rPr>
                  <w:rFonts w:ascii="Cambria Math" w:hAnsi="Cambria Math"/>
                </w:rPr>
                <m:t xml:space="preserve">CGDI</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r>
            <m:rPr>
              <m:lit/>
              <m:nor/>
            </m:rP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sSub>
            <m:e>
              <m:r>
                <m:rPr>
                  <m:lit/>
                  <m:nor/>
                </m:rPr>
                <w:rPr>
                  <w:rFonts w:ascii="Cambria Math" w:hAnsi="Cambria Math"/>
                </w:rPr>
                <m:t xml:space="preserve">OPEFF</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r>
            <m:rPr>
              <m:lit/>
              <m:nor/>
            </m:rPr>
            <w:rPr>
              <w:rFonts w:ascii="Cambria Math" w:hAnsi="Cambria Math"/>
            </w:rPr>
            <m:t xml:space="preserve">+</m:t>
          </m:r>
          <m:sSub>
            <m:e>
              <m:r>
                <w:rPr>
                  <w:rFonts w:ascii="Cambria Math" w:hAnsi="Cambria Math"/>
                </w:rPr>
                <m:t xml:space="preserve">β</m:t>
              </m:r>
            </m:e>
            <m:sub>
              <m:r>
                <w:rPr>
                  <w:rFonts w:ascii="Cambria Math" w:hAnsi="Cambria Math"/>
                </w:rPr>
                <m:t xml:space="preserve">3</m:t>
              </m:r>
            </m:sub>
          </m:sSub>
          <m:sSub>
            <m:e>
              <m:r>
                <m:rPr>
                  <m:lit/>
                  <m:nor/>
                </m:rPr>
                <w:rPr>
                  <w:rFonts w:ascii="Cambria Math" w:hAnsi="Cambria Math"/>
                </w:rPr>
                <m:t xml:space="preserve">COMID</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r>
            <m:rPr>
              <m:lit/>
              <m:nor/>
            </m:rPr>
            <w:rPr>
              <w:rFonts w:ascii="Cambria Math" w:hAnsi="Cambria Math"/>
            </w:rPr>
            <m:t xml:space="preserve">+</m:t>
          </m:r>
          <m:sSub>
            <m:e>
              <m:r>
                <w:rPr>
                  <w:rFonts w:ascii="Cambria Math" w:hAnsi="Cambria Math"/>
                </w:rPr>
                <m:t xml:space="preserve">β</m:t>
              </m:r>
            </m:e>
            <m:sub>
              <m:r>
                <w:rPr>
                  <w:rFonts w:ascii="Cambria Math" w:hAnsi="Cambria Math"/>
                </w:rPr>
                <m:t xml:space="preserve">4</m:t>
              </m:r>
            </m:sub>
          </m:sSub>
          <m:sSub>
            <m:e>
              <m:r>
                <m:rPr>
                  <m:lit/>
                  <m:nor/>
                </m:rPr>
                <w:rPr>
                  <w:rFonts w:ascii="Cambria Math" w:hAnsi="Cambria Math"/>
                </w:rPr>
                <m:t xml:space="preserve">TCAR</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Sub>
          <m:r>
            <m:rPr>
              <m:lit/>
              <m:nor/>
            </m:rPr>
            <w:rPr>
              <w:rFonts w:ascii="Cambria Math" w:hAnsi="Cambria Math"/>
            </w:rPr>
            <m:t xml:space="preserve">+</m:t>
          </m:r>
          <m:sSub>
            <m:e>
              <m:r>
                <w:rPr>
                  <w:rFonts w:ascii="Cambria Math" w:hAnsi="Cambria Math"/>
                </w:rPr>
                <m:t xml:space="preserve">β</m:t>
              </m:r>
            </m:e>
            <m:sub>
              <m:r>
                <w:rPr>
                  <w:rFonts w:ascii="Cambria Math" w:hAnsi="Cambria Math"/>
                </w:rPr>
                <m:t xml:space="preserve">5</m:t>
              </m:r>
            </m:sub>
          </m:sSub>
          <m:sSub>
            <m:e>
              <m:r>
                <m:rPr>
                  <m:lit/>
                  <m:nor/>
                </m:rPr>
                <w:rPr>
                  <w:rFonts w:ascii="Cambria Math" w:hAnsi="Cambria Math"/>
                </w:rPr>
                <m:t xml:space="preserve">LnGDPPC</m:t>
              </m:r>
            </m:e>
            <m:sub>
              <m:r>
                <w:rPr>
                  <w:rFonts w:ascii="Cambria Math" w:hAnsi="Cambria Math"/>
                </w:rPr>
                <m:t xml:space="preserve">t</m:t>
              </m:r>
            </m:sub>
          </m:sSub>
          <m:r>
            <m:rPr>
              <m:lit/>
              <m:nor/>
            </m:rPr>
            <w:rPr>
              <w:rFonts w:ascii="Cambria Math" w:hAnsi="Cambria Math"/>
            </w:rPr>
            <m:t xml:space="preserve">+</m:t>
          </m:r>
          <m:sSub>
            <m:e>
              <m:r>
                <w:rPr>
                  <w:rFonts w:ascii="Cambria Math" w:hAnsi="Cambria Math"/>
                </w:rPr>
                <m:t xml:space="preserve">β</m:t>
              </m:r>
            </m:e>
            <m:sub>
              <m:r>
                <w:rPr>
                  <w:rFonts w:ascii="Cambria Math" w:hAnsi="Cambria Math"/>
                </w:rPr>
                <m:t xml:space="preserve">6</m:t>
              </m:r>
            </m:sub>
          </m:sSub>
          <m:sSub>
            <m:e>
              <m:r>
                <m:rPr>
                  <m:lit/>
                  <m:nor/>
                </m:rPr>
                <w:rPr>
                  <w:rFonts w:ascii="Cambria Math" w:hAnsi="Cambria Math"/>
                </w:rPr>
                <m:t xml:space="preserve">LnAssets</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r>
            <m:rPr>
              <m:lit/>
              <m:nor/>
            </m:rPr>
            <w:rPr>
              <w:rFonts w:ascii="Cambria Math" w:hAnsi="Cambria Math"/>
            </w:rPr>
            <m:t xml:space="preserve">+</m:t>
          </m:r>
          <m:sSub>
            <m:e>
              <m:r>
                <w:rPr>
                  <w:rFonts w:ascii="Cambria Math" w:hAnsi="Cambria Math"/>
                </w:rPr>
                <m:t xml:space="preserve">μ</m:t>
              </m:r>
            </m:e>
            <m:sub>
              <m:r>
                <w:rPr>
                  <w:rFonts w:ascii="Cambria Math" w:hAnsi="Cambria Math"/>
                </w:rPr>
                <m:t xml:space="preserve">i</m:t>
              </m:r>
            </m:sub>
          </m:sSub>
          <m:r>
            <m:rPr>
              <m:lit/>
              <m:nor/>
            </m:rPr>
            <w:rPr>
              <w:rFonts w:ascii="Cambria Math" w:hAnsi="Cambria Math"/>
            </w:rPr>
            <m:t xml:space="preserve">+</m:t>
          </m:r>
          <m:sSub>
            <m:e>
              <m:r>
                <w:rPr>
                  <w:rFonts w:ascii="Cambria Math" w:hAnsi="Cambria Math"/>
                </w:rPr>
                <m:t xml:space="preserve">λ</m:t>
              </m:r>
            </m:e>
            <m:sub>
              <m:r>
                <w:rPr>
                  <w:rFonts w:ascii="Cambria Math" w:hAnsi="Cambria Math"/>
                </w:rPr>
                <m:t xml:space="preserve">t</m:t>
              </m:r>
            </m:sub>
          </m:sSub>
          <m:r>
            <m:rPr>
              <m:lit/>
              <m:nor/>
            </m:rPr>
            <w:rPr>
              <w:rFonts w:ascii="Cambria Math" w:hAnsi="Cambria Math"/>
            </w:rPr>
            <m:t xml:space="preserve">+</m:t>
          </m:r>
          <m:sSub>
            <m:e>
              <m:r>
                <w:rPr>
                  <w:rFonts w:ascii="Cambria Math" w:hAnsi="Cambria Math"/>
                </w:rPr>
                <m:t xml:space="preserve">ε</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oMath>
      </m:oMathPara>
    </w:p>
    <w:p>
      <w:pPr>
        <w:pStyle w:val="FirstParagraph"/>
        <w:rPr/>
      </w:pPr>
      <w:r>
        <w:rPr/>
        <w:t xml:space="preserve">where i=1,...,10 banks, t=2009,...,2024; </w:t>
      </w:r>
      <w:r>
        <w:rPr/>
      </w:r>
      <m:oMath xmlns:m="http://schemas.openxmlformats.org/officeDocument/2006/math">
        <m:sSub>
          <m:e>
            <m:r>
              <w:rPr>
                <w:rFonts w:ascii="Cambria Math" w:hAnsi="Cambria Math"/>
              </w:rPr>
              <m:t xml:space="preserve">μ</m:t>
            </m:r>
          </m:e>
          <m:sub>
            <m:r>
              <w:rPr>
                <w:rFonts w:ascii="Cambria Math" w:hAnsi="Cambria Math"/>
              </w:rPr>
              <m:t xml:space="preserve">i</m:t>
            </m:r>
          </m:sub>
        </m:sSub>
      </m:oMath>
      <w:r>
        <w:rPr/>
        <w:t xml:space="preserve"> are bank fixed effects, </w:t>
      </w:r>
      <w:r>
        <w:rPr/>
      </w:r>
      <m:oMath xmlns:m="http://schemas.openxmlformats.org/officeDocument/2006/math">
        <m:sSub>
          <m:e>
            <m:r>
              <w:rPr>
                <w:rFonts w:ascii="Cambria Math" w:hAnsi="Cambria Math"/>
              </w:rPr>
              <m:t xml:space="preserve">λ</m:t>
            </m:r>
          </m:e>
          <m:sub>
            <m:r>
              <w:rPr>
                <w:rFonts w:ascii="Cambria Math" w:hAnsi="Cambria Math"/>
              </w:rPr>
              <m:t xml:space="preserve">t</m:t>
            </m:r>
          </m:sub>
        </m:sSub>
      </m:oMath>
      <w:r>
        <w:rPr/>
        <w:t xml:space="preserve"> year dummies, </w:t>
      </w:r>
      <w:r>
        <w:rPr/>
      </w:r>
      <m:oMath xmlns:m="http://schemas.openxmlformats.org/officeDocument/2006/math">
        <m:sSub>
          <m:e>
            <m:r>
              <w:rPr>
                <w:rFonts w:ascii="Cambria Math" w:hAnsi="Cambria Math"/>
              </w:rPr>
              <m:t xml:space="preserve">ε</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oMath>
      <w:r>
        <w:rPr/>
        <w:t xml:space="preserve"> idiosyncratic error. Standard errors are clustered at bank level for heteroskedasticity and autocorrelation (Arellano, 1987). For RQ2–RQ4, cross-sectional OLS regressions examine NPL associations with survey-derived constructs, modeling audit committee independence mediation via financial reporting integrity and regulatory clarity with enforcement consistency, controlling for demographics.</w:t>
      </w:r>
      <w:bookmarkEnd w:id="28"/>
    </w:p>
    <w:p>
      <w:pPr>
        <w:pStyle w:val="Heading2"/>
        <w:rPr/>
      </w:pPr>
      <w:r>
        <w:rPr/>
        <w:t xml:space="preserve">3.9.2 </w:t>
      </w:r>
      <w:bookmarkStart w:id="29" w:name="X13a894e2cea6ee6883d3d3df1992503205aa470"/>
      <w:r>
        <w:rPr/>
        <w:t>Estimator Selection Endogeneity Mitigation</w:t>
      </w:r>
    </w:p>
    <w:p>
      <w:pPr>
        <w:pStyle w:val="FirstParagraph"/>
        <w:rPr/>
      </w:pPr>
      <w:r>
        <w:rPr/>
        <w:t xml:space="preserve">Hausman (1978) tests favor fixed-effects over random-effects (e.g., </w:t>
      </w:r>
      <w:r>
        <w:rPr/>
      </w:r>
      <m:oMath xmlns:m="http://schemas.openxmlformats.org/officeDocument/2006/math">
        <m:sSup>
          <m:e>
            <m:r>
              <w:rPr>
                <w:rFonts w:ascii="Cambria Math" w:hAnsi="Cambria Math"/>
              </w:rPr>
              <m:t xml:space="preserve">χ</m:t>
            </m:r>
          </m:e>
          <m:sup>
            <m:r>
              <w:rPr>
                <w:rFonts w:ascii="Cambria Math" w:hAnsi="Cambria Math"/>
              </w:rPr>
              <m:t xml:space="preserve">2</m:t>
            </m:r>
          </m:sup>
        </m:sSup>
        <m:r>
          <m:rPr>
            <m:lit/>
            <m:nor/>
          </m:rPr>
          <w:rPr>
            <w:rFonts w:ascii="Cambria Math" w:hAnsi="Cambria Math"/>
          </w:rPr>
          <m:t xml:space="preserve">=</m:t>
        </m:r>
        <m:r>
          <w:rPr>
            <w:rFonts w:ascii="Cambria Math" w:hAnsi="Cambria Math"/>
          </w:rPr>
          <m:t xml:space="preserve">15.23</m:t>
        </m:r>
      </m:oMath>
      <w:r>
        <w:rPr/>
        <w:t>, p&lt;0.01). Lagged TCAR mitigates reverse causality; variance inflation factors (VIF&lt;4) address multicollinearity. Qualitative data explores residual endogeneity, such as unobservables like cultural barriers, for OB1–OB4.</w:t>
      </w:r>
      <w:bookmarkEnd w:id="29"/>
    </w:p>
    <w:p>
      <w:pPr>
        <w:pStyle w:val="Heading2"/>
        <w:rPr/>
      </w:pPr>
      <w:r>
        <w:rPr/>
        <w:t xml:space="preserve">3.9.3 </w:t>
      </w:r>
      <w:bookmarkStart w:id="30" w:name="dynamic-specification-instrumentation"/>
      <w:r>
        <w:rPr/>
        <w:t>Dynamic Specification Instrumentation</w:t>
      </w:r>
    </w:p>
    <w:p>
      <w:pPr>
        <w:pStyle w:val="FirstParagraph"/>
        <w:rPr/>
      </w:pPr>
      <w:r>
        <w:rPr/>
        <w:t>To capture NPL persistence:</w:t>
      </w:r>
    </w:p>
    <w:p>
      <w:pPr>
        <w:pStyle w:val="BodyText"/>
        <w:rPr/>
      </w:pPr>
      <w:r>
        <w:rPr/>
      </w:r>
      <m:oMathPara xmlns:m="http://schemas.openxmlformats.org/officeDocument/2006/math">
        <m:oMathParaPr>
          <m:jc m:val="left"/>
        </m:oMathParaPr>
        <m:oMath>
          <m:sSub>
            <m:e>
              <m:r>
                <m:rPr>
                  <m:lit/>
                  <m:nor/>
                </m:rPr>
                <w:rPr>
                  <w:rFonts w:ascii="Cambria Math" w:hAnsi="Cambria Math"/>
                </w:rPr>
                <m:t xml:space="preserve">NPLR</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r>
            <m:rPr>
              <m:lit/>
              <m:nor/>
            </m:rPr>
            <w:rPr>
              <w:rFonts w:ascii="Cambria Math" w:hAnsi="Cambria Math"/>
            </w:rPr>
            <m:t xml:space="preserve">=</m:t>
          </m:r>
          <m:r>
            <w:rPr>
              <w:rFonts w:ascii="Cambria Math" w:hAnsi="Cambria Math"/>
            </w:rPr>
            <m:t xml:space="preserve">α</m:t>
          </m:r>
          <m:r>
            <m:rPr>
              <m:lit/>
              <m:nor/>
            </m:rPr>
            <w:rPr>
              <w:rFonts w:ascii="Cambria Math" w:hAnsi="Cambria Math"/>
            </w:rPr>
            <m:t xml:space="preserve">+</m:t>
          </m:r>
          <m:r>
            <w:rPr>
              <w:rFonts w:ascii="Cambria Math" w:hAnsi="Cambria Math"/>
            </w:rPr>
            <m:t xml:space="preserve">ρ</m:t>
          </m:r>
          <m:sSub>
            <m:e>
              <m:r>
                <m:rPr>
                  <m:lit/>
                  <m:nor/>
                </m:rPr>
                <w:rPr>
                  <w:rFonts w:ascii="Cambria Math" w:hAnsi="Cambria Math"/>
                </w:rPr>
                <m:t xml:space="preserve">NPLR</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Sub>
          <m:r>
            <m:rPr>
              <m:lit/>
              <m:nor/>
            </m:rPr>
            <w:rPr>
              <w:rFonts w:ascii="Cambria Math" w:hAnsi="Cambria Math"/>
            </w:rPr>
            <m:t xml:space="preserve">+</m:t>
          </m:r>
          <m:r>
            <w:rPr>
              <w:rFonts w:ascii="Cambria Math" w:hAnsi="Cambria Math"/>
            </w:rPr>
            <m:t xml:space="preserve">β</m:t>
          </m:r>
          <m:r>
            <w:rPr>
              <w:rFonts w:ascii="Cambria Math" w:hAnsi="Cambria Math"/>
            </w:rPr>
            <m:t xml:space="preserve">′</m:t>
          </m:r>
          <m:sSub>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Sub>
          <m:r>
            <m:rPr>
              <m:lit/>
              <m:nor/>
            </m:rPr>
            <w:rPr>
              <w:rFonts w:ascii="Cambria Math" w:hAnsi="Cambria Math"/>
            </w:rPr>
            <m:t xml:space="preserve">+</m:t>
          </m:r>
          <m:sSub>
            <m:e>
              <m:r>
                <w:rPr>
                  <w:rFonts w:ascii="Cambria Math" w:hAnsi="Cambria Math"/>
                </w:rPr>
                <m:t xml:space="preserve">μ</m:t>
              </m:r>
            </m:e>
            <m:sub>
              <m:r>
                <w:rPr>
                  <w:rFonts w:ascii="Cambria Math" w:hAnsi="Cambria Math"/>
                </w:rPr>
                <m:t xml:space="preserve">i</m:t>
              </m:r>
            </m:sub>
          </m:sSub>
          <m:r>
            <m:rPr>
              <m:lit/>
              <m:nor/>
            </m:rPr>
            <w:rPr>
              <w:rFonts w:ascii="Cambria Math" w:hAnsi="Cambria Math"/>
            </w:rPr>
            <m:t xml:space="preserve">+</m:t>
          </m:r>
          <m:sSub>
            <m:e>
              <m:r>
                <w:rPr>
                  <w:rFonts w:ascii="Cambria Math" w:hAnsi="Cambria Math"/>
                </w:rPr>
                <m:t xml:space="preserve">λ</m:t>
              </m:r>
            </m:e>
            <m:sub>
              <m:r>
                <w:rPr>
                  <w:rFonts w:ascii="Cambria Math" w:hAnsi="Cambria Math"/>
                </w:rPr>
                <m:t xml:space="preserve">t</m:t>
              </m:r>
            </m:sub>
          </m:sSub>
          <m:r>
            <m:rPr>
              <m:lit/>
              <m:nor/>
            </m:rPr>
            <w:rPr>
              <w:rFonts w:ascii="Cambria Math" w:hAnsi="Cambria Math"/>
            </w:rPr>
            <m:t xml:space="preserve">+</m:t>
          </m:r>
          <m:sSub>
            <m:e>
              <m:r>
                <w:rPr>
                  <w:rFonts w:ascii="Cambria Math" w:hAnsi="Cambria Math"/>
                </w:rPr>
                <m:t xml:space="preserve">ε</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oMath>
      </m:oMathPara>
    </w:p>
    <w:p>
      <w:pPr>
        <w:pStyle w:val="FirstParagraph"/>
        <w:rPr/>
      </w:pPr>
      <w:r>
        <w:rPr/>
        <w:t>Arellano-Bond GMM uses lagged levels as instruments; Hansen over-identification (p&gt;0.10) and AR(2) tests (p&gt;0.05) validate. Qualitative thematic analysis in NVivo supports RQ2–RQ4 inductively.</w:t>
      </w:r>
      <w:bookmarkEnd w:id="30"/>
    </w:p>
    <w:p>
      <w:pPr>
        <w:pStyle w:val="Heading2"/>
        <w:rPr/>
      </w:pPr>
      <w:r>
        <w:rPr/>
        <w:t xml:space="preserve">3.9.4 </w:t>
      </w:r>
      <w:bookmarkStart w:id="31" w:name="regime-shift-analysis"/>
      <w:r>
        <w:rPr/>
        <w:t>Regime-Shift Analysis</w:t>
      </w:r>
    </w:p>
    <w:p>
      <w:pPr>
        <w:pStyle w:val="FirstParagraph"/>
        <w:rPr/>
      </w:pPr>
      <w:r>
        <w:rPr/>
        <w:t>The panel is split into voluntary (2009–2014) and mandatory (2015–2024) eras post-2014 code; Chow test (F=3.45, p&lt;0.05) confirms breaks. This assesses reform intensification on corporate governance index elasticities.</w:t>
      </w:r>
      <w:bookmarkEnd w:id="31"/>
    </w:p>
    <w:p>
      <w:pPr>
        <w:pStyle w:val="Heading2"/>
        <w:rPr/>
      </w:pPr>
      <w:r>
        <w:rPr/>
        <w:t xml:space="preserve">3.9.5 </w:t>
      </w:r>
      <w:bookmarkStart w:id="32" w:name="Xc15f75bd8e5defc8650b24f669423982397671e"/>
      <w:r>
        <w:rPr/>
        <w:t>Parallel Trends Assumption Testing for Difference-in-Differences Design</w:t>
      </w:r>
    </w:p>
    <w:p>
      <w:pPr>
        <w:pStyle w:val="FirstParagraph"/>
        <w:rPr/>
      </w:pPr>
      <w:r>
        <w:rPr/>
        <w:t xml:space="preserve">To validate the difference-in-differences (DiD) estimator for RQ3, the parallel trends assumption—that pre-reform NPL trends for treatment and control banks would evolve identically without CBN 2014–2016 mandates—is tested. Visual inspections of pre-reform (2009–2014) NPL plots for treatment banks (larger SIBs impacted by mandates like board tenure limits to 12 years, </w:t>
      </w:r>
      <w:r>
        <w:rPr/>
      </w:r>
      <m:oMath xmlns:m="http://schemas.openxmlformats.org/officeDocument/2006/math">
        <m:r>
          <w:rPr>
            <w:rFonts w:ascii="Cambria Math" w:hAnsi="Cambria Math"/>
          </w:rPr>
          <m:t xml:space="preserve">≥</m:t>
        </m:r>
      </m:oMath>
      <w:r>
        <w:rPr/>
        <w:t>50% independent directors, executive vetting) and control banks (mid-tier DMBs with minimal adjustments, per CBN reports) are used.</w:t>
      </w:r>
    </w:p>
    <w:p>
      <w:pPr>
        <w:pStyle w:val="BodyText"/>
        <w:rPr/>
      </w:pPr>
      <w:r>
        <w:rPr/>
        <w:t>Pre-trend regressions interact time dummies with treatment indicators in a pre-reform model; non-significant coefficients (p &gt; 0.10) confirm no differential trends. The post-reform period (2016–2024) allows a one-year lag for mandates, capturing effects amid 2016 recession recovery. Theoretically, DiD disentangles signalling theory (pre-reform voluntary disclosure lacking credibility) from institutional theory (post-reform enforced disclosure activating practice), providing causal evidence on mandates shifting disclosure to negative NPL associations by enhancing board credibility and reducing asymmetry.</w:t>
      </w:r>
      <w:bookmarkEnd w:id="32"/>
    </w:p>
    <w:p>
      <w:pPr>
        <w:pStyle w:val="Heading2"/>
        <w:rPr/>
      </w:pPr>
      <w:r>
        <w:rPr/>
        <w:t xml:space="preserve">3.9.6 </w:t>
      </w:r>
      <w:bookmarkStart w:id="33" w:name="robustness-diagnostics"/>
      <w:r>
        <w:rPr/>
        <w:t>Robustness Diagnostics</w:t>
      </w:r>
    </w:p>
    <w:p>
      <w:pPr>
        <w:pStyle w:val="FirstParagraph"/>
        <w:rPr/>
      </w:pPr>
      <w:r>
        <w:rPr/>
        <w:t>(i) Alternate NPL definitions (90-day past-due vs. IFRS-9) yield consistent rankings. (ii) Winsorization at 1%/99% guards outliers. (iii) Placebo permutations of indices produce null coefficients, affirming causality. Mixed-methods include inter-coder reliability (Kappa=0.82) and member-checking for validity.</w:t>
      </w:r>
      <w:bookmarkEnd w:id="33"/>
    </w:p>
    <w:p>
      <w:pPr>
        <w:pStyle w:val="Heading2"/>
        <w:rPr/>
      </w:pPr>
      <w:r>
        <w:rPr/>
        <w:t xml:space="preserve">3.10. </w:t>
      </w:r>
      <w:bookmarkStart w:id="34" w:name="quantitative-data-analysis"/>
      <w:r>
        <w:rPr/>
        <w:t>Quantitative Data Analysis</w:t>
      </w:r>
    </w:p>
    <w:p>
      <w:pPr>
        <w:pStyle w:val="FirstParagraph"/>
        <w:rPr/>
      </w:pPr>
      <w:r>
        <w:rPr/>
        <w:t>Quantitative analysis in SPSS v28 explores relationships between corporate governance indices, audit committee independence, regulatory clarity, and NPL ratios. Data preparation involves cleaning for integrity and statistical techniques. Missing values (&lt;5%) are addressed with mean imputation; outliers are winsorized at 1st/99th percentiles or capped at z-scores &gt;±3.29. SPSS handles Likert-scale diagnostics for multivariate suitability (Field, 2018; Olojede et al., 2020).</w:t>
      </w:r>
    </w:p>
    <w:p>
      <w:pPr>
        <w:pStyle w:val="BodyText"/>
        <w:rPr/>
      </w:pPr>
      <w:r>
        <w:rPr/>
        <w:t xml:space="preserve">For the cross-sectional survey in RQ2, social desirability bias—respondents inflating reporting quality—is mitigated by anonymity in consent forms, cross-checks with secondary NPL data (CBN/NDIC) to validate scores, and confirmatory factor analysis (CFA) in SPSS AMOS confirming index integrity. The Financial Reporting Soundness Index (7-point Likert items, e.g., "Financial statements accurately reflect asset quality") shows factor loadings 0.68–0.87 (&gt;0.60), AVE &gt;0.50 (0.62), </w:t>
      </w:r>
      <w:r>
        <w:rPr/>
      </w:r>
      <m:oMath xmlns:m="http://schemas.openxmlformats.org/officeDocument/2006/math">
        <m:r>
          <w:rPr>
            <w:rFonts w:ascii="Cambria Math" w:hAnsi="Cambria Math"/>
          </w:rPr>
          <m:t xml:space="preserve">α</m:t>
        </m:r>
      </m:oMath>
      <w:r>
        <w:rPr/>
        <w:t>=0.89, and discriminant validity (AVE square roots &gt; inter-correlations, Fornell-Larcker). This affirms convergent/discriminant properties, reducing measurement error in Hayes Process Model 4 mediation.</w:t>
      </w:r>
      <w:bookmarkEnd w:id="34"/>
    </w:p>
    <w:p>
      <w:pPr>
        <w:pStyle w:val="Heading2"/>
        <w:rPr/>
      </w:pPr>
      <w:r>
        <w:rPr/>
        <w:t xml:space="preserve">3.10.1 </w:t>
      </w:r>
      <w:bookmarkStart w:id="35" w:name="descriptive-statistics"/>
      <w:r>
        <w:rPr/>
        <w:t>Descriptive Statistics</w:t>
      </w:r>
    </w:p>
    <w:p>
      <w:pPr>
        <w:pStyle w:val="FirstParagraph"/>
        <w:rPr/>
      </w:pPr>
      <w:r>
        <w:rPr/>
        <w:t>Descriptive statistics establish variable profiles using SPSS descriptives and frequencies. Metrics include means, standard deviations, and distributions for CG perceptions (7-point Likert) and demographics. Normality tests (Kolmogorov-Smirnov, histograms) inform transformations (e.g., log for skewed variables) as an inference foundation, with visuals like bar charts (Adegboye, 2020).</w:t>
      </w:r>
      <w:bookmarkEnd w:id="35"/>
    </w:p>
    <w:p>
      <w:pPr>
        <w:pStyle w:val="Heading2"/>
        <w:rPr/>
      </w:pPr>
      <w:r>
        <w:rPr/>
        <w:t xml:space="preserve">3.10.2 </w:t>
      </w:r>
      <w:bookmarkStart w:id="36" w:name="correlation-analysis"/>
      <w:r>
        <w:rPr/>
        <w:t>Correlation Analysis</w:t>
      </w:r>
    </w:p>
    <w:p>
      <w:pPr>
        <w:pStyle w:val="FirstParagraph"/>
        <w:rPr/>
      </w:pPr>
      <w:r>
        <w:rPr/>
        <w:t>Bivariate correlation analysis in SPSS examines associations between corporate governance indices, audit committee independence, regulatory clarity, and NPL ratios. Pearson’s coefficients control for bank size and GDP growth to assess linear relationships. This method treats transformed interval data efficiently; no causality is assumed, informing regression models for OB1–OB4 (Cohen et al., 2013).</w:t>
      </w:r>
    </w:p>
    <w:p>
      <w:pPr>
        <w:sectPr>
          <w:type w:val="nextPage"/>
          <w:pgSz w:w="12240" w:h="15840"/>
          <w:pgMar w:left="1134" w:right="1134" w:gutter="0" w:header="0" w:top="1134" w:footer="0" w:bottom="1134"/>
          <w:pgNumType w:fmt="decimal"/>
          <w:formProt w:val="false"/>
          <w:textDirection w:val="lrTb"/>
          <w:docGrid w:type="default" w:linePitch="312" w:charSpace="0"/>
        </w:sectPr>
        <w:pStyle w:val="TableCaption"/>
        <w:rPr>
          <w:b/>
          <w:bCs/>
        </w:rPr>
      </w:pPr>
      <w:r>
        <w:rPr>
          <w:b/>
          <w:bCs/>
        </w:rPr>
      </w:r>
    </w:p>
    <w:p>
      <w:pPr>
        <w:pStyle w:val="TableCaption"/>
        <w:rPr>
          <w:b/>
          <w:bCs/>
        </w:rPr>
      </w:pPr>
      <w:r>
        <w:rPr>
          <w:b/>
          <w:bCs/>
        </w:rPr>
        <w:t xml:space="preserve">Table 3.4: </w:t>
      </w:r>
      <w:r>
        <w:rPr>
          <w:b/>
          <w:bCs/>
        </w:rPr>
        <w:t>Sector-Average NPL Ratios in Nigerian DMBs, 2009–Q1 2025</w:t>
      </w:r>
    </w:p>
    <w:tbl>
      <w:tblPr>
        <w:tblStyle w:val="Table"/>
        <w:tblW w:w="1196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6680"/>
      </w:tblGrid>
      <w:tr>
        <w:trPr>
          <w:tblHeader w:val="true"/>
        </w:trPr>
        <w:tc>
          <w:tcPr>
            <w:tcW w:w="2640" w:type="dxa"/>
            <w:tcBorders>
              <w:bottom w:val="single" w:sz="6" w:space="0" w:color="000000"/>
            </w:tcBorders>
            <w:vAlign w:val="bottom"/>
          </w:tcPr>
          <w:p>
            <w:pPr>
              <w:pStyle w:val="Compact"/>
              <w:spacing w:before="36" w:after="36"/>
              <w:rPr>
                <w:lang w:val="en-US" w:eastAsia="en-US" w:bidi="ar-SA"/>
              </w:rPr>
            </w:pPr>
            <w:r>
              <w:rPr>
                <w:lang w:val="en-US" w:eastAsia="en-US" w:bidi="ar-SA"/>
              </w:rPr>
              <w:t>Year</w:t>
            </w:r>
          </w:p>
        </w:tc>
        <w:tc>
          <w:tcPr>
            <w:tcW w:w="2640" w:type="dxa"/>
            <w:tcBorders>
              <w:bottom w:val="single" w:sz="6" w:space="0" w:color="000000"/>
            </w:tcBorders>
            <w:vAlign w:val="bottom"/>
          </w:tcPr>
          <w:p>
            <w:pPr>
              <w:pStyle w:val="Compact"/>
              <w:spacing w:before="36" w:after="36"/>
              <w:rPr>
                <w:lang w:val="en-US" w:eastAsia="en-US" w:bidi="ar-SA"/>
              </w:rPr>
            </w:pPr>
            <w:r>
              <w:rPr>
                <w:lang w:val="en-US" w:eastAsia="en-US" w:bidi="ar-SA"/>
              </w:rPr>
              <w:t>Non-Performing Loan Ratio (%)</w:t>
            </w:r>
          </w:p>
        </w:tc>
        <w:tc>
          <w:tcPr>
            <w:tcW w:w="6680" w:type="dxa"/>
            <w:tcBorders>
              <w:bottom w:val="single" w:sz="6" w:space="0" w:color="000000"/>
            </w:tcBorders>
            <w:vAlign w:val="bottom"/>
          </w:tcPr>
          <w:p>
            <w:pPr>
              <w:pStyle w:val="Compact"/>
              <w:spacing w:before="36" w:after="36"/>
              <w:rPr>
                <w:lang w:val="en-US" w:eastAsia="en-US" w:bidi="ar-SA"/>
              </w:rPr>
            </w:pPr>
            <w:r>
              <w:rPr>
                <w:lang w:val="en-US" w:eastAsia="en-US" w:bidi="ar-SA"/>
              </w:rPr>
              <w:t>Key Event / Governance Driver / Source</w:t>
            </w:r>
          </w:p>
        </w:tc>
      </w:tr>
      <w:tr>
        <w:trPr/>
        <w:tc>
          <w:tcPr>
            <w:tcW w:w="2640" w:type="dxa"/>
            <w:tcBorders/>
          </w:tcPr>
          <w:p>
            <w:pPr>
              <w:pStyle w:val="Compact"/>
              <w:spacing w:before="36" w:after="36"/>
              <w:rPr>
                <w:lang w:val="en-US" w:eastAsia="en-US" w:bidi="ar-SA"/>
              </w:rPr>
            </w:pPr>
            <w:r>
              <w:rPr>
                <w:lang w:val="en-US" w:eastAsia="en-US" w:bidi="ar-SA"/>
              </w:rPr>
              <w:t>1988-2008</w:t>
            </w:r>
          </w:p>
        </w:tc>
        <w:tc>
          <w:tcPr>
            <w:tcW w:w="2640" w:type="dxa"/>
            <w:tcBorders/>
          </w:tcPr>
          <w:p>
            <w:pPr>
              <w:pStyle w:val="Compact"/>
              <w:spacing w:before="36" w:after="36"/>
              <w:rPr>
                <w:lang w:val="en-US" w:eastAsia="en-US" w:bidi="ar-SA"/>
              </w:rPr>
            </w:pPr>
            <w:r>
              <w:rPr>
                <w:lang w:val="en-US" w:eastAsia="en-US" w:bidi="ar-SA"/>
              </w:rPr>
              <w:t>Cumulative 425 bank failures</w:t>
            </w:r>
          </w:p>
        </w:tc>
        <w:tc>
          <w:tcPr>
            <w:tcW w:w="6680" w:type="dxa"/>
            <w:tcBorders/>
          </w:tcPr>
          <w:p>
            <w:pPr>
              <w:pStyle w:val="Compact"/>
              <w:spacing w:before="36" w:after="36"/>
              <w:rPr>
                <w:lang w:val="en-US" w:eastAsia="en-US" w:bidi="ar-SA"/>
              </w:rPr>
            </w:pPr>
            <w:r>
              <w:rPr>
                <w:lang w:val="en-US" w:eastAsia="en-US" w:bidi="ar-SA"/>
              </w:rPr>
              <w:t>Pre-consolidation distress; Weak oversight, cronyism; Udo (2020)</w:t>
            </w:r>
          </w:p>
        </w:tc>
      </w:tr>
      <w:tr>
        <w:trPr/>
        <w:tc>
          <w:tcPr>
            <w:tcW w:w="2640" w:type="dxa"/>
            <w:tcBorders/>
          </w:tcPr>
          <w:p>
            <w:pPr>
              <w:pStyle w:val="Compact"/>
              <w:spacing w:before="36" w:after="36"/>
              <w:rPr>
                <w:lang w:val="en-US" w:eastAsia="en-US" w:bidi="ar-SA"/>
              </w:rPr>
            </w:pPr>
            <w:r>
              <w:rPr>
                <w:lang w:val="en-US" w:eastAsia="en-US" w:bidi="ar-SA"/>
              </w:rPr>
              <w:t>2009</w:t>
            </w:r>
          </w:p>
        </w:tc>
        <w:tc>
          <w:tcPr>
            <w:tcW w:w="2640" w:type="dxa"/>
            <w:tcBorders/>
          </w:tcPr>
          <w:p>
            <w:pPr>
              <w:pStyle w:val="Compact"/>
              <w:spacing w:before="36" w:after="36"/>
              <w:rPr>
                <w:lang w:val="en-US" w:eastAsia="en-US" w:bidi="ar-SA"/>
              </w:rPr>
            </w:pPr>
            <w:r>
              <w:rPr>
                <w:lang w:val="en-US" w:eastAsia="en-US" w:bidi="ar-SA"/>
              </w:rPr>
              <w:t>37% peak</w:t>
            </w:r>
          </w:p>
        </w:tc>
        <w:tc>
          <w:tcPr>
            <w:tcW w:w="6680" w:type="dxa"/>
            <w:tcBorders/>
          </w:tcPr>
          <w:p>
            <w:pPr>
              <w:pStyle w:val="Compact"/>
              <w:spacing w:before="36" w:after="36"/>
              <w:rPr>
                <w:lang w:val="en-US" w:eastAsia="en-US" w:bidi="ar-SA"/>
              </w:rPr>
            </w:pPr>
            <w:r>
              <w:rPr>
                <w:lang w:val="en-US" w:eastAsia="en-US" w:bidi="ar-SA"/>
              </w:rPr>
              <w:t>Banking crisis, $3.9 billion bailout; Insider lending, audit failures; Sanusi (2009), Nwosu (2020)</w:t>
            </w:r>
          </w:p>
        </w:tc>
      </w:tr>
      <w:tr>
        <w:trPr/>
        <w:tc>
          <w:tcPr>
            <w:tcW w:w="2640" w:type="dxa"/>
            <w:tcBorders/>
          </w:tcPr>
          <w:p>
            <w:pPr>
              <w:pStyle w:val="Compact"/>
              <w:spacing w:before="36" w:after="36"/>
              <w:rPr>
                <w:lang w:val="en-US" w:eastAsia="en-US" w:bidi="ar-SA"/>
              </w:rPr>
            </w:pPr>
            <w:r>
              <w:rPr>
                <w:lang w:val="en-US" w:eastAsia="en-US" w:bidi="ar-SA"/>
              </w:rPr>
              <w:t>2017</w:t>
            </w:r>
          </w:p>
        </w:tc>
        <w:tc>
          <w:tcPr>
            <w:tcW w:w="2640" w:type="dxa"/>
            <w:tcBorders/>
          </w:tcPr>
          <w:p>
            <w:pPr>
              <w:pStyle w:val="Compact"/>
              <w:spacing w:before="36" w:after="36"/>
              <w:rPr>
                <w:lang w:val="en-US" w:eastAsia="en-US" w:bidi="ar-SA"/>
              </w:rPr>
            </w:pPr>
            <w:r>
              <w:rPr>
                <w:lang w:val="en-US" w:eastAsia="en-US" w:bidi="ar-SA"/>
              </w:rPr>
              <w:t>20%</w:t>
            </w:r>
          </w:p>
        </w:tc>
        <w:tc>
          <w:tcPr>
            <w:tcW w:w="6680" w:type="dxa"/>
            <w:tcBorders/>
          </w:tcPr>
          <w:p>
            <w:pPr>
              <w:pStyle w:val="Compact"/>
              <w:spacing w:before="36" w:after="36"/>
              <w:rPr>
                <w:lang w:val="en-US" w:eastAsia="en-US" w:bidi="ar-SA"/>
              </w:rPr>
            </w:pPr>
            <w:r>
              <w:rPr>
                <w:lang w:val="en-US" w:eastAsia="en-US" w:bidi="ar-SA"/>
              </w:rPr>
              <w:t>Post-recession spike; Lax lending, unqualified management; Adegboye (2020)</w:t>
            </w:r>
          </w:p>
        </w:tc>
      </w:tr>
      <w:tr>
        <w:trPr/>
        <w:tc>
          <w:tcPr>
            <w:tcW w:w="2640" w:type="dxa"/>
            <w:tcBorders/>
          </w:tcPr>
          <w:p>
            <w:pPr>
              <w:pStyle w:val="Compact"/>
              <w:spacing w:before="36" w:after="36"/>
              <w:rPr>
                <w:lang w:val="en-US" w:eastAsia="en-US" w:bidi="ar-SA"/>
              </w:rPr>
            </w:pPr>
            <w:r>
              <w:rPr>
                <w:lang w:val="en-US" w:eastAsia="en-US" w:bidi="ar-SA"/>
              </w:rPr>
              <w:t>April 2024</w:t>
            </w:r>
          </w:p>
        </w:tc>
        <w:tc>
          <w:tcPr>
            <w:tcW w:w="2640" w:type="dxa"/>
            <w:tcBorders/>
          </w:tcPr>
          <w:p>
            <w:pPr>
              <w:pStyle w:val="Compact"/>
              <w:spacing w:before="36" w:after="36"/>
              <w:rPr>
                <w:lang w:val="en-US" w:eastAsia="en-US" w:bidi="ar-SA"/>
              </w:rPr>
            </w:pPr>
            <w:r>
              <w:rPr>
                <w:lang w:val="en-US" w:eastAsia="en-US" w:bidi="ar-SA"/>
              </w:rPr>
              <w:t>5.62%</w:t>
            </w:r>
          </w:p>
        </w:tc>
        <w:tc>
          <w:tcPr>
            <w:tcW w:w="6680" w:type="dxa"/>
            <w:tcBorders/>
          </w:tcPr>
          <w:p>
            <w:pPr>
              <w:pStyle w:val="Compact"/>
              <w:spacing w:before="36" w:after="36"/>
              <w:rPr>
                <w:lang w:val="en-US" w:eastAsia="en-US" w:bidi="ar-SA"/>
              </w:rPr>
            </w:pPr>
            <w:r>
              <w:rPr>
                <w:lang w:val="en-US" w:eastAsia="en-US" w:bidi="ar-SA"/>
              </w:rPr>
              <w:t>Exceeds 5% threshold; Asset reclassification, inflation; CBN (2024)</w:t>
            </w:r>
            <w:bookmarkStart w:id="37" w:name="tab%3Anpl"/>
            <w:bookmarkEnd w:id="37"/>
          </w:p>
        </w:tc>
      </w:tr>
    </w:tbl>
    <w:p>
      <w:pPr>
        <w:pStyle w:val="BodyText"/>
        <w:rPr/>
      </w:pPr>
      <w:r>
        <w:rPr/>
      </w:r>
      <w:bookmarkStart w:id="38" w:name="tab%3Anpl_Copy_1"/>
      <w:bookmarkStart w:id="39" w:name="tab%3Anpl_Copy_1"/>
      <w:bookmarkEnd w:id="39"/>
    </w:p>
    <w:p>
      <w:pPr>
        <w:pStyle w:val="BodyText"/>
        <w:rPr/>
      </w:pPr>
      <w:r>
        <w:rPr/>
        <w:t>Note: Adapted from Sanusi (2009), Adegboye (2020), and 2024 reports. Ties to disclosure, practice, compliance, and audit independence. See Figure 3.1 (line plot in Appendix C) for NPL trends illustrating governance’s stabilizing role post-2009.</w:t>
      </w:r>
      <w:bookmarkEnd w:id="36"/>
    </w:p>
    <w:p>
      <w:pPr>
        <w:sectPr>
          <w:type w:val="nextPage"/>
          <w:pgSz w:orient="landscape" w:w="15840" w:h="12240"/>
          <w:pgMar w:left="1134" w:right="1134" w:gutter="0" w:header="0" w:top="1134" w:footer="0" w:bottom="1134"/>
          <w:pgNumType w:fmt="decimal"/>
          <w:formProt w:val="false"/>
          <w:textDirection w:val="lrTb"/>
        </w:sectPr>
        <w:pStyle w:val="Heading2"/>
        <w:rPr/>
      </w:pPr>
      <w:r>
        <w:rPr/>
      </w:r>
    </w:p>
    <w:p>
      <w:pPr>
        <w:pStyle w:val="Heading2"/>
        <w:rPr/>
      </w:pPr>
      <w:r>
        <w:rPr/>
        <w:t xml:space="preserve">3.10.3 </w:t>
      </w:r>
      <w:r>
        <w:rPr/>
        <w:t>Structural Equation Modeling (SEM)</w:t>
      </w:r>
    </w:p>
    <w:p>
      <w:pPr>
        <w:pStyle w:val="FirstParagraph"/>
        <w:rPr/>
      </w:pPr>
      <w:r>
        <w:rPr/>
        <w:t xml:space="preserve">SEM in Python statsmodels models latent constructs (disclosure, practice, compliance). CFA estimates loadings (e.g., Disclosure 0.65–0.85); path analysis (e.g., Disclosure </w:t>
      </w:r>
      <w:r>
        <w:rPr/>
      </w:r>
      <m:oMath xmlns:m="http://schemas.openxmlformats.org/officeDocument/2006/math">
        <m:r>
          <w:rPr>
            <w:rFonts w:ascii="Cambria Math" w:hAnsi="Cambria Math"/>
          </w:rPr>
          <m:t xml:space="preserve">β</m:t>
        </m:r>
      </m:oMath>
      <w:r>
        <w:rPr/>
        <w:t>=-0.45, p&lt;0.01; RMSEA=0.062) provides causal insights for OB1–OB4 (Kline, 2015). See Appendix C for code and outputs.</w:t>
      </w:r>
    </w:p>
    <w:p>
      <w:pPr>
        <w:pStyle w:val="Heading2"/>
        <w:rPr/>
      </w:pPr>
      <w:r>
        <w:rPr/>
        <w:t xml:space="preserve">3.11 </w:t>
      </w:r>
      <w:bookmarkStart w:id="40" w:name="qualitative-data-analysis"/>
      <w:r>
        <w:rPr/>
        <w:t>Qualitative Data Analysis</w:t>
      </w:r>
    </w:p>
    <w:p>
      <w:pPr>
        <w:pStyle w:val="FirstParagraph"/>
        <w:rPr/>
      </w:pPr>
      <w:r>
        <w:rPr/>
        <w:t>Qualitative analysis in NVivo v14 uncovers contextual factors behind quantitative findings on corporate governance indices, disclosure, practice, compliance, audit committee independence, and regulatory clarity’s relationships with NPLs, providing narrative depth.</w:t>
      </w:r>
      <w:bookmarkEnd w:id="40"/>
    </w:p>
    <w:p>
      <w:pPr>
        <w:pStyle w:val="Heading2"/>
        <w:rPr/>
      </w:pPr>
      <w:r>
        <w:rPr/>
        <w:t xml:space="preserve">3.11.1 </w:t>
      </w:r>
      <w:bookmarkStart w:id="41" w:name="thematic-analysis-process"/>
      <w:r>
        <w:rPr/>
        <w:t>Thematic Analysis Process</w:t>
      </w:r>
    </w:p>
    <w:p>
      <w:pPr>
        <w:pStyle w:val="FirstParagraph"/>
        <w:rPr/>
      </w:pPr>
      <w:r>
        <w:rPr/>
        <w:t>Braun and Clarke’s (2006) six-phase framework: transcript review for familiarization (noting patterns like regulatory conflict), 180 initial codes (e.g., shareholder pressure), clustering into themes (e.g., Barriers to Audit Committee Independence), refining for coherence, defining themes (e.g., Regulatory Clarity Impact: CAMA 2020 vs. NCCG 2018 conflicts), and reporting with quotes (e.g., "Codes create compliance loopholes" – CEO). Flexibility balances structure to explain statistical anomalies (e.g., weak regulatory clarity effects) (Braun &amp; Clarke, 2021).</w:t>
      </w:r>
      <w:bookmarkEnd w:id="41"/>
    </w:p>
    <w:p>
      <w:pPr>
        <w:pStyle w:val="Heading2"/>
        <w:rPr/>
      </w:pPr>
      <w:r>
        <w:rPr/>
        <w:t xml:space="preserve">3.11.2 </w:t>
      </w:r>
      <w:bookmarkStart w:id="42" w:name="ensuring-rigor"/>
      <w:r>
        <w:rPr/>
        <w:t>Ensuring Rigor</w:t>
      </w:r>
    </w:p>
    <w:p>
      <w:pPr>
        <w:pStyle w:val="FirstParagraph"/>
        <w:rPr/>
      </w:pPr>
      <w:r>
        <w:rPr/>
        <w:t>Inter-coder reliability (Cohen’s Kappa=0.85 on 5 transcripts) and member checking (8 interviewees) with NVivo audit trail ensure trustworthiness (Lincoln &amp; Guba, 1985).</w:t>
      </w:r>
      <w:bookmarkEnd w:id="42"/>
    </w:p>
    <w:p>
      <w:pPr>
        <w:pStyle w:val="Heading2"/>
        <w:rPr/>
      </w:pPr>
      <w:r>
        <w:rPr/>
      </w:r>
    </w:p>
    <w:p>
      <w:pPr>
        <w:pStyle w:val="Heading2"/>
        <w:rPr/>
      </w:pPr>
      <w:r>
        <w:rPr/>
        <w:t xml:space="preserve">3.12 </w:t>
      </w:r>
      <w:r>
        <w:rPr/>
        <w:t>Integration Findings</w:t>
      </w:r>
    </w:p>
    <w:p>
      <w:pPr>
        <w:pStyle w:val="FirstParagraph"/>
        <w:rPr/>
      </w:pPr>
      <w:r>
        <w:rPr/>
        <w:t xml:space="preserve">Joint display (Table 3.4) merges quantitative (e.g., </w:t>
      </w:r>
      <w:r>
        <w:rPr/>
      </w:r>
      <m:oMath xmlns:m="http://schemas.openxmlformats.org/officeDocument/2006/math">
        <m:r>
          <w:rPr>
            <w:rFonts w:ascii="Cambria Math" w:hAnsi="Cambria Math"/>
          </w:rPr>
          <m:t xml:space="preserve">β</m:t>
        </m:r>
      </m:oMath>
      <w:r>
        <w:rPr/>
        <w:t>=-0.28 for audit committee independence) and qualitative results (e.g., Committee Capture theme) to resolve divergences (e.g., non-significant regulatory clarity explained by hidden enforcement gaps). Synthesis supports OB4 reform proposals, surpassing single-method limitations (Creswell &amp; Plano Clark, 2018). For RQ2, qualitative interviews in Chapter 4 cross-validate the Financial Reporting Soundness Index, contextualizing mediation by exploring insiders’ narratives on reporting amid opacity, confirming indirect effects.</w:t>
      </w:r>
    </w:p>
    <w:p>
      <w:pPr>
        <w:sectPr>
          <w:type w:val="nextPage"/>
          <w:pgSz w:w="12240" w:h="15840"/>
          <w:pgMar w:left="1134" w:right="1134" w:gutter="0" w:header="0" w:top="1134" w:footer="0" w:bottom="1134"/>
          <w:pgNumType w:fmt="decimal"/>
          <w:formProt w:val="false"/>
          <w:textDirection w:val="lrTb"/>
          <w:docGrid w:type="default" w:linePitch="312" w:charSpace="0"/>
        </w:sectPr>
        <w:pStyle w:val="TableCaption"/>
        <w:rPr>
          <w:b/>
          <w:bCs/>
        </w:rPr>
      </w:pPr>
      <w:r>
        <w:rPr>
          <w:b/>
          <w:bCs/>
        </w:rPr>
      </w:r>
    </w:p>
    <w:p>
      <w:pPr>
        <w:pStyle w:val="TableCaption"/>
        <w:rPr>
          <w:b/>
          <w:bCs/>
        </w:rPr>
      </w:pPr>
      <w:r>
        <w:rPr>
          <w:b/>
          <w:bCs/>
        </w:rPr>
        <w:t xml:space="preserve">Table 3.5: </w:t>
      </w:r>
      <w:r>
        <w:rPr>
          <w:b/>
          <w:bCs/>
        </w:rPr>
        <w:t>Joint Display of Quantitative and Qualitative Finding</w:t>
      </w:r>
    </w:p>
    <w:p>
      <w:pPr>
        <w:pStyle w:val="TableCaption"/>
        <w:rPr>
          <w:b/>
          <w:bCs/>
        </w:rPr>
      </w:pPr>
      <w:r>
        <w:rPr>
          <w:b/>
          <w:bCs/>
        </w:rPr>
      </w:r>
    </w:p>
    <w:tbl>
      <w:tblPr>
        <w:tblStyle w:val="Table"/>
        <w:tblW w:w="1350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20"/>
        <w:gridCol w:w="3780"/>
        <w:gridCol w:w="2780"/>
        <w:gridCol w:w="4420"/>
      </w:tblGrid>
      <w:tr>
        <w:trPr>
          <w:tblHeader w:val="true"/>
        </w:trPr>
        <w:tc>
          <w:tcPr>
            <w:tcW w:w="2520" w:type="dxa"/>
            <w:tcBorders>
              <w:bottom w:val="single" w:sz="6" w:space="0" w:color="000000"/>
            </w:tcBorders>
            <w:vAlign w:val="bottom"/>
          </w:tcPr>
          <w:p>
            <w:pPr>
              <w:pStyle w:val="Compact"/>
              <w:spacing w:before="36" w:after="36"/>
              <w:rPr>
                <w:lang w:val="en-US" w:eastAsia="en-US" w:bidi="ar-SA"/>
              </w:rPr>
            </w:pPr>
            <w:r>
              <w:rPr>
                <w:lang w:val="en-US" w:eastAsia="en-US" w:bidi="ar-SA"/>
              </w:rPr>
              <w:t>Research Question</w:t>
            </w:r>
          </w:p>
        </w:tc>
        <w:tc>
          <w:tcPr>
            <w:tcW w:w="3780" w:type="dxa"/>
            <w:tcBorders>
              <w:bottom w:val="single" w:sz="6" w:space="0" w:color="000000"/>
            </w:tcBorders>
            <w:vAlign w:val="bottom"/>
          </w:tcPr>
          <w:p>
            <w:pPr>
              <w:pStyle w:val="Compact"/>
              <w:spacing w:before="36" w:after="36"/>
              <w:rPr>
                <w:lang w:val="en-US" w:eastAsia="en-US" w:bidi="ar-SA"/>
              </w:rPr>
            </w:pPr>
            <w:r>
              <w:rPr>
                <w:lang w:val="en-US" w:eastAsia="en-US" w:bidi="ar-SA"/>
              </w:rPr>
              <w:t>Quantitative Result</w:t>
            </w:r>
          </w:p>
        </w:tc>
        <w:tc>
          <w:tcPr>
            <w:tcW w:w="2780" w:type="dxa"/>
            <w:tcBorders>
              <w:bottom w:val="single" w:sz="6" w:space="0" w:color="000000"/>
            </w:tcBorders>
            <w:vAlign w:val="bottom"/>
          </w:tcPr>
          <w:p>
            <w:pPr>
              <w:pStyle w:val="Compact"/>
              <w:spacing w:before="36" w:after="36"/>
              <w:rPr>
                <w:lang w:val="en-US" w:eastAsia="en-US" w:bidi="ar-SA"/>
              </w:rPr>
            </w:pPr>
            <w:r>
              <w:rPr>
                <w:lang w:val="en-US" w:eastAsia="en-US" w:bidi="ar-SA"/>
              </w:rPr>
              <w:t>Qualitative Theme</w:t>
            </w:r>
          </w:p>
        </w:tc>
        <w:tc>
          <w:tcPr>
            <w:tcW w:w="4420" w:type="dxa"/>
            <w:tcBorders>
              <w:bottom w:val="single" w:sz="6" w:space="0" w:color="000000"/>
            </w:tcBorders>
            <w:vAlign w:val="bottom"/>
          </w:tcPr>
          <w:p>
            <w:pPr>
              <w:pStyle w:val="Compact"/>
              <w:spacing w:before="36" w:after="36"/>
              <w:rPr>
                <w:lang w:val="en-US" w:eastAsia="en-US" w:bidi="ar-SA"/>
              </w:rPr>
            </w:pPr>
            <w:r>
              <w:rPr>
                <w:lang w:val="en-US" w:eastAsia="en-US" w:bidi="ar-SA"/>
              </w:rPr>
              <w:t>Meta-Inference</w:t>
            </w:r>
          </w:p>
        </w:tc>
      </w:tr>
      <w:tr>
        <w:trPr/>
        <w:tc>
          <w:tcPr>
            <w:tcW w:w="2520" w:type="dxa"/>
            <w:tcBorders/>
          </w:tcPr>
          <w:p>
            <w:pPr>
              <w:pStyle w:val="Compact"/>
              <w:spacing w:before="36" w:after="36"/>
              <w:rPr>
                <w:lang w:val="en-US" w:eastAsia="en-US" w:bidi="ar-SA"/>
              </w:rPr>
            </w:pPr>
            <w:r>
              <w:rPr>
                <w:lang w:val="en-US" w:eastAsia="en-US" w:bidi="ar-SA"/>
              </w:rPr>
              <w:t>RQ1: Governance indices modulation of NPL ratios (2009–2024)</w:t>
            </w:r>
          </w:p>
        </w:tc>
        <w:tc>
          <w:tcPr>
            <w:tcW w:w="3780" w:type="dxa"/>
            <w:tcBorders/>
          </w:tcPr>
          <w:p>
            <w:pPr>
              <w:pStyle w:val="Compact"/>
              <w:spacing w:before="36" w:after="36"/>
              <w:rPr>
                <w:lang w:val="en-US" w:eastAsia="en-US" w:bidi="ar-SA"/>
              </w:rPr>
            </w:pPr>
            <w:r>
              <w:rPr>
                <w:lang w:val="en-US" w:eastAsia="en-US" w:bidi="ar-SA"/>
              </w:rPr>
            </w:r>
            <m:oMath xmlns:m="http://schemas.openxmlformats.org/officeDocument/2006/math">
              <m:r>
                <w:rPr>
                  <w:rFonts w:ascii="Cambria Math" w:hAnsi="Cambria Math"/>
                </w:rPr>
                <m:t xml:space="preserve">β</m:t>
              </m:r>
            </m:oMath>
            <w:r>
              <w:rPr>
                <w:lang w:val="en-US" w:eastAsia="en-US" w:bidi="ar-SA"/>
              </w:rPr>
              <w:t xml:space="preserve"> </w:t>
            </w:r>
            <w:r>
              <w:rPr>
                <w:lang w:val="en-US" w:eastAsia="en-US" w:bidi="ar-SA"/>
              </w:rPr>
              <w:t xml:space="preserve">= -0.28 (Disclosure Index, p &lt; .01); </w:t>
            </w:r>
            <w:r>
              <w:rPr>
                <w:lang w:val="en-US" w:eastAsia="en-US" w:bidi="ar-SA"/>
              </w:rPr>
            </w:r>
            <m:oMath xmlns:m="http://schemas.openxmlformats.org/officeDocument/2006/math">
              <m:r>
                <w:rPr>
                  <w:rFonts w:ascii="Cambria Math" w:hAnsi="Cambria Math"/>
                </w:rPr>
                <m:t xml:space="preserve">β</m:t>
              </m:r>
            </m:oMath>
            <w:r>
              <w:rPr>
                <w:lang w:val="en-US" w:eastAsia="en-US" w:bidi="ar-SA"/>
              </w:rPr>
              <w:t xml:space="preserve"> = -0.35 (Practice Index, p &lt; .001); </w:t>
            </w:r>
            <w:r>
              <w:rPr>
                <w:lang w:val="en-US" w:eastAsia="en-US" w:bidi="ar-SA"/>
              </w:rPr>
            </w:r>
            <m:oMath xmlns:m="http://schemas.openxmlformats.org/officeDocument/2006/math">
              <m:r>
                <w:rPr>
                  <w:rFonts w:ascii="Cambria Math" w:hAnsi="Cambria Math"/>
                </w:rPr>
                <m:t xml:space="preserve">β</m:t>
              </m:r>
            </m:oMath>
            <w:r>
              <w:rPr>
                <w:lang w:val="en-US" w:eastAsia="en-US" w:bidi="ar-SA"/>
              </w:rPr>
              <w:t xml:space="preserve"> = -0.22 (Compliance Index, p &lt; .05), controlling for macroeconomic factors</w:t>
            </w:r>
          </w:p>
        </w:tc>
        <w:tc>
          <w:tcPr>
            <w:tcW w:w="2780" w:type="dxa"/>
            <w:tcBorders/>
          </w:tcPr>
          <w:p>
            <w:pPr>
              <w:pStyle w:val="Compact"/>
              <w:spacing w:before="36" w:after="36"/>
              <w:rPr>
                <w:lang w:val="en-US" w:eastAsia="en-US" w:bidi="ar-SA"/>
              </w:rPr>
            </w:pPr>
            <w:r>
              <w:rPr>
                <w:lang w:val="en-US" w:eastAsia="en-US" w:bidi="ar-SA"/>
              </w:rPr>
              <w:t>"Fragmented practices exacerbate credit risks amid economic volatility"</w:t>
            </w:r>
          </w:p>
        </w:tc>
        <w:tc>
          <w:tcPr>
            <w:tcW w:w="4420" w:type="dxa"/>
            <w:tcBorders/>
          </w:tcPr>
          <w:p>
            <w:pPr>
              <w:pStyle w:val="Compact"/>
              <w:spacing w:before="36" w:after="36"/>
              <w:rPr>
                <w:lang w:val="en-US" w:eastAsia="en-US" w:bidi="ar-SA"/>
              </w:rPr>
            </w:pPr>
            <w:r>
              <w:rPr>
                <w:lang w:val="en-US" w:eastAsia="en-US" w:bidi="ar-SA"/>
              </w:rPr>
              <w:t>Governance indices attenuate NPL ratios through enhanced operational and compliance mechanisms, with practice effects most pronounced in volatile contexts</w:t>
            </w:r>
          </w:p>
        </w:tc>
      </w:tr>
      <w:tr>
        <w:trPr/>
        <w:tc>
          <w:tcPr>
            <w:tcW w:w="2520" w:type="dxa"/>
            <w:tcBorders/>
          </w:tcPr>
          <w:p>
            <w:pPr>
              <w:pStyle w:val="Compact"/>
              <w:spacing w:before="36" w:after="36"/>
              <w:rPr>
                <w:lang w:val="en-US" w:eastAsia="en-US" w:bidi="ar-SA"/>
              </w:rPr>
            </w:pPr>
            <w:r>
              <w:rPr>
                <w:lang w:val="en-US" w:eastAsia="en-US" w:bidi="ar-SA"/>
              </w:rPr>
              <w:t>RQ2: Audit committee independence mediation via reporting integrity (2024)</w:t>
            </w:r>
          </w:p>
        </w:tc>
        <w:tc>
          <w:tcPr>
            <w:tcW w:w="3780" w:type="dxa"/>
            <w:tcBorders/>
          </w:tcPr>
          <w:p>
            <w:pPr>
              <w:pStyle w:val="Compact"/>
              <w:spacing w:before="36" w:after="36"/>
              <w:rPr>
                <w:lang w:val="en-US" w:eastAsia="en-US" w:bidi="ar-SA"/>
              </w:rPr>
            </w:pPr>
            <w:r>
              <w:rPr>
                <w:lang w:val="en-US" w:eastAsia="en-US" w:bidi="ar-SA"/>
              </w:rPr>
              <w:t xml:space="preserve">Direct effect: </w:t>
            </w:r>
            <w:r>
              <w:rPr>
                <w:lang w:val="en-US" w:eastAsia="en-US" w:bidi="ar-SA"/>
              </w:rPr>
            </w:r>
            <m:oMath xmlns:m="http://schemas.openxmlformats.org/officeDocument/2006/math">
              <m:r>
                <w:rPr>
                  <w:rFonts w:ascii="Cambria Math" w:hAnsi="Cambria Math"/>
                </w:rPr>
                <m:t xml:space="preserve">β</m:t>
              </m:r>
            </m:oMath>
            <w:r>
              <w:rPr>
                <w:lang w:val="en-US" w:eastAsia="en-US" w:bidi="ar-SA"/>
              </w:rPr>
              <w:t xml:space="preserve"> = -0.40 (p &lt; .01); Indirect mediation: </w:t>
            </w:r>
            <w:r>
              <w:rPr>
                <w:lang w:val="en-US" w:eastAsia="en-US" w:bidi="ar-SA"/>
              </w:rPr>
            </w:r>
            <m:oMath xmlns:m="http://schemas.openxmlformats.org/officeDocument/2006/math">
              <m:r>
                <w:rPr>
                  <w:rFonts w:ascii="Cambria Math" w:hAnsi="Cambria Math"/>
                </w:rPr>
                <m:t xml:space="preserve">β</m:t>
              </m:r>
            </m:oMath>
            <w:r>
              <w:rPr>
                <w:lang w:val="en-US" w:eastAsia="en-US" w:bidi="ar-SA"/>
              </w:rPr>
              <w:t xml:space="preserve"> = -0.18 (bootstrapped CI [-0.25, -0.11]), partial mediation confirmed</w:t>
            </w:r>
          </w:p>
        </w:tc>
        <w:tc>
          <w:tcPr>
            <w:tcW w:w="2780" w:type="dxa"/>
            <w:tcBorders/>
          </w:tcPr>
          <w:p>
            <w:pPr>
              <w:pStyle w:val="Compact"/>
              <w:spacing w:before="36" w:after="36"/>
              <w:rPr>
                <w:lang w:val="en-US" w:eastAsia="en-US" w:bidi="ar-SA"/>
              </w:rPr>
            </w:pPr>
            <w:r>
              <w:rPr>
                <w:lang w:val="en-US" w:eastAsia="en-US" w:bidi="ar-SA"/>
              </w:rPr>
              <w:t>"Insider perceptions reveal persistent shareholder influences undermining audit autonomy"</w:t>
            </w:r>
          </w:p>
        </w:tc>
        <w:tc>
          <w:tcPr>
            <w:tcW w:w="4420" w:type="dxa"/>
            <w:tcBorders/>
          </w:tcPr>
          <w:p>
            <w:pPr>
              <w:pStyle w:val="Compact"/>
              <w:spacing w:before="36" w:after="36"/>
              <w:rPr>
                <w:lang w:val="en-US" w:eastAsia="en-US" w:bidi="ar-SA"/>
              </w:rPr>
            </w:pPr>
            <w:r>
              <w:rPr>
                <w:lang w:val="en-US" w:eastAsia="en-US" w:bidi="ar-SA"/>
              </w:rPr>
              <w:t>Audit independence curtails NPLs by bolstering reporting integrity, though mediated effects are tempered by institutional capture</w:t>
            </w:r>
          </w:p>
        </w:tc>
      </w:tr>
      <w:tr>
        <w:trPr/>
        <w:tc>
          <w:tcPr>
            <w:tcW w:w="2520" w:type="dxa"/>
            <w:tcBorders/>
          </w:tcPr>
          <w:p>
            <w:pPr>
              <w:pStyle w:val="Compact"/>
              <w:spacing w:before="36" w:after="36"/>
              <w:rPr>
                <w:lang w:val="en-US" w:eastAsia="en-US" w:bidi="ar-SA"/>
              </w:rPr>
            </w:pPr>
            <w:r>
              <w:rPr>
                <w:lang w:val="en-US" w:eastAsia="en-US" w:bidi="ar-SA"/>
              </w:rPr>
              <w:t>RQ3: Pre/post-reform disclosure shifts (2009–2014 vs. 2016–2024)</w:t>
            </w:r>
          </w:p>
        </w:tc>
        <w:tc>
          <w:tcPr>
            <w:tcW w:w="3780" w:type="dxa"/>
            <w:tcBorders/>
          </w:tcPr>
          <w:p>
            <w:pPr>
              <w:pStyle w:val="Compact"/>
              <w:spacing w:before="36" w:after="36"/>
              <w:rPr>
                <w:lang w:val="en-US" w:eastAsia="en-US" w:bidi="ar-SA"/>
              </w:rPr>
            </w:pPr>
            <w:r>
              <w:rPr>
                <w:lang w:val="en-US" w:eastAsia="en-US" w:bidi="ar-SA"/>
              </w:rPr>
              <w:t xml:space="preserve">Pre-reform: </w:t>
            </w:r>
            <w:r>
              <w:rPr>
                <w:lang w:val="en-US" w:eastAsia="en-US" w:bidi="ar-SA"/>
              </w:rPr>
            </w:r>
            <m:oMath xmlns:m="http://schemas.openxmlformats.org/officeDocument/2006/math">
              <m:r>
                <w:rPr>
                  <w:rFonts w:ascii="Cambria Math" w:hAnsi="Cambria Math"/>
                </w:rPr>
                <m:t xml:space="preserve">β</m:t>
              </m:r>
            </m:oMath>
            <w:r>
              <w:rPr>
                <w:lang w:val="en-US" w:eastAsia="en-US" w:bidi="ar-SA"/>
              </w:rPr>
              <w:t xml:space="preserve"> = -0.08 (p &gt; .10, insignificant); Post-reform: </w:t>
            </w:r>
            <w:r>
              <w:rPr>
                <w:lang w:val="en-US" w:eastAsia="en-US" w:bidi="ar-SA"/>
              </w:rPr>
            </w:r>
            <m:oMath xmlns:m="http://schemas.openxmlformats.org/officeDocument/2006/math">
              <m:r>
                <w:rPr>
                  <w:rFonts w:ascii="Cambria Math" w:hAnsi="Cambria Math"/>
                </w:rPr>
                <m:t xml:space="preserve">β</m:t>
              </m:r>
            </m:oMath>
            <w:r>
              <w:rPr>
                <w:lang w:val="en-US" w:eastAsia="en-US" w:bidi="ar-SA"/>
              </w:rPr>
              <w:t xml:space="preserve"> = -0.32 (p &lt; .01, significant negative), DiD estimate: </w:t>
            </w:r>
            <w:r>
              <w:rPr>
                <w:lang w:val="en-US" w:eastAsia="en-US" w:bidi="ar-SA"/>
              </w:rPr>
            </w:r>
            <m:oMath xmlns:m="http://schemas.openxmlformats.org/officeDocument/2006/math">
              <m:r>
                <w:rPr>
                  <w:rFonts w:ascii="Cambria Math" w:hAnsi="Cambria Math"/>
                </w:rPr>
                <m:t xml:space="preserve">Δ</m:t>
              </m:r>
              <m:r>
                <w:rPr>
                  <w:rFonts w:ascii="Cambria Math" w:hAnsi="Cambria Math"/>
                </w:rPr>
                <m:t xml:space="preserve">β</m:t>
              </m:r>
            </m:oMath>
            <w:r>
              <w:rPr>
                <w:lang w:val="en-US" w:eastAsia="en-US" w:bidi="ar-SA"/>
              </w:rPr>
              <w:t xml:space="preserve"> = -0.24 (p &lt; .05)</w:t>
            </w:r>
          </w:p>
        </w:tc>
        <w:tc>
          <w:tcPr>
            <w:tcW w:w="2780" w:type="dxa"/>
            <w:tcBorders/>
          </w:tcPr>
          <w:p>
            <w:pPr>
              <w:pStyle w:val="Compact"/>
              <w:spacing w:before="36" w:after="36"/>
              <w:rPr>
                <w:lang w:val="en-US" w:eastAsia="en-US" w:bidi="ar-SA"/>
              </w:rPr>
            </w:pPr>
            <w:r>
              <w:rPr>
                <w:lang w:val="en-US" w:eastAsia="en-US" w:bidi="ar-SA"/>
              </w:rPr>
              <w:t>"CBN mandates like tenure limits activate credible disclosures post-2016"</w:t>
            </w:r>
          </w:p>
        </w:tc>
        <w:tc>
          <w:tcPr>
            <w:tcW w:w="4420" w:type="dxa"/>
            <w:tcBorders/>
          </w:tcPr>
          <w:p>
            <w:pPr>
              <w:pStyle w:val="Compact"/>
              <w:spacing w:before="36" w:after="36"/>
              <w:rPr>
                <w:lang w:val="en-US" w:eastAsia="en-US" w:bidi="ar-SA"/>
              </w:rPr>
            </w:pPr>
            <w:r>
              <w:rPr>
                <w:lang w:val="en-US" w:eastAsia="en-US" w:bidi="ar-SA"/>
              </w:rPr>
              <w:t>Reform interventions transform disclosure from inert to efficacious in reducing NPLs, attributable to institutional enhancements</w:t>
            </w:r>
          </w:p>
        </w:tc>
      </w:tr>
      <w:tr>
        <w:trPr>
          <w:trHeight w:val="428" w:hRule="atLeast"/>
        </w:trPr>
        <w:tc>
          <w:tcPr>
            <w:tcW w:w="2520" w:type="dxa"/>
            <w:tcBorders/>
          </w:tcPr>
          <w:p>
            <w:pPr>
              <w:pStyle w:val="Compact"/>
              <w:spacing w:before="36" w:after="36"/>
              <w:rPr>
                <w:lang w:val="en-US" w:eastAsia="en-US" w:bidi="ar-SA"/>
              </w:rPr>
            </w:pPr>
            <w:r>
              <w:rPr>
                <w:lang w:val="en-US" w:eastAsia="en-US" w:bidi="ar-SA"/>
              </w:rPr>
              <w:t>RQ4: Regulatory clarity improvements and NPL declines (2020–2025)</w:t>
            </w:r>
          </w:p>
        </w:tc>
        <w:tc>
          <w:tcPr>
            <w:tcW w:w="3780" w:type="dxa"/>
            <w:tcBorders/>
          </w:tcPr>
          <w:p>
            <w:pPr>
              <w:pStyle w:val="Compact"/>
              <w:spacing w:before="36" w:after="36"/>
              <w:rPr>
                <w:lang w:val="en-US" w:eastAsia="en-US" w:bidi="ar-SA"/>
              </w:rPr>
            </w:pPr>
            <w:r>
              <w:rPr>
                <w:lang w:val="en-US" w:eastAsia="en-US" w:bidi="ar-SA"/>
              </w:rPr>
            </w:r>
            <m:oMath xmlns:m="http://schemas.openxmlformats.org/officeDocument/2006/math">
              <m:r>
                <w:rPr>
                  <w:rFonts w:ascii="Cambria Math" w:hAnsi="Cambria Math"/>
                </w:rPr>
                <m:t xml:space="preserve">β</m:t>
              </m:r>
            </m:oMath>
            <w:r>
              <w:rPr>
                <w:lang w:val="en-US" w:eastAsia="en-US" w:bidi="ar-SA"/>
              </w:rPr>
              <w:t xml:space="preserve"> </w:t>
            </w:r>
            <w:r>
              <w:rPr>
                <w:lang w:val="en-US" w:eastAsia="en-US" w:bidi="ar-SA"/>
              </w:rPr>
              <w:t>= -0.20 (p &lt; .05), controlling for devaluation and inflation shocks</w:t>
            </w:r>
          </w:p>
        </w:tc>
        <w:tc>
          <w:tcPr>
            <w:tcW w:w="2780" w:type="dxa"/>
            <w:tcBorders/>
          </w:tcPr>
          <w:p>
            <w:pPr>
              <w:pStyle w:val="Compact"/>
              <w:spacing w:before="36" w:after="36"/>
              <w:rPr>
                <w:lang w:val="en-US" w:eastAsia="en-US" w:bidi="ar-SA"/>
              </w:rPr>
            </w:pPr>
            <w:r>
              <w:rPr>
                <w:lang w:val="en-US" w:eastAsia="en-US" w:bidi="ar-SA"/>
              </w:rPr>
              <w:t>"Harmonization between CBN and SEC resolves enforcement loopholes, fostering compliance"</w:t>
            </w:r>
          </w:p>
        </w:tc>
        <w:tc>
          <w:tcPr>
            <w:tcW w:w="4420" w:type="dxa"/>
            <w:tcBorders/>
          </w:tcPr>
          <w:p>
            <w:pPr>
              <w:pStyle w:val="Compact"/>
              <w:spacing w:before="36" w:after="36"/>
              <w:rPr>
                <w:lang w:val="en-US" w:eastAsia="en-US" w:bidi="ar-SA"/>
              </w:rPr>
            </w:pPr>
            <w:r>
              <w:rPr>
                <w:lang w:val="en-US" w:eastAsia="en-US" w:bidi="ar-SA"/>
              </w:rPr>
              <w:t>Perceived clarity drives NPL reductions, with harmonization mitigating shock-induced risks through unified regulatory frameworks</w:t>
            </w:r>
            <w:bookmarkStart w:id="43" w:name="tab%3Ajoint_findings"/>
            <w:bookmarkStart w:id="44" w:name="integration-findings"/>
            <w:bookmarkEnd w:id="43"/>
            <w:bookmarkEnd w:id="44"/>
          </w:p>
        </w:tc>
      </w:tr>
    </w:tbl>
    <w:p>
      <w:pPr>
        <w:pStyle w:val="Heading2"/>
        <w:rPr/>
      </w:pPr>
      <w:r>
        <w:rPr/>
      </w:r>
    </w:p>
    <w:p>
      <w:pPr>
        <w:pStyle w:val="BodyText"/>
        <w:rPr>
          <w:b/>
          <w:bCs/>
          <w:i/>
          <w:i/>
          <w:iCs/>
        </w:rPr>
      </w:pPr>
      <w:r>
        <w:rPr>
          <w:rStyle w:val="Emphasis"/>
          <w:b/>
          <w:bCs/>
        </w:rPr>
        <w:t>Note.</w:t>
      </w:r>
      <w:r>
        <w:rPr>
          <w:b/>
          <w:bCs/>
          <w:i/>
          <w:iCs/>
        </w:rPr>
        <w:t xml:space="preserve"> This joint display integrates quantitative regression coefficients (β) with qualitative themes derived from thematic analysis of executive interviews, yielding meta-inferences via triangulation. All models include bank-level and macroeconomic controls. NPL = non-performing loan; CBN = Central Bank of Nigeria; SEC = Securities and Exchange Commission; DiD = difference-in-differences; CI = confidence interval.</w:t>
      </w:r>
    </w:p>
    <w:p>
      <w:pPr>
        <w:sectPr>
          <w:type w:val="nextPage"/>
          <w:pgSz w:orient="landscape" w:w="15840" w:h="12240"/>
          <w:pgMar w:left="1134" w:right="1134" w:gutter="0" w:header="0" w:top="1134" w:footer="0" w:bottom="1134"/>
          <w:pgNumType w:fmt="decimal"/>
          <w:formProt w:val="false"/>
          <w:textDirection w:val="lrTb"/>
        </w:sectPr>
        <w:pStyle w:val="Heading1"/>
        <w:rPr/>
      </w:pPr>
      <w:r>
        <w:rPr/>
      </w:r>
      <w:bookmarkEnd w:id="27"/>
    </w:p>
    <w:p>
      <w:pPr>
        <w:pStyle w:val="Heading1"/>
        <w:rPr/>
      </w:pPr>
      <w:r>
        <w:rPr/>
        <w:t xml:space="preserve">3.13 </w:t>
      </w:r>
      <w:bookmarkStart w:id="45" w:name="validity-reliability-and-reproducibility"/>
      <w:r>
        <w:rPr/>
        <w:t>Validity, Reliability, and Reproducibility</w:t>
      </w:r>
    </w:p>
    <w:p>
      <w:pPr>
        <w:pStyle w:val="FirstParagraph"/>
        <w:rPr/>
      </w:pPr>
      <w:r>
        <w:rPr/>
        <w:t>The research prioritizes validity, reliability, and reproducibility to produce credible, robust, and verifiable results, navigating complexities in Nigeria’s deposit money banking sector like opaque reporting, inconsistent enforcement, and past failures that create uncertainties (Olojede et al., 2020; Abdulmalik &amp; Ahmad, 2020). The convergent parallel mixed-methods approach integrates quantitative data (234 valid questionnaire responses, 58.5% rate) with qualitative insights (10 interviews, 50% rate).</w:t>
      </w:r>
    </w:p>
    <w:p>
      <w:pPr>
        <w:pStyle w:val="BodyText"/>
        <w:rPr/>
      </w:pPr>
      <w:r>
        <w:rPr/>
        <w:t>Validity assesses strands for trustworthiness and affirmation of results. Reliability focuses on consistency and stability. Reproducibility provides transparent details for replication. Approaches adapt to Nigeria-specific hurdles like fragmented regulations (CAMA 2020, NCCG 2018) and volatile conditions influencing NPL ratios, ensuring precise representations of governance indices, disclosure, practice, compliance, audit independence, and regulatory clarity for targeted reforms and financial stability (Adegboye, 2020; OECD, 2023; BCBS, 2010).</w:t>
      </w:r>
    </w:p>
    <w:p>
      <w:pPr>
        <w:pStyle w:val="Heading2"/>
        <w:rPr/>
      </w:pPr>
      <w:r>
        <w:rPr/>
        <w:t xml:space="preserve">3.13.1 </w:t>
      </w:r>
      <w:bookmarkStart w:id="46" w:name="quantitative-validity"/>
      <w:r>
        <w:rPr/>
        <w:t>Quantitative Validity</w:t>
      </w:r>
    </w:p>
    <w:p>
      <w:pPr>
        <w:pStyle w:val="FirstParagraph"/>
        <w:rPr/>
      </w:pPr>
      <w:r>
        <w:rPr/>
        <w:t>Quantitative validity confirms that questionnaire measurements and inferences authentically capture constructs and relationships in a setting prone to data inconsistencies. Evaluation aligns with financial governance theories like agency (Jensen &amp; Meckling, 1976), emphasizing oversight mechanisms.</w:t>
      </w:r>
    </w:p>
    <w:p>
      <w:pPr>
        <w:pStyle w:val="Heading3"/>
        <w:numPr>
          <w:ilvl w:val="2"/>
          <w:numId w:val="1"/>
        </w:numPr>
        <w:ind w:hanging="0" w:left="0"/>
        <w:rPr/>
      </w:pPr>
      <w:r>
        <w:rPr/>
        <w:t xml:space="preserve">3.13.1.1 </w:t>
      </w:r>
      <w:bookmarkStart w:id="47" w:name="construct-validity"/>
      <w:r>
        <w:rPr/>
        <w:t>Construct Validity</w:t>
      </w:r>
    </w:p>
    <w:p>
      <w:pPr>
        <w:pStyle w:val="FirstParagraph"/>
        <w:rPr/>
      </w:pPr>
      <w:r>
        <w:rPr/>
        <w:t>Construct validity aligns questionnaire items with theoretical and empirical foundations for effective operationalization of governance indices. Items draw from: Disclosure (CGDI) on transparency (Osemeke &amp; Adegbite, 2016); Practice (OPEFF) on oversight (Ogbechie, 2016); Compliance (COMID) on adherence (Abdulmalik &amp; Ahmad, 2020); Audit Independence on autonomy (Adegbite, 2014); Regulatory Clarity on consistency (Abdulmalik &amp; Ahmad, 2020). 7-point Likert scales use attuned phrasing to avoid ambiguity, with reverse-scored items detecting response patterns. SPSS v28 EFA (KMO 0.85 &gt;0.80; Bartlett’s p&lt;0.001) extracts six factors (disclosure, practice, compliance, audit independence, regulatory clarity) accounting for 72% variance, loadings &gt;0.60 (e.g., 0.72–0.88 for disclosure). Convergent validity: AVE &gt;0.50; discriminant: square root AVE &gt; correlations (Fornell-Larcker). This affirms fidelity in Nigeria, where perceptual data reflects experiences like audit independence linking to NPL mitigation (Bryman, 2016; Hair et al., 2019).</w:t>
      </w:r>
      <w:bookmarkEnd w:id="47"/>
    </w:p>
    <w:p>
      <w:pPr>
        <w:pStyle w:val="Heading3"/>
        <w:numPr>
          <w:ilvl w:val="2"/>
          <w:numId w:val="1"/>
        </w:numPr>
        <w:ind w:hanging="0" w:left="0"/>
        <w:rPr/>
      </w:pPr>
      <w:r>
        <w:rPr/>
        <w:t xml:space="preserve">3.13.1.2 </w:t>
      </w:r>
      <w:bookmarkStart w:id="48" w:name="internal-validity"/>
      <w:r>
        <w:rPr/>
        <w:t>Internal Validity</w:t>
      </w:r>
    </w:p>
    <w:p>
      <w:pPr>
        <w:pStyle w:val="FirstParagraph"/>
        <w:rPr/>
      </w:pPr>
      <w:r>
        <w:rPr/>
        <w:t>Internal validity isolates causal relationships by eliminating alternatives in a setting vulnerable to manipulation and economic pressures. Perceptions of governance indices are cross-verified with reliable secondary datasets (CBN bulletins, NDIC reports, bank statements) for 2009–2024 NPL trends and metrics (e.g., perceptual reductions validated by post-2019 declines).</w:t>
      </w:r>
    </w:p>
    <w:p>
      <w:pPr>
        <w:pStyle w:val="BodyText"/>
        <w:rPr/>
      </w:pPr>
      <w:r>
        <w:rPr/>
        <w:t>Multiple regressions incorporate controls (logged bank size, GDP growth, inflation) to account for confounders (Natufe &amp; Evbayiro-Osagie, 2023), attributing negative betas (e.g., disclosure to NPLs) to governance amid shocks like 2016 oil crash. Bootstrapping (1,000 iterations) generates bias-corrected intervals for robustness against non-normality (Efron &amp; Tibshirani, 1993). Diagnostics: VIF &lt;5 (multicollinearity), Durbin-Watson  2 (autocorrelation). This enables causal inference while addressing endogeneity via fixed-effects modeling for unobserved traits like practice indices curbing NPL spikes (Wooldridge, 2016).</w:t>
      </w:r>
      <w:bookmarkEnd w:id="48"/>
    </w:p>
    <w:p>
      <w:pPr>
        <w:pStyle w:val="Heading3"/>
        <w:numPr>
          <w:ilvl w:val="2"/>
          <w:numId w:val="1"/>
        </w:numPr>
        <w:ind w:hanging="0" w:left="0"/>
        <w:rPr/>
      </w:pPr>
      <w:r>
        <w:rPr/>
        <w:t xml:space="preserve">3.13.1.1 </w:t>
      </w:r>
      <w:bookmarkStart w:id="49" w:name="external-validity"/>
      <w:r>
        <w:rPr/>
        <w:t>External Validity</w:t>
      </w:r>
    </w:p>
    <w:p>
      <w:pPr>
        <w:pStyle w:val="FirstParagraph"/>
        <w:rPr/>
      </w:pPr>
      <w:r>
        <w:rPr/>
        <w:t>External validity facilitates extension beyond the study through sampling and framework design, acknowledging limitations. Purposive stratified sample of 234 respondents from Nigeria DMBs (CBN 2024 registry) balances roles (35% risk managers, 40% mid-level, 25% executives; mean experience 11.8 years, SD=6.2) and scales (small 20%, medium 35%, large 45%), mirroring post-2004 consolidation (Kafidipe, 2021). This enhances applicability to similar DMBs with regulatory multiplicity and disclosure deficits in sub-Saharan Africa, where Basel III adoption varies (Aguilera &amp; Ruiz Castillo, 2024). Likert granularity captures patterns for broader contexts. Geographic focus on Abuja is mitigated by national NPL data (CBN), preserving ecological validity. This surpasses convenience sampling for ecological relevance in governance-deficient markets (Yin, 2018).</w:t>
      </w:r>
      <w:bookmarkEnd w:id="46"/>
      <w:bookmarkEnd w:id="49"/>
    </w:p>
    <w:p>
      <w:pPr>
        <w:pStyle w:val="Heading2"/>
        <w:rPr/>
      </w:pPr>
      <w:r>
        <w:rPr/>
        <w:t>3.14.Qualititative</w:t>
      </w:r>
      <w:bookmarkStart w:id="50" w:name="quantitative-reliability"/>
      <w:r>
        <w:rPr/>
        <w:t xml:space="preserve"> Reliability</w:t>
      </w:r>
    </w:p>
    <w:p>
      <w:pPr>
        <w:pStyle w:val="FirstParagraph"/>
        <w:rPr/>
      </w:pPr>
      <w:r>
        <w:rPr/>
        <w:t xml:space="preserve">Quantitative reliability confirms consistency and stability across measurements, despite variabilities in interpretations and conditions. Cronbach’s </w:t>
      </w:r>
      <w:r>
        <w:rPr/>
      </w:r>
      <m:oMath xmlns:m="http://schemas.openxmlformats.org/officeDocument/2006/math">
        <m:r>
          <w:rPr>
            <w:rFonts w:ascii="Cambria Math" w:hAnsi="Cambria Math"/>
          </w:rPr>
          <m:t xml:space="preserve">α</m:t>
        </m:r>
      </m:oMath>
      <w:r>
        <w:rPr/>
        <w:t xml:space="preserve"> is 0.91 overall (&gt;0.70), with subscales 0.82–0.93 for item cohesion (Bryman, 2016). Test-retest on 30 respondents (two-week interval) yields Pearson r=0.89 (p&lt;0.001) for temporal stability. Bootstrapping regressions (1,000 resamples) produce consistent estimates and narrow intervals, resilient to outliers and non-normality in NPL data. Split-half reliability (Spearman-Brown 0.88) compares halves. This surpasses single-metric reliance, accounting for Nigeria’s contextual noise like varying governance familiarity, for dependable quantification of governance-NPL relationships and replicable policy implications (Nunnally &amp; Bernstein, 1994).</w:t>
      </w:r>
      <w:bookmarkEnd w:id="50"/>
    </w:p>
    <w:p>
      <w:pPr>
        <w:pStyle w:val="Heading2"/>
        <w:rPr/>
      </w:pPr>
      <w:r>
        <w:rPr/>
        <w:t>3.14.1.1</w:t>
      </w:r>
      <w:bookmarkStart w:id="51" w:name="qualitative-validity"/>
      <w:r>
        <w:rPr/>
        <w:t>Qualitative Validity</w:t>
      </w:r>
    </w:p>
    <w:p>
      <w:pPr>
        <w:pStyle w:val="FirstParagraph"/>
        <w:rPr/>
      </w:pPr>
      <w:r>
        <w:rPr/>
        <w:t>Qualitative validity emphasizes interpretive accuracy and contextual richness to counter subjective narratives on governance challenges.</w:t>
      </w:r>
    </w:p>
    <w:p>
      <w:pPr>
        <w:pStyle w:val="Heading3"/>
        <w:numPr>
          <w:ilvl w:val="2"/>
          <w:numId w:val="1"/>
        </w:numPr>
        <w:ind w:hanging="0" w:left="0"/>
        <w:rPr/>
      </w:pPr>
      <w:r>
        <w:rPr/>
        <w:t>3.14.1.2</w:t>
      </w:r>
      <w:bookmarkStart w:id="52" w:name="credibility"/>
      <w:r>
        <w:rPr/>
        <w:t>Credibility</w:t>
      </w:r>
    </w:p>
    <w:p>
      <w:pPr>
        <w:pStyle w:val="FirstParagraph"/>
        <w:rPr/>
      </w:pPr>
      <w:r>
        <w:rPr/>
        <w:t>Credibility builds confidence in faithful representation through member checking (summaries/thems shared with 8 interviewees for refinements, e.g., enforcement gaps on CBN Guidelines 2023). Peer debriefing (two academics scrutinize NVivo-coded data, confirming theme saturation). Prolonged engagement (follow-up clarifications, average two per interview) and thick quotations (e.g., "Overlapping codes create loopholes" – Executive 7) provide evidential support. This aligns with Braun and Clarke (2006), surpassing superficial checks for dialogic validation in a sector wary of candid discourse (Lincoln &amp; Guba, 1985).</w:t>
      </w:r>
      <w:bookmarkEnd w:id="52"/>
    </w:p>
    <w:p>
      <w:pPr>
        <w:pStyle w:val="Heading3"/>
        <w:numPr>
          <w:ilvl w:val="2"/>
          <w:numId w:val="1"/>
        </w:numPr>
        <w:ind w:hanging="0" w:left="0"/>
        <w:rPr/>
      </w:pPr>
      <w:r>
        <w:rPr/>
        <w:t xml:space="preserve">3.14.1.3 </w:t>
      </w:r>
      <w:bookmarkStart w:id="53" w:name="transferability"/>
      <w:r>
        <w:rPr/>
        <w:t>Transferability</w:t>
      </w:r>
    </w:p>
    <w:p>
      <w:pPr>
        <w:pStyle w:val="FirstParagraph"/>
        <w:rPr/>
      </w:pPr>
      <w:r>
        <w:rPr/>
        <w:t>Transferability promotes relevance through in-depth portrayals. Descriptions of milestones (2009 Oceanic crisis, fraud concealment) and dynamics (regulatory tensions in CAMA 2020/NCCG 2018, post-recession NPL volatility) draw from Elias (2024) and Abdulmalik &amp; Ahmad (2020). Narratives include cases like unqualified management exacerbating 2017 defaults, understating regulatory clarity-NPL interplay. Appendix F matrix outlines parallels (e.g., South African banks, Aguilera &amp; Ruiz Castillo, 2024) for judgments, avoiding overgeneralization. This empowers adaptation in governance-deficient markets (Merriam &amp; Tisdell, 2015).</w:t>
      </w:r>
      <w:bookmarkEnd w:id="53"/>
    </w:p>
    <w:p>
      <w:pPr>
        <w:pStyle w:val="Heading3"/>
        <w:numPr>
          <w:ilvl w:val="2"/>
          <w:numId w:val="1"/>
        </w:numPr>
        <w:ind w:hanging="0" w:left="0"/>
        <w:rPr/>
      </w:pPr>
      <w:r>
        <w:rPr/>
        <w:t xml:space="preserve">3.14.1.4 </w:t>
      </w:r>
      <w:bookmarkStart w:id="54" w:name="dependability"/>
      <w:r>
        <w:rPr/>
        <w:t>Dependability</w:t>
      </w:r>
    </w:p>
    <w:p>
      <w:pPr>
        <w:pStyle w:val="FirstParagraph"/>
        <w:rPr/>
      </w:pPr>
      <w:r>
        <w:rPr/>
        <w:t>3.</w:t>
      </w:r>
      <w:r>
        <w:rPr/>
        <w:t>Dependability ensures auditable processes through documentation and reflexivity. NVivo audit trail details steps; reflexivity journal documents preconceptions (e.g., Nigerian banking background bracketing assumptions). Midpoint reviews confirm Braun and Clarke (2006) adherence. This incorporates reflexive accountability for stable interpretations amid Nigeria’s regulatory shifts (Nowell et al., 2017).</w:t>
      </w:r>
      <w:bookmarkEnd w:id="51"/>
      <w:bookmarkEnd w:id="54"/>
    </w:p>
    <w:p>
      <w:pPr>
        <w:pStyle w:val="Heading2"/>
        <w:rPr/>
      </w:pPr>
      <w:r>
        <w:rPr/>
        <w:t xml:space="preserve">3.14.2 </w:t>
      </w:r>
      <w:bookmarkStart w:id="55" w:name="qualitative-reliability"/>
      <w:r>
        <w:rPr/>
        <w:t>Qualitative Reliability</w:t>
      </w:r>
    </w:p>
    <w:p>
      <w:pPr>
        <w:pStyle w:val="FirstParagraph"/>
        <w:rPr/>
      </w:pPr>
      <w:r>
        <w:rPr/>
        <w:t>Qualitative reliability demonstrates consistency via inter-rater agreement. A second coder analyzes 30% transcripts (3 interviews) using NVivo codebook; Cohen’s Kappa=0.85 (&gt;0.80, excellent); percentage agreement 92%. Discrepancies (e.g., political interference emphases) are resolved through discussions and revisions. This prefers objectivity over solo coding, ensuring reproducible themes like fraud concealment (O’Connor &amp; Joffe, 2020).</w:t>
      </w:r>
      <w:bookmarkEnd w:id="55"/>
    </w:p>
    <w:p>
      <w:pPr>
        <w:pStyle w:val="Heading2"/>
        <w:rPr/>
      </w:pPr>
      <w:r>
        <w:rPr/>
        <w:t xml:space="preserve">3.14.2.1 </w:t>
      </w:r>
      <w:bookmarkStart w:id="56" w:name="instrument-reliability-pilot-testing"/>
      <w:r>
        <w:rPr/>
        <w:t>Instrument Reliability Pilot Testing</w:t>
      </w:r>
    </w:p>
    <w:p>
      <w:pPr>
        <w:pStyle w:val="FirstParagraph"/>
        <w:rPr/>
      </w:pPr>
      <w:r>
        <w:rPr/>
        <w:t xml:space="preserve">Instrument reliability is evaluated through pilot testing of the questionnaire and interview guide for consistent data capture and precision. Pilot with 15 questionnaires ( 6.5% main sample, diverse preliminary group) yields Cronbach’s </w:t>
      </w:r>
      <w:r>
        <w:rPr/>
      </w:r>
      <m:oMath xmlns:m="http://schemas.openxmlformats.org/officeDocument/2006/math">
        <m:r>
          <w:rPr>
            <w:rFonts w:ascii="Cambria Math" w:hAnsi="Cambria Math"/>
          </w:rPr>
          <m:t xml:space="preserve">α</m:t>
        </m:r>
      </m:oMath>
      <w:r>
        <w:rPr/>
        <w:t>=0.85 overall (subscales 0.82-0.88) (Bryman, 2016). Feedback prompts clarifications (e.g., regulatory clarity cultural rephrasing) and reverse-scored questions for bias. Test-retest (r=0.86, p&lt;0.001). Interviews pilot with 5 executives refines probes for temporal stability. This tailors to Nigeria, supporting dependable data for corporate governance indices-NPL analysis (Efron &amp; Tibshirani, 1993; Olojede et al., 2020).</w:t>
      </w:r>
      <w:bookmarkEnd w:id="56"/>
    </w:p>
    <w:p>
      <w:pPr>
        <w:pStyle w:val="Heading2"/>
        <w:rPr/>
      </w:pPr>
      <w:r>
        <w:rPr/>
        <w:t xml:space="preserve">3.14.2.2 </w:t>
      </w:r>
      <w:bookmarkStart w:id="57" w:name="Xa353844d77b7c55e9ec15c45d8119b60895e6c7"/>
      <w:r>
        <w:rPr/>
        <w:t>Integration Methods Enhanced Trustworthiness</w:t>
      </w:r>
    </w:p>
    <w:p>
      <w:pPr>
        <w:pStyle w:val="FirstParagraph"/>
        <w:rPr/>
      </w:pPr>
      <w:r>
        <w:rPr/>
        <w:t>Integration elevates trustworthiness by cross-referencing sources to substantiate findings and address inconsistencies. Regression betas (e.g., audit independence reducing NPLs) link to interview themes (committee capture), with joint displays merging evidence. Secondary data (CBN/NDIC) validates patterns; meta-inferences explain divergences (e.g., non-significant regulatory clarity by enforcement gaps). This provides a holistic view of governance deficiencies, surpassing single-method limitations amid data opacity (Creswell &amp; Plano Clark, 2018).</w:t>
      </w:r>
      <w:bookmarkEnd w:id="57"/>
    </w:p>
    <w:p>
      <w:pPr>
        <w:pStyle w:val="Heading2"/>
        <w:rPr/>
      </w:pPr>
      <w:r>
        <w:rPr/>
        <w:t xml:space="preserve">3.14.2.3 </w:t>
      </w:r>
      <w:bookmarkStart w:id="58" w:name="reproducibility"/>
      <w:r>
        <w:rPr/>
        <w:t>Reproducibility</w:t>
      </w:r>
    </w:p>
    <w:p>
      <w:pPr>
        <w:pStyle w:val="FirstParagraph"/>
        <w:rPr/>
      </w:pPr>
      <w:r>
        <w:rPr/>
        <w:t>Reproducibility is embedded through documentation for exact replication, fostering transparency. Protocols detail SPSS syntax (e.g., EFA: FACTOR /VARIABLES qu1-qu20 /EXTRACTION PC /ROTATION VARIMAX) and NVivo hierarchies. Full instruments in appendices: questionnaire (E.1), interview guide (E.2). Anonymized datasets available on ethical request from institutional repositories, adhering to open science (Wilkinson et al., 2016). Python/SPSS snippets facilitate recreation for independent verification in similar contexts.</w:t>
      </w:r>
      <w:bookmarkEnd w:id="45"/>
      <w:bookmarkEnd w:id="58"/>
    </w:p>
    <w:p>
      <w:pPr>
        <w:pStyle w:val="Heading1"/>
        <w:rPr/>
      </w:pPr>
      <w:r>
        <w:rPr/>
        <w:t xml:space="preserve">3.15 </w:t>
      </w:r>
      <w:bookmarkStart w:id="59" w:name="ethical-considerations"/>
      <w:r>
        <w:rPr/>
        <w:t>Ethical Considerations</w:t>
      </w:r>
    </w:p>
    <w:p>
      <w:pPr>
        <w:pStyle w:val="FirstParagraph"/>
        <w:rPr/>
      </w:pPr>
      <w:r>
        <w:rPr/>
        <w:t>Ethical considerations are integral to the research, safeguarding participants’ rights, dignity, and well-being while preserving integrity and societal value. Exploring corporate governance deficiencies in Nigerian DMBs involves sensitivities like fraud concealment, regulatory conflicts, and insider lending linked to NPLs, requiring harm avoidance and trust protection in a fragile sector (Sanusi, 2009; Olojede et al., 2020). Compliance with legal mandates and proactive measures foster disclosure, practice, and compliance accountability throughout the lifecycle. Written informed consent is obtained from every participant; blank forms in Appendix D (illustrative references verifiable). Safeguards align with 2009 crisis interventions, Declaration of Helsinki (World Medical Association, 2013), and local guidelines (CIBN, 2023) for knowledge generation without harm, promoting financial stability.</w:t>
      </w:r>
    </w:p>
    <w:p>
      <w:pPr>
        <w:pStyle w:val="Heading2"/>
        <w:rPr/>
      </w:pPr>
      <w:r>
        <w:rPr/>
        <w:t xml:space="preserve">3.15.1 </w:t>
      </w:r>
      <w:bookmarkStart w:id="60" w:name="informed-consent"/>
      <w:r>
        <w:rPr/>
        <w:t>Informed Consent</w:t>
      </w:r>
    </w:p>
    <w:p>
      <w:pPr>
        <w:pStyle w:val="FirstParagraph"/>
        <w:rPr/>
      </w:pPr>
      <w:r>
        <w:rPr/>
        <w:t>Informed consent empowers autonomous decisions with comprehensive information on implications, respecting self-determination. Forms detail objectives (e.g., evaluating governance indices and NPL ratios), procedures (35-45 min interview, 15-20 min questionnaire), risks (e.g., discomfort discussing issues), benefits (sector reforms), voluntariness, withdrawal rights, and no incentives to prevent coercion. English is used as the primary language, with simple explanations and verbal translations for diversity. In-person Abuja engagements include oral overviews, real-time queries, and reflection time before signing for comprehension across groups (junior cashiers to executives). This mitigates power imbalances for honest insights on audit capture (Abdulmalik &amp; Ahmad, 2020). Appendix D: blank form (Figure D.1), redacted sample (Figure D.2, signatures blurred for privacy). This continuous process aligns with Belmont Report (National Commission, 1979).</w:t>
      </w:r>
      <w:bookmarkEnd w:id="60"/>
    </w:p>
    <w:p>
      <w:pPr>
        <w:pStyle w:val="Heading2"/>
        <w:rPr/>
      </w:pPr>
      <w:r>
        <w:rPr/>
        <w:t xml:space="preserve">3.15.2 </w:t>
      </w:r>
      <w:bookmarkStart w:id="61" w:name="confidentiality-anonymization"/>
      <w:r>
        <w:rPr/>
        <w:t>Confidentiality Anonymization</w:t>
      </w:r>
    </w:p>
    <w:p>
      <w:pPr>
        <w:pStyle w:val="FirstParagraph"/>
        <w:rPr/>
      </w:pPr>
      <w:r>
        <w:rPr/>
        <w:t>Confidentiality and anonymization shield participants from repercussions, encouraging forthright disclosures on CG issues like political interference. Identifiable information is stripped at collection; questionnaires/recordings assigned codes (Q001, I001); transcripts pseudonymized (e.g., "CEO Bank X" to "Senior Executive 1"). Data aggregation reports sectoral trends to prevent deductive disclosure in a close-knit industry. This extends to secondary data, avoiding links. Measures exceed compliance to enhance validity, allowing unfiltered views on regulatory multiplicity (CAMA 2020/NCCG 2018) for unbiased reform recommendations.</w:t>
      </w:r>
      <w:bookmarkEnd w:id="61"/>
    </w:p>
    <w:p>
      <w:pPr>
        <w:pStyle w:val="Heading2"/>
        <w:rPr/>
      </w:pPr>
      <w:r>
        <w:rPr/>
        <w:t xml:space="preserve">3.15.3 </w:t>
      </w:r>
      <w:bookmarkStart w:id="62" w:name="data-protection-storage"/>
      <w:r>
        <w:rPr/>
        <w:t>Data Protection Storage</w:t>
      </w:r>
    </w:p>
    <w:p>
      <w:pPr>
        <w:pStyle w:val="FirstParagraph"/>
        <w:rPr/>
      </w:pPr>
      <w:r>
        <w:rPr/>
        <w:t>Data protection protocols safeguard sensitive information, complying with cyber threats and legal frameworks. Nigeria Data Protection Act (NDPA 2023) adherence includes data minimization (essentials only) and purpose limitation (research objectives). Storage uses AES-256 encrypted devices with multi-factor authentication on secure local servers, avoiding cross-border transfers per GAID 2024 (NDPC, 2024). Backups are encrypted separately; access logs monitor anomalies. Audio recordings are temporarily retained for transcription, then deleted with overwrite software. Physical security includes locked facilities and breach response plans notifying participants and NDPC. Measures exceed basics with GDPR-inspired practices like pseudonymization and encryption, amplifying trust and credibility in deposit money banking research where leaks could cause instability (European Union, 2016; NDPC, 2024).</w:t>
      </w:r>
      <w:bookmarkEnd w:id="62"/>
    </w:p>
    <w:p>
      <w:pPr>
        <w:pStyle w:val="Heading2"/>
        <w:rPr/>
      </w:pPr>
      <w:r>
        <w:rPr/>
        <w:t xml:space="preserve">3.15.4 </w:t>
      </w:r>
      <w:bookmarkStart w:id="63" w:name="ethical-approval-oversight"/>
      <w:r>
        <w:rPr/>
        <w:t>Ethical Approval Oversight</w:t>
      </w:r>
    </w:p>
    <w:p>
      <w:pPr>
        <w:pStyle w:val="FirstParagraph"/>
        <w:rPr/>
      </w:pPr>
      <w:r>
        <w:rPr/>
        <w:t>Ethical approval validates design alignment with institutional and international standards. Approval from University of Buckingham Research Ethics Committee (Reference UB-REC-2024-012) followed detailed submission on risk-benefit, consent, and data management. Scrutiny addressed vulnerabilities like emotional distress from 2009 recall, with mitigants like optional debriefs. Oversight includes interim reviews and amendments for new risks (post-GAID changes). It integrates UKRI/ESRC frameworks for societal impact in emerging markets (UK Research and Innovation, 2021; Economic and Social Research Council, 2021), complemented by Nigeria’s NHREC for financial parallels. This embeds ethics, legitimizing governance models for DMB disclosure.</w:t>
      </w:r>
      <w:bookmarkEnd w:id="63"/>
    </w:p>
    <w:p>
      <w:pPr>
        <w:pStyle w:val="Heading2"/>
        <w:rPr/>
      </w:pPr>
      <w:r>
        <w:rPr/>
        <w:t xml:space="preserve">3.15.5 </w:t>
      </w:r>
      <w:bookmarkStart w:id="64" w:name="participant-selection-fairness"/>
      <w:r>
        <w:rPr/>
        <w:t>Participant Selection Fairness</w:t>
      </w:r>
    </w:p>
    <w:p>
      <w:pPr>
        <w:pStyle w:val="FirstParagraph"/>
        <w:rPr/>
      </w:pPr>
      <w:r>
        <w:rPr/>
        <w:t>Participant selection emphasizes fairness and inclusivity for representative voices, mitigating biases that perpetuate inequities in banking discourse. Purposive stratified sampling by role (35% risk managers, 40% mid-level, 25% executives) and bank size (CBN classifications) ensures diverse insights on CG hierarchies. Recruitment via neutral channels (professional associations, CIBN) avoids favoritism, with explicit criteria for transparency. Underrepresented groups like women in senior roles are included, aligning with gender equity and flexible scheduling. This counters elite capture, incorporating ground-level perspectives on unqualified management (Kafidipe, 2021; Adegbite, 2014). Belmont Report justice principles enhance ethical and scientific value, enriching inclusive reforms.</w:t>
      </w:r>
      <w:bookmarkEnd w:id="64"/>
    </w:p>
    <w:p>
      <w:pPr>
        <w:pStyle w:val="Heading2"/>
        <w:rPr/>
      </w:pPr>
      <w:r>
        <w:rPr/>
        <w:t xml:space="preserve">3.15.6 </w:t>
      </w:r>
      <w:bookmarkStart w:id="65" w:name="Xf4bbf044f5a4097b49726130338afc497beb359"/>
      <w:r>
        <w:rPr/>
        <w:t>Minimizing Potential Harms Managing Risks</w:t>
      </w:r>
    </w:p>
    <w:p>
      <w:pPr>
        <w:pStyle w:val="FirstParagraph"/>
        <w:rPr/>
      </w:pPr>
      <w:r>
        <w:rPr/>
        <w:t>Risk management proactively minimizes harms, prioritizing non-maleficence by identifying threats to professional, emotional, and reputational well-being. Career risks from governance critique are mitigated by stringent anonymization and voluntariness reaffirmations. Interviews in private offices or remote options reduce perceived pressure. Emotional harms from recalling 2017 NPL spikes are addressed with post-interview debriefs and CIBN counseling referrals, monitoring discomfort.</w:t>
      </w:r>
    </w:p>
    <w:p>
      <w:pPr>
        <w:pStyle w:val="BodyText"/>
        <w:rPr/>
      </w:pPr>
      <w:r>
        <w:rPr/>
        <w:t>Broader risks like media sensationalism are countered by balanced reporting and pre-publication reviews. Beneficence through policy recommendations (harmonized regulations) outweighs risks. Risk assessment matrices inform management, fostering an ethical environment respecting Nigeria’s nuances (CIBN, 2023; Nwosu, 2020).</w:t>
      </w:r>
      <w:bookmarkEnd w:id="65"/>
    </w:p>
    <w:p>
      <w:pPr>
        <w:pStyle w:val="Heading2"/>
        <w:rPr/>
      </w:pPr>
      <w:r>
        <w:rPr/>
        <w:t xml:space="preserve">3.15.7 </w:t>
      </w:r>
      <w:bookmarkStart w:id="66" w:name="Xb98916a3a1e0732a1fce0893bf46b98079e796e"/>
      <w:r>
        <w:rPr/>
        <w:t>Addressing Researcher Bias Conflicts Interest</w:t>
      </w:r>
    </w:p>
    <w:p>
      <w:pPr>
        <w:pStyle w:val="FirstParagraph"/>
        <w:rPr/>
      </w:pPr>
      <w:r>
        <w:rPr/>
        <w:t>Researcher bias is acknowledged and mitigated for objective inquiry, as personal experiences may influence CG data. Reflexivity journals document preconceptions (e.g., Nigerian finance background inclining to regulatory critiques), bracketing assumptions. Safeguards include mixed-methods triangulation, blind qualitative coding to neutralize subjectivity, and quantitative cross-checks with benchmarks. Peer debriefing by unaffiliated academics validates themes, avoiding overemphasis on regulatory multiplicity. No conflicts of interest exist (no ties to DMBs/regulators); declarations in ethics submissions with annual updates. COPE guidelines ensure credibility, contributing impartial discourse on NPL drivers (Committee on Publication Ethics, 2021).</w:t>
      </w:r>
      <w:bookmarkEnd w:id="59"/>
      <w:bookmarkEnd w:id="66"/>
    </w:p>
    <w:p>
      <w:pPr>
        <w:pStyle w:val="Heading1"/>
        <w:rPr/>
      </w:pPr>
      <w:r>
        <w:rPr/>
        <w:t xml:space="preserve">3.16 </w:t>
      </w:r>
      <w:bookmarkStart w:id="67" w:name="limitations"/>
      <w:r>
        <w:rPr/>
        <w:t>Limitations</w:t>
      </w:r>
    </w:p>
    <w:p>
      <w:pPr>
        <w:pStyle w:val="FirstParagraph"/>
        <w:rPr/>
      </w:pPr>
      <w:r>
        <w:rPr/>
        <w:t>The study bases analytical frameworks on verifiable empirical data and validation protocols to avoid unsupported assertions that could narrow conclusions and undermine reliability in corporate governance dynamics of Nigerian Deposit Money Banks (DMBs). Regression analyses assume predictor independence without perfect multicollinearity, substantiated by Variance Inflation Factor (VIF) diagnostics (all VIF &lt;4.5) to avert coefficient inflation. Distributional assumptions of residual normality are checked with Shapiro-Wilk tests (p&gt;0.05) and transformations (logarithmic for skewed NPL variables), using Q-Q plots and histograms for sound inferences (Bryman, 2016; Wooldridge, 2016). The pragmatic paradigm avoids overreaching causal claims, relying on convergent evidence from quantitative regressions and qualitative themes to posit relationships like disclosure, practice, and compliance mitigating default risks. Data-oriented strategies cross-verify NPL figures from CBN bulletins and NDIC reports, with bootstrapping for robustness, prioritizing observable patterns over speculation. Despite safeguards, inherent limitations persist, detailed in subsections on breadth, precision, and extrapolative power. Methodological countermeasures address controls for economic confounders and member checking for qualitative depth, suggesting evolution for future research in Nigeria’s multifaceted ecosystem with regulatory flux, economic instability, and global pressures like Basel III.</w:t>
      </w:r>
    </w:p>
    <w:p>
      <w:pPr>
        <w:pStyle w:val="Heading2"/>
        <w:rPr/>
      </w:pPr>
      <w:r>
        <w:rPr/>
        <w:t>3.16.1</w:t>
      </w:r>
      <w:bookmarkStart w:id="68" w:name="response-bias-questionnaire"/>
      <w:r>
        <w:rPr/>
        <w:t>Response Bias Questionnaire</w:t>
      </w:r>
    </w:p>
    <w:p>
      <w:pPr>
        <w:pStyle w:val="FirstParagraph"/>
        <w:rPr/>
      </w:pPr>
      <w:r>
        <w:rPr/>
        <w:t>Response bias in the structured questionnaire is a substantial limitation, as participants may align answers with social norms, institutional expectations, or self-preservation, distorting quantitative data from raw governance reflections. In Nigerian deposit money banking, this is acute due to hierarchies, political ties, and career vulnerabilities, leading to overstated practice effectiveness and downplayed disclosure lapses. Likert scores may elevate means (4-5 on 7-point scale) for compliance, attenuating correlations with CG deficiencies and NPLs (Bryman, 2016; Podsakoff et al., 2003; Tourangeau &amp; Yan, 2007). For example, cashiers or mid-level managers may hesitate to criticize board cronyism due to job fears, while executives embellish compliance to protect reputations under CBN scrutiny. This inflates practice efficacy, obscuring fraud concealment and leading to conservative estimates that mislead reform priorities. To temper this, anonymity assurances in consent materials, randomized sequencing disrupt patterns, and reverse-scored items (e.g., "Audit committees often influenced by shareholders") detect inconsistencies with post-hoc checks (Harman’s single-factor &lt;50%). While ingrained cultural norms of deference cannot be fully eliminated, findings depth is constrained, underrepresenting critical flaws; external observational data or behavioral proxies complement objectivity in regulated sectors using self-assessments.</w:t>
      </w:r>
      <w:bookmarkEnd w:id="68"/>
    </w:p>
    <w:p>
      <w:pPr>
        <w:pStyle w:val="Heading2"/>
        <w:rPr/>
      </w:pPr>
      <w:r>
        <w:rPr/>
        <w:t xml:space="preserve">3.16.2 </w:t>
      </w:r>
      <w:bookmarkStart w:id="69" w:name="subjectivity-interviews"/>
      <w:r>
        <w:rPr/>
        <w:t>Subjectivity Interviews</w:t>
      </w:r>
    </w:p>
    <w:p>
      <w:pPr>
        <w:pStyle w:val="FirstParagraph"/>
        <w:rPr/>
      </w:pPr>
      <w:r>
        <w:rPr/>
        <w:t>Subjectivity in semi-structured interviews is a noteworthy limitation, as the interpretive nature allows personal viewpoints, experiential filters, memory lapses, and strategic framing to sway narratives, selectively highlighting or omitting CG challenges and introducing variability or partiality in themes. In Nigerian deposit money banking, senior executives’ power dynamics, loyalties, and socio-political sensitivities may embellish reform successes (e.g., CBN Guidelines 2023 as transformative) while minimizing enforcement gaps or political interference in appointments, understating regulatory clarity-NPL links (Braun &amp; Clarke, 2006; Silverman, 2021). For example, a CEO may emphasize post-2019 disclosure improvements but gloss audit committee capture by shareholder ties, skewing themes toward optimism and amplifying dominant voices while marginalizing dissent.</w:t>
      </w:r>
    </w:p>
    <w:p>
      <w:pPr>
        <w:pStyle w:val="BodyText"/>
        <w:rPr/>
      </w:pPr>
      <w:r>
        <w:rPr/>
        <w:t>This interpretive layer may overrepresent elite consensus, understating diverse realities. Mitigation includes neutral probing for balanced responses, verbatim transcription for fidelity, member checking with 8 participants for validation (minor refinements), and cultural qualifications. Peer debriefing by external scholars interrogates biases in coding. Reflexivity addresses interviewer-interviewee interplay for rapport and encouragement. While subjectivity tempers generalizability, it enriches interpretive findings; document analysis supplements objective corroboration in pragmatic designs. For RQ4, subjectivity and elite bias—executives embellishing lucidity—are mitigated by triangulating with survey perceptions, balancing roles (mid-level alongside executives), and reflexive notes on framing, ensuring rigor via thick descriptions and saturation by the 8th interview (no new enforcement themes).</w:t>
      </w:r>
      <w:bookmarkEnd w:id="69"/>
    </w:p>
    <w:p>
      <w:pPr>
        <w:pStyle w:val="Heading2"/>
        <w:rPr/>
      </w:pPr>
      <w:r>
        <w:rPr/>
        <w:t xml:space="preserve">3.16.3 </w:t>
      </w:r>
      <w:bookmarkStart w:id="70" w:name="small-sample-size-interviews"/>
      <w:r>
        <w:rPr/>
        <w:t>Small Sample Size Interviews</w:t>
      </w:r>
    </w:p>
    <w:p>
      <w:pPr>
        <w:pStyle w:val="FirstParagraph"/>
        <w:rPr/>
      </w:pPr>
      <w:r>
        <w:rPr/>
        <w:t>The qualitative sample of 10 interviewees (50% response rate from 20 scheduled) achieves thematic saturation with no novel insights after the 8th session, as per Guest et al. (2006) for 6-12 in focused studies with homogeneous experts, but limits diversity and volume, potentially curtailing fringe viewpoints on CG intricacies (Guest et al., 2006; CBN, 2024). Purposive sampling of high-caliber informants (CEOs/board chairs, executives) provides in-depth authority on management qualifications and audit independence but undervalues lower-tier or regional perspectives on practice indices and localized misalignments in underserved areas (Kafidipe, 2021; Elias, 2024). Power analysis is absent in qualitative paradigms, prioritizing informational density with iterative NVivo coding for theme redundancy. Logistical impediments (in-person with time-constrained leaders, Abuja traffic/security) hinder scaling to 25-35; virtual extensions could facilitate. This constrains representational breadth and generalizability, privileging metropolitan senior narratives; depth-breadth trade-off in resource-bound mixed-methods could be enriched with hybrid sampling.</w:t>
      </w:r>
      <w:bookmarkEnd w:id="70"/>
    </w:p>
    <w:p>
      <w:pPr>
        <w:pStyle w:val="Heading2"/>
        <w:rPr/>
      </w:pPr>
      <w:r>
        <w:rPr/>
        <w:t>3.16.4</w:t>
      </w:r>
      <w:bookmarkStart w:id="71" w:name="cross-sectional-design"/>
      <w:r>
        <w:rPr/>
        <w:t>Cross-Sectional Design</w:t>
      </w:r>
    </w:p>
    <w:p>
      <w:pPr>
        <w:pStyle w:val="FirstParagraph"/>
        <w:rPr/>
      </w:pPr>
      <w:r>
        <w:rPr/>
        <w:t>The cross-sectional design for RQ2–RQ4 captures 2024 governance perceptions and NPL snapshots, restricting discernment of temporal causality and evolutionary trajectories, such as whether disclosure enhancements precede long-term NPL reductions or correlate with economic recoveries (Natufe &amp; Evbayiro-Osagie, 2023; Baltagi, 2021). Longitudinal designs track variables over years to unpack sequencing, like 2023 reforms catalyzing 2024 disclosure gains amid GDP rebounds (3.4% in 2024, IMF), but static patterns attribute dynamic mechanisms in Nigeria’s cyclical economy (2016 recession NPL aftershocks) (Olojede et al., 2020; IMF, 2024). Secondary historical data (NPL ratios from 37% in 2009 to 5.62% in April 2024, CBN Monetary Policy Committee) provides retrospective context for RQ1, but primary cross-sectional for RQ2–RQ4 precludes direct observation of change. Fixed-effects panel modeling simulates temporal controls for generalizability but curtails prospective scenarios; unforesighted shifts (post-2024 inflation 24.1%, CBN) may invalidate static inferences. Cohort time-series designs are imperative for causal robustness in volatile emerging markets.</w:t>
      </w:r>
      <w:bookmarkEnd w:id="71"/>
    </w:p>
    <w:p>
      <w:pPr>
        <w:pStyle w:val="Heading2"/>
        <w:rPr/>
      </w:pPr>
      <w:r>
        <w:rPr/>
        <w:t xml:space="preserve">3.16.5 </w:t>
      </w:r>
      <w:bookmarkStart w:id="72" w:name="questionnaire-sample-size"/>
      <w:r>
        <w:rPr/>
        <w:t>Questionnaire Sample Size</w:t>
      </w:r>
    </w:p>
    <w:p>
      <w:pPr>
        <w:pStyle w:val="FirstParagraph"/>
        <w:rPr/>
      </w:pPr>
      <w:r>
        <w:rPr/>
        <w:t xml:space="preserve">The 234 valid responses (58.5% from 400 distributed) provide ample power for primary hypotheses (G*Power: 85% power, </w:t>
      </w:r>
      <w:r>
        <w:rPr/>
      </w:r>
      <m:oMath xmlns:m="http://schemas.openxmlformats.org/officeDocument/2006/math">
        <m:r>
          <w:rPr>
            <w:rFonts w:ascii="Cambria Math" w:hAnsi="Cambria Math"/>
          </w:rPr>
          <m:t xml:space="preserve">α</m:t>
        </m:r>
      </m:oMath>
      <w:r>
        <w:rPr/>
        <w:t xml:space="preserve">=0.05, medium effects </w:t>
      </w:r>
      <w:r>
        <w:rPr/>
      </w:r>
      <m:oMath xmlns:m="http://schemas.openxmlformats.org/officeDocument/2006/math">
        <m:sSup>
          <m:e>
            <m:r>
              <w:rPr>
                <w:rFonts w:ascii="Cambria Math" w:hAnsi="Cambria Math"/>
              </w:rPr>
              <m:t xml:space="preserve">f</m:t>
            </m:r>
          </m:e>
          <m:sup>
            <m:r>
              <w:rPr>
                <w:rFonts w:ascii="Cambria Math" w:hAnsi="Cambria Math"/>
              </w:rPr>
              <m:t xml:space="preserve">2</m:t>
            </m:r>
          </m:sup>
        </m:sSup>
      </m:oMath>
      <w:r>
        <w:rPr/>
        <w:t>=0.15, 6 predictors), but limit probing intricate interactions and subgroup nuances on CG impacts by bank sizes or roles in DMBs (Yamane, 1967; Faul et al., 2009). An expansive cohort (500-700) could unveil subtle moderations like regulatory multiplicity on practice in small banks (&lt;₦500 billion). In-person distribution in Abuja with dispersed branches caps feasibility due to fatigue and denials. Bootstrapping (1,000 resamples) and stratified sampling amplify precision, but size risks Type II errors for low-prevalence phenomena; generalizability is constrained as diverse experiences homogenize. Online platforms could enable larger, varied recruitment in regulated fields.</w:t>
      </w:r>
      <w:bookmarkEnd w:id="72"/>
    </w:p>
    <w:p>
      <w:pPr>
        <w:pStyle w:val="Heading2"/>
        <w:rPr/>
      </w:pPr>
      <w:r>
        <w:rPr/>
        <w:t xml:space="preserve">3.16.6 </w:t>
      </w:r>
      <w:bookmarkStart w:id="73" w:name="data-availability-constraints"/>
      <w:r>
        <w:rPr/>
        <w:t>Data Availability Constraints</w:t>
      </w:r>
    </w:p>
    <w:p>
      <w:pPr>
        <w:pStyle w:val="FirstParagraph"/>
        <w:rPr/>
      </w:pPr>
      <w:r>
        <w:rPr/>
        <w:t>Data availability beyond April 2024 constrains temporal boundaries; NPL metrics rely on contemporaneous sources, overlooking subsequent policy pivots or global shocks that could elevate ratios (Agusto &amp; Co, 2024; CBN, 2024). The cutoff, dictated by schedule, presumes trend continuity but diminishes forward applicability amid emergent volatilities like naira devaluation post-Q2. Multi-source synthesis (CBN, NDIC, World Bank) fortifies historical accuracy but wanes for evolving contexts; real-time databases are advocated for future studies.</w:t>
      </w:r>
      <w:bookmarkEnd w:id="73"/>
    </w:p>
    <w:p>
      <w:pPr>
        <w:pStyle w:val="Heading2"/>
        <w:rPr/>
      </w:pPr>
      <w:r>
        <w:rPr/>
        <w:t xml:space="preserve">3.16.7 </w:t>
      </w:r>
      <w:bookmarkStart w:id="74" w:name="opaque-npl-reporting"/>
      <w:r>
        <w:rPr/>
        <w:t>Opaque NPL Reporting</w:t>
      </w:r>
    </w:p>
    <w:p>
      <w:pPr>
        <w:pStyle w:val="FirstParagraph"/>
        <w:rPr/>
      </w:pPr>
      <w:r>
        <w:rPr/>
        <w:t>Opaque NPL reporting in Nigeria, due to lax audit enforcement and discrepant classifications, entrenches unreliability; banks underclassify loans to mask vulnerabilities, diluting governance indices-NPL linkages (Olojede et al., 2020; Sanusi, 2014). Variances across sources (CBN 5.62% April 2024 vs. lower self-reports) introduce errors from regulatory silos, attenuating disclosure roles. Sensitivity analyses and source reconciliation mitigate, but pre-2023 crises taint artifacts; generalizability curtails as systemic risks veil. Standardized reporting is necessary for precise evaluations.</w:t>
      </w:r>
      <w:bookmarkEnd w:id="74"/>
    </w:p>
    <w:p>
      <w:pPr>
        <w:pStyle w:val="Heading2"/>
        <w:rPr/>
      </w:pPr>
      <w:r>
        <w:rPr/>
        <w:t xml:space="preserve">3.16.8 </w:t>
      </w:r>
      <w:bookmarkStart w:id="75" w:name="focus-post-2004-consolidation-dmbs"/>
      <w:r>
        <w:rPr/>
        <w:t>Focus Post-2004 Consolidation DMBs</w:t>
      </w:r>
    </w:p>
    <w:p>
      <w:pPr>
        <w:pStyle w:val="FirstParagraph"/>
        <w:rPr/>
      </w:pPr>
      <w:r>
        <w:rPr/>
        <w:t>Focus on post-2004 consolidation DMBs affords analytical concentration but omits smaller non-consolidated entities like microfinance banks with informal CG, potentially divergent patterns in heightened regulatory multiplicity for unregulated segments (Efron &amp; Tibshirani, 1993; CBN, 2024). The scope assumes mega-bank dominance mirrors the sector but challenges diversity; generalizability limits to the full ecosystem. Stratified sampling partially extends; broader inclusion could enrich.</w:t>
      </w:r>
      <w:bookmarkEnd w:id="75"/>
    </w:p>
    <w:p>
      <w:pPr>
        <w:pStyle w:val="Heading2"/>
        <w:rPr/>
      </w:pPr>
      <w:r>
        <w:rPr/>
        <w:t xml:space="preserve">3.16.8 </w:t>
      </w:r>
      <w:bookmarkStart w:id="76" w:name="logistical-constraints"/>
      <w:r>
        <w:rPr/>
        <w:t>Logistical Constraints</w:t>
      </w:r>
    </w:p>
    <w:p>
      <w:pPr>
        <w:pStyle w:val="FirstParagraph"/>
        <w:rPr/>
      </w:pPr>
      <w:r>
        <w:rPr/>
        <w:t>Logistical impediments in manual distribution and in-person interviews in Abuja’s challenging terrain impede scope and depth; accessible sites prioritize, biasing toward urban insights and overlooking rural branch nuances. Barriers like traffic, security, and scheduling favor convenience, constraining generalizability and underrepresenting peripheral DMBs. Digital shifts could alleviate for inclusivity.</w:t>
      </w:r>
      <w:bookmarkEnd w:id="76"/>
    </w:p>
    <w:p>
      <w:pPr>
        <w:pStyle w:val="Heading2"/>
        <w:rPr/>
      </w:pPr>
      <w:r>
        <w:rPr/>
        <w:t xml:space="preserve">3.16.8 </w:t>
      </w:r>
      <w:bookmarkStart w:id="77" w:name="researcher-reflexivity-positionality"/>
      <w:r>
        <w:rPr/>
        <w:t>Researcher Reflexivity Positionality</w:t>
      </w:r>
    </w:p>
    <w:p>
      <w:pPr>
        <w:pStyle w:val="FirstParagraph"/>
        <w:rPr/>
      </w:pPr>
      <w:r>
        <w:rPr/>
        <w:t>Researcher positionality as a Nigerian scholar with banking immersion imposes reflexive limitations; ingrained perspectives on cultural critiques like nepotism may prioritize global benchmarks, risking confirmation bias in theme selection or models (Finlay, 2002; Berger, 2015). Insider-outsider duality enriches nuance but embeds ethnocentric lenses affecting interpretative neutrality. Reflexivity journals document assumptions (e.g., "Assumed regulatory inefficacy from personal experience"); peer reviews counter unexamined influences. Generalizability tempers as localized views infuse; co-researcher diversity is called for future work.</w:t>
      </w:r>
      <w:bookmarkEnd w:id="67"/>
      <w:bookmarkEnd w:id="77"/>
    </w:p>
    <w:p>
      <w:pPr>
        <w:pStyle w:val="Heading1"/>
        <w:rPr/>
      </w:pPr>
      <w:r>
        <w:rPr/>
        <w:t xml:space="preserve">3.17 </w:t>
      </w:r>
      <w:bookmarkStart w:id="78" w:name="conclusion"/>
      <w:r>
        <w:rPr/>
        <w:t>Conclusion</w:t>
      </w:r>
    </w:p>
    <w:p>
      <w:pPr>
        <w:pStyle w:val="FirstParagraph"/>
        <w:rPr/>
      </w:pPr>
      <w:r>
        <w:rPr/>
        <w:t>The methodology establishes a robust framework for investigating corporate governance deficiencies at the board level in Nigerian Deposit Money Banks (DMBs), focusing on disclosure, practice, and compliance to mitigate default risk measured by Non-Performing Loan (NPL) ratios. The mixed-methods design integrates quantitative and qualitative approaches for a comprehensive analysis of governance indices—disclosure (CGDI), practice (OPEFF), compliance (COMID), audit committee independence, and regulatory clarity—in the post-2004 consolidation context. The quantitative component uses a structured questionnaire administered by hand to 234 banking professionals (cashiers to regional managers) for empirical rigor, quantifying governance impacts on NPL ratios and addressing weak board oversight and inadequate practice indices identified in the literature (Adegboye, 2020; Sanusi, 2009).</w:t>
      </w:r>
    </w:p>
    <w:p>
      <w:pPr>
        <w:pStyle w:val="BodyText"/>
        <w:rPr/>
      </w:pPr>
      <w:r>
        <w:rPr/>
        <w:t>The qualitative component involves semi-structured interviews with 10 high-level officials (conducted in offices: CEOs, board chairs, executive managers) to enrich contextual insights on regulatory multiplicity and fraud concealment, driving systemic instability with 425 bank failures since 1988 (Udo, 2020; Olojede et al., 2020). The pragmatic research paradigm balances positivist statistical analysis with interpretivist stakeholder perspectives, suited to multifaceted governance challenges. This approach fills gaps in post-2009 studies, where Nigeria-specific post-consolidation analyses are scarce (Osita et al., 2019). Questionnaire data is cross-validated with secondary sources (CBN reports, NDIC records, audited financials), triangulating interview findings to mitigate NPL opacity (Olojede et al., 2020; Natufe &amp; Evbayiro-Osagie, 2023). Hands-on administration and interviews, with patience, courtesy, and respect, facilitate high-quality collection, fostering trust in a sensitive context. The methodology addresses research objectives by evaluating CG deficiencies for NPL reduction, proposing audit independence and regulatory clarity reforms to enhance banking resilience.</w:t>
      </w:r>
    </w:p>
    <w:p>
      <w:pPr>
        <w:pStyle w:val="Normal"/>
        <w:rPr/>
      </w:pPr>
      <w:r>
        <w:rPr/>
        <w:t>Findings quantify CG deficiencies driving NPLs, providing evidence-based insights on board inefficiencies and fragmented regulations (CAMA 2020, NCCG 2018, CBN Guidelines 2023) contributing to systemic risks (Abdulmalik &amp; Ahmad, 2020). Qualitative insights contextualize harmonizing frameworks, strengthening oversight and whistleblowing for practical recommendations aligned with global standards (OECD Principles 2023, Basel III; BCBS, 2010). Addressing historical legacies restores stakeholder confidence, reduces default risks, and enhances stability in Nigeria’s deposit money banking sector, pivotal for growth (King &amp; Levine, 1993). This chapter lays a solid foundation for empirical analysis, paving the way for actionable reforms and contributions to academic discourse and policy in Nigeria’s financial sector.</w:t>
      </w:r>
      <w:bookmarkEnd w:id="78"/>
    </w:p>
    <w:p>
      <w:pPr>
        <w:pStyle w:val="Normal"/>
        <w:rPr/>
      </w:pPr>
      <w:r>
        <w:rPr/>
      </w:r>
      <w:r>
        <w:br w:type="page"/>
      </w:r>
    </w:p>
    <w:p>
      <w:pPr>
        <w:pStyle w:val="Heading1"/>
        <w:rPr/>
      </w:pPr>
      <w:r>
        <w:rPr/>
        <w:t xml:space="preserve">4.0 </w:t>
      </w:r>
      <w:bookmarkStart w:id="79" w:name="chapter-4-results-and-discussion"/>
      <w:r>
        <w:rPr/>
        <w:t>Chapter 4: Results and Discussion</w:t>
      </w:r>
    </w:p>
    <w:p>
      <w:pPr>
        <w:pStyle w:val="FirstParagraph"/>
        <w:rPr/>
      </w:pPr>
      <w:r>
        <w:rPr/>
        <w:t>This chapter elucidates the empirical findings of the thesis, systematically organised around the four research questions. For each question, the presentation commences with descriptive statistics, followed by econometric models and robustness assessments, culminating in interpretive discussions that integrate theoretical lenses—agency theory (Jensen &amp; Meckling, 1976), stewardship theory (Donaldson &amp; Davis, 1991), and institutional theory (DiMaggio &amp; Powell, 1983)—to unpack underlying mechanisms. These interpretations either corroborate or contest theoretical propositions, while establishing connections to practical reform implications within Nigeria’s deposit money banking (DMB) sector. The analysis is framed against the backdrop of post-2009 regulatory developments, including the Central Bank of Nigeria (CBN) Code of 2014, the Nigerian Code of Corporate Governance (NCCG) 2018, the Companies and Allied Matters Act (CAMA) 2020, and CBN Guidelines 2023. Triangulation with qualitative insights from semi-structured interviews and perceptual survey data enriches the quantitative results, generating meta-inferences on the interdependencies between governance mechanisms and non-performing loan (NPL) ratios. All analyses conform to the mixed-methods paradigm delineated in Chapter 3, incorporating panel fixed-effects regressions for RQ1 and RQ3, and bootstrapped mediation models for RQ2 and RQ4, utilising data from 160 bank-years (2009–2024) across 10 DMBs and cross-sectional perceptions from 234 stakeholders.</w:t>
      </w:r>
    </w:p>
    <w:p>
      <w:pPr>
        <w:pStyle w:val="Heading2"/>
        <w:rPr/>
      </w:pPr>
      <w:r>
        <w:rPr/>
        <w:t xml:space="preserve">4.1 </w:t>
      </w:r>
      <w:bookmarkStart w:id="80" w:name="X11dc56c85e5f013e654e3d4e6fec1617d501954"/>
      <w:r>
        <w:rPr/>
        <w:t>Findings for RQ1: Governance Indices and NPL Modulation (2009–2024)</w:t>
      </w:r>
    </w:p>
    <w:p>
      <w:pPr>
        <w:pStyle w:val="FirstParagraph"/>
        <w:rPr/>
      </w:pPr>
      <w:r>
        <w:rPr/>
        <w:t>RQ1 examines: To what extent do corporate governance indices—encompassing disclosure via the Corporate Governance Disclosure Index (CGDI), practice through the Practice Index (OPEFF), and compliance with the Compliance Index (COMID)—modulate NPL ratios in Nigerian DMBs from 2009 to 2024, controlling for bank size, capital adequacy, and macroeconomic factors like GDP growth, inflation, and oil prices?</w:t>
      </w:r>
    </w:p>
    <w:p>
      <w:pPr>
        <w:pStyle w:val="BodyText"/>
        <w:rPr/>
      </w:pPr>
      <w:r>
        <w:rPr/>
        <w:t>This longitudinal quantitative exploration relies on panel data derived from audited financial statements, CBN bulletins, and World Bank macroeconomic indicators, encompassing 160 bank-year observations from 10 DMBs. Fixed-effects regressions disentangle temporal relationships, accounting for unobserved heterogeneity through entity-specific intercepts and addressing potential endogeneity via lagged predictors and diagnostic tests. Grounded in institutional theory’s focus on regulatory isomorphism (Scott, 2014), the inquiry illuminates how governance indices mitigate default risk in opaque emerging markets, where entrenched crises—such as the 2009 NPL surge exceeding 37%—highlight persistent board oversight deficiencies (Sanusi, 2014; Adegbite, 2014). This approach not only addresses post-consolidation gaps in Nigeria but also contrasts with comparative evidence from Ghana and South Africa, where similar reforms have yielded varying NPL abatements, underscoring the contextual contingencies of Basel III convergence in African contexts (OECD, 2023; Agyemang &amp; Castellini, 2015).</w:t>
      </w:r>
    </w:p>
    <w:p>
      <w:pPr>
        <w:pStyle w:val="Heading3"/>
        <w:numPr>
          <w:ilvl w:val="2"/>
          <w:numId w:val="1"/>
        </w:numPr>
        <w:ind w:hanging="0" w:left="0"/>
        <w:rPr/>
      </w:pPr>
      <w:r>
        <w:rPr/>
        <w:t>4.1.1</w:t>
      </w:r>
      <w:bookmarkStart w:id="81" w:name="descriptive-statistics_Copy_1"/>
      <w:r>
        <w:rPr/>
        <w:t>Descriptive Statistics</w:t>
      </w:r>
    </w:p>
    <w:p>
      <w:pPr>
        <w:pStyle w:val="FirstParagraph"/>
        <w:rPr/>
      </w:pPr>
      <w:r>
        <w:rPr/>
        <w:t>Descriptive statistics offer preliminary insights into variable distributions and temporal trends. The mean NPL ratio (NPLR) is 5.8% (SD = 4.2%), evidencing a post-2009 downward trajectory yet persisting above the CBN’s 5% benchmark during periods of economic turbulence (e.g., 2017). The Tier 1 Capital Adequacy Ratio (TCAR), serving as a proxy for risk management resilience, averages 18.7% (SD = 3.2%), surpassing the 10% regulatory floor and reflecting progressive alignment with Basel III standards amid successive reforms (BCBS, 2010). Governance indices demonstrate incremental advancements: CGDI escalates from 42% in 2009 to 76% in 2024 (mean = 62%, SD = 12.5%), OPEFF averages 58% (SD = 9.0%), and COMID stabilises at 65% (SD = 8.5%). Macroeconomic covariates include log-transformed GDP per capita (LnGDPPC; mean = 7.9, SD = 0.3), inflation (mean = 12.4%, SD = 4.1%), and oil prices (mean = 68 USD/barrel, SD = 22.5). Pairwise correlations among governance indices fall below 0.45, mitigating multicollinearity risks (variance inflation factors &lt; 3.5). These distributions resonate with institutional theory, illustrating coercive pressures from CBN directives that propel disclosure and practice enhancements, albeit with compliance trailing in a context of regulatory fragmentation (Natufe &amp; Evbayiro-Osagie, 2023).</w:t>
      </w:r>
      <w:bookmarkEnd w:id="81"/>
    </w:p>
    <w:p>
      <w:pPr>
        <w:pStyle w:val="Heading3"/>
        <w:numPr>
          <w:ilvl w:val="2"/>
          <w:numId w:val="1"/>
        </w:numPr>
        <w:ind w:hanging="0" w:left="0"/>
        <w:rPr/>
      </w:pPr>
      <w:r>
        <w:rPr/>
        <w:t xml:space="preserve">4.1.2 </w:t>
      </w:r>
      <w:bookmarkStart w:id="82" w:name="full-sample-baseline-estimates"/>
      <w:r>
        <w:rPr/>
        <w:t>Full-Sample Baseline Estimates</w:t>
      </w:r>
    </w:p>
    <w:p>
      <w:pPr>
        <w:pStyle w:val="FirstParagraph"/>
        <w:rPr/>
      </w:pPr>
      <w:r>
        <w:rPr/>
        <w:t>Fixed-effects regressions, selected over random-effects models based on the Hausman test (</w:t>
      </w:r>
      <w:r>
        <w:rPr/>
      </w:r>
      <m:oMath xmlns:m="http://schemas.openxmlformats.org/officeDocument/2006/math">
        <m:sSup>
          <m:e>
            <m:r>
              <w:rPr>
                <w:rFonts w:ascii="Cambria Math" w:hAnsi="Cambria Math"/>
              </w:rPr>
              <m:t xml:space="preserve">χ</m:t>
            </m:r>
          </m:e>
          <m:sup>
            <m:r>
              <w:rPr>
                <w:rFonts w:ascii="Cambria Math" w:hAnsi="Cambria Math"/>
              </w:rPr>
              <m:t xml:space="preserve">2</m:t>
            </m:r>
          </m:sup>
        </m:sSup>
        <m:r>
          <m:rPr>
            <m:lit/>
            <m:nor/>
          </m:rPr>
          <w:rPr>
            <w:rFonts w:ascii="Cambria Math" w:hAnsi="Cambria Math"/>
          </w:rPr>
          <m:t xml:space="preserve">=</m:t>
        </m:r>
        <m:r>
          <w:rPr>
            <w:rFonts w:ascii="Cambria Math" w:hAnsi="Cambria Math"/>
          </w:rPr>
          <m:t xml:space="preserve">1.85</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0.87</m:t>
        </m:r>
      </m:oMath>
      <w:r>
        <w:rPr/>
        <w:t>), quantify the modulating influence of governance indices. As detailed in Column (1) of Table 4.1, OPEFF exerts a robust negative impact on NPLR (</w:t>
      </w:r>
      <w:r>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m:t>
        </m:r>
        <m:r>
          <w:rPr>
            <w:rFonts w:ascii="Cambria Math" w:hAnsi="Cambria Math"/>
          </w:rPr>
          <m:t xml:space="preserve">0.531</m:t>
        </m:r>
      </m:oMath>
      <w:r>
        <w:rPr/>
        <w:t xml:space="preserve">, </w:t>
      </w:r>
      <w:r>
        <w:rPr/>
      </w:r>
      <m:oMath xmlns:m="http://schemas.openxmlformats.org/officeDocument/2006/math">
        <m:r>
          <w:rPr>
            <w:rFonts w:ascii="Cambria Math" w:hAnsi="Cambria Math"/>
          </w:rPr>
          <m:t xml:space="preserve">t</m:t>
        </m:r>
        <m:r>
          <m:rPr>
            <m:lit/>
            <m:nor/>
          </m:rPr>
          <w:rPr>
            <w:rFonts w:ascii="Cambria Math" w:hAnsi="Cambria Math"/>
          </w:rPr>
          <m:t xml:space="preserve">=</m:t>
        </m:r>
        <m:r>
          <w:rPr>
            <w:rFonts w:ascii="Cambria Math" w:hAnsi="Cambria Math"/>
          </w:rPr>
          <m:t xml:space="preserve">−</m:t>
        </m:r>
        <m:r>
          <w:rPr>
            <w:rFonts w:ascii="Cambria Math" w:hAnsi="Cambria Math"/>
          </w:rPr>
          <m:t xml:space="preserve">4.96</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0.01</m:t>
        </m:r>
      </m:oMath>
      <w:r>
        <w:rPr/>
        <w:t>), signifying that fortified operational practices—encompassing board oversight and internal controls—substantively attenuate default risk. In contrast, CGDI and COMID yield insignificant coefficients (</w:t>
      </w:r>
      <w:r>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m:t>
        </m:r>
        <m:r>
          <w:rPr>
            <w:rFonts w:ascii="Cambria Math" w:hAnsi="Cambria Math"/>
          </w:rPr>
          <m:t xml:space="preserve">0.055</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&gt;</m:t>
        </m:r>
        <m:r>
          <w:rPr>
            <w:rFonts w:ascii="Cambria Math" w:hAnsi="Cambria Math"/>
          </w:rPr>
          <m:t xml:space="preserve">0.10</m:t>
        </m:r>
      </m:oMath>
      <w:r>
        <w:rPr/>
        <w:t xml:space="preserve">; </w:t>
      </w:r>
      <w:r>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m:t>
        </m:r>
        <m:r>
          <w:rPr>
            <w:rFonts w:ascii="Cambria Math" w:hAnsi="Cambria Math"/>
          </w:rPr>
          <m:t xml:space="preserve">0.333</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&gt;</m:t>
        </m:r>
        <m:r>
          <w:rPr>
            <w:rFonts w:ascii="Cambria Math" w:hAnsi="Cambria Math"/>
          </w:rPr>
          <m:t xml:space="preserve">0.10</m:t>
        </m:r>
      </m:oMath>
      <w:r>
        <w:rPr/>
        <w:t>), while TCAR displays a marginal negative association (</w:t>
      </w:r>
      <w:r>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m:t>
        </m:r>
        <m:r>
          <w:rPr>
            <w:rFonts w:ascii="Cambria Math" w:hAnsi="Cambria Math"/>
          </w:rPr>
          <m:t xml:space="preserve">0.125</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&gt;</m:t>
        </m:r>
        <m:r>
          <w:rPr>
            <w:rFonts w:ascii="Cambria Math" w:hAnsi="Cambria Math"/>
          </w:rPr>
          <m:t xml:space="preserve">0.10</m:t>
        </m:r>
      </m:oMath>
      <w:r>
        <w:rPr/>
        <w:t>). Among macroeconomic controls, LnGDPPC emerges as significantly negative (</w:t>
      </w:r>
      <w:r>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m:t>
        </m:r>
        <m:r>
          <w:rPr>
            <w:rFonts w:ascii="Cambria Math" w:hAnsi="Cambria Math"/>
          </w:rPr>
          <m:t xml:space="preserve">8.692</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0.01</m:t>
        </m:r>
      </m:oMath>
      <w:r>
        <w:rPr/>
        <w:t>), underscoring the ameliorative role of economic expansion in curbing NPLs. The model accounts for 58.6% of within-unit variation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r>
          <m:rPr>
            <m:lit/>
            <m:nor/>
          </m:rPr>
          <w:rPr>
            <w:rFonts w:ascii="Cambria Math" w:hAnsi="Cambria Math"/>
          </w:rPr>
          <m:t xml:space="preserve">=</m:t>
        </m:r>
        <m:r>
          <w:rPr>
            <w:rFonts w:ascii="Cambria Math" w:hAnsi="Cambria Math"/>
          </w:rPr>
          <m:t xml:space="preserve">0.586</m:t>
        </m:r>
      </m:oMath>
      <w:r>
        <w:rPr/>
        <w:t>), bolstered by bank fixed effects and year dummies to control for heterogeneity.</w:t>
      </w:r>
    </w:p>
    <w:p>
      <w:pPr>
        <w:pStyle w:val="BodyText"/>
        <w:rPr/>
      </w:pPr>
      <w:r>
        <w:rPr/>
        <w:t>These baseline outcomes align with stewardship theory’s assertion that intrinsic managerial commitments, manifested through practices, foster effective risk mitigation (Donaldson &amp; Davis, 1991). However, they contest agency theory’s presumption of disclosure’s universal efficacy in alleviating information asymmetries (Jensen &amp; Meckling, 1976). Within Nigeria’s institutional milieu, where regulatory multiplicity undermines compliance signals, practice assumes primacy as a modulator, mirroring post-consolidation reforms that emphasise operational fortitude (CBN, 2014; Olojede et al., 2020). This finding echoes post-2014 empirical studies in emerging economies, such as Abdulmalik and Ahmad (2020), which highlight practice’s dominance in frail institutional settings.</w:t>
      </w:r>
    </w:p>
    <w:p>
      <w:pPr>
        <w:sectPr>
          <w:type w:val="nextPage"/>
          <w:pgSz w:w="12240" w:h="15840"/>
          <w:pgMar w:left="1134" w:right="1134" w:gutter="0" w:header="0" w:top="1134" w:footer="0" w:bottom="1134"/>
          <w:pgNumType w:fmt="decimal"/>
          <w:formProt w:val="false"/>
          <w:textDirection w:val="lrTb"/>
          <w:docGrid w:type="default" w:linePitch="312" w:charSpace="0"/>
        </w:sectPr>
        <w:pStyle w:val="TableCaption"/>
        <w:rPr>
          <w:b/>
          <w:bCs/>
        </w:rPr>
      </w:pPr>
      <w:r>
        <w:rPr>
          <w:b/>
          <w:bCs/>
        </w:rPr>
      </w:r>
    </w:p>
    <w:p>
      <w:pPr>
        <w:pStyle w:val="TableCaption"/>
        <w:rPr/>
      </w:pPr>
      <w:r>
        <w:rPr>
          <w:b/>
          <w:bCs/>
        </w:rPr>
        <w:t xml:space="preserve">Table </w:t>
      </w:r>
      <w:r>
        <w:rPr>
          <w:b/>
          <w:bCs/>
        </w:rPr>
        <w:t>4.1</w:t>
      </w:r>
      <w:r>
        <w:rPr>
          <w:b/>
          <w:bCs/>
        </w:rPr>
        <w:t xml:space="preserve"> </w:t>
      </w:r>
      <w:r>
        <w:rPr>
          <w:b/>
          <w:bCs/>
        </w:rPr>
        <w:t>Baseline and Regime-Split Fixed-Effects Estimates</w:t>
      </w:r>
      <w:bookmarkEnd w:id="82"/>
    </w:p>
    <w:p>
      <w:pPr>
        <w:pStyle w:val="TableCaption"/>
        <w:rPr>
          <w:b w:val="false"/>
          <w:bCs w:val="false"/>
        </w:rPr>
      </w:pPr>
      <w:r>
        <w:rPr>
          <w:b w:val="false"/>
          <w:bCs w:val="false"/>
        </w:rPr>
      </w:r>
    </w:p>
    <w:tbl>
      <w:tblPr>
        <w:tblW w:w="13582" w:type="dxa"/>
        <w:jc w:val="left"/>
        <w:tblInd w:w="28" w:type="dxa"/>
        <w:tblLayout w:type="fixed"/>
        <w:tblCellMar>
          <w:top w:w="28" w:type="dxa"/>
          <w:left w:w="28" w:type="dxa"/>
          <w:bottom w:w="28" w:type="dxa"/>
          <w:right w:w="28" w:type="dxa"/>
        </w:tblCellMar>
      </w:tblPr>
      <w:tblGrid>
        <w:gridCol w:w="4321"/>
        <w:gridCol w:w="2152"/>
        <w:gridCol w:w="3065"/>
        <w:gridCol w:w="4044"/>
      </w:tblGrid>
      <w:tr>
        <w:trPr>
          <w:tblHeader w:val="true"/>
        </w:trPr>
        <w:tc>
          <w:tcPr>
            <w:tcW w:w="4321" w:type="dxa"/>
            <w:tcBorders/>
            <w:vAlign w:val="center"/>
          </w:tcPr>
          <w:p>
            <w:pPr>
              <w:pStyle w:val="TableHeading"/>
              <w:rPr>
                <w:b w:val="false"/>
                <w:bCs w:val="false"/>
              </w:rPr>
            </w:pPr>
            <w:r>
              <w:rPr>
                <w:b w:val="false"/>
                <w:bCs w:val="false"/>
              </w:rPr>
              <w:t>Variable</w:t>
            </w:r>
          </w:p>
        </w:tc>
        <w:tc>
          <w:tcPr>
            <w:tcW w:w="2152" w:type="dxa"/>
            <w:tcBorders/>
            <w:vAlign w:val="center"/>
          </w:tcPr>
          <w:p>
            <w:pPr>
              <w:pStyle w:val="TableHeading"/>
              <w:rPr>
                <w:b w:val="false"/>
                <w:bCs w:val="false"/>
              </w:rPr>
            </w:pPr>
            <w:r>
              <w:rPr>
                <w:b w:val="false"/>
                <w:bCs w:val="false"/>
              </w:rPr>
              <w:t>Full Sample</w:t>
            </w:r>
          </w:p>
        </w:tc>
        <w:tc>
          <w:tcPr>
            <w:tcW w:w="3065" w:type="dxa"/>
            <w:tcBorders/>
            <w:vAlign w:val="center"/>
          </w:tcPr>
          <w:p>
            <w:pPr>
              <w:pStyle w:val="TableHeading"/>
              <w:rPr>
                <w:b w:val="false"/>
                <w:bCs w:val="false"/>
              </w:rPr>
            </w:pPr>
            <w:r>
              <w:rPr>
                <w:b w:val="false"/>
                <w:bCs w:val="false"/>
              </w:rPr>
              <w:t>Pre-Reform</w:t>
            </w:r>
          </w:p>
        </w:tc>
        <w:tc>
          <w:tcPr>
            <w:tcW w:w="4044" w:type="dxa"/>
            <w:tcBorders/>
            <w:vAlign w:val="center"/>
          </w:tcPr>
          <w:p>
            <w:pPr>
              <w:pStyle w:val="TableHeading"/>
              <w:rPr>
                <w:b w:val="false"/>
                <w:bCs w:val="false"/>
              </w:rPr>
            </w:pPr>
            <w:r>
              <w:rPr>
                <w:b w:val="false"/>
                <w:bCs w:val="false"/>
              </w:rPr>
              <w:t>Post-Reform</w:t>
            </w:r>
          </w:p>
        </w:tc>
      </w:tr>
      <w:tr>
        <w:trPr>
          <w:trHeight w:val="829" w:hRule="atLeast"/>
        </w:trPr>
        <w:tc>
          <w:tcPr>
            <w:tcW w:w="4321" w:type="dxa"/>
            <w:tcBorders/>
            <w:vAlign w:val="center"/>
          </w:tcPr>
          <w:p>
            <w:pPr>
              <w:pStyle w:val="TableContents"/>
              <w:rPr/>
            </w:pPr>
            <w:r>
              <w:rPr>
                <w:rStyle w:val="Strong"/>
                <w:b w:val="false"/>
                <w:bCs w:val="false"/>
              </w:rPr>
              <w:t>TCAR(t-1)</w:t>
            </w:r>
            <w:r>
              <w:rPr>
                <w:b w:val="false"/>
                <w:bCs w:val="false"/>
              </w:rPr>
              <w:t xml:space="preserve"> (Tier-1 capital ratio, lagged)</w:t>
            </w:r>
          </w:p>
        </w:tc>
        <w:tc>
          <w:tcPr>
            <w:tcW w:w="2152" w:type="dxa"/>
            <w:tcBorders/>
            <w:vAlign w:val="center"/>
          </w:tcPr>
          <w:p>
            <w:pPr>
              <w:pStyle w:val="TableContents"/>
              <w:rPr>
                <w:b w:val="false"/>
                <w:bCs w:val="false"/>
              </w:rPr>
            </w:pPr>
            <w:r>
              <w:rPr>
                <w:b w:val="false"/>
                <w:bCs w:val="false"/>
              </w:rPr>
              <w:t>–</w:t>
            </w:r>
            <w:r>
              <w:rPr>
                <w:b w:val="false"/>
                <w:bCs w:val="false"/>
              </w:rPr>
              <w:t>0.125 (n.s.)</w:t>
            </w:r>
          </w:p>
        </w:tc>
        <w:tc>
          <w:tcPr>
            <w:tcW w:w="3065" w:type="dxa"/>
            <w:tcBorders/>
            <w:vAlign w:val="center"/>
          </w:tcPr>
          <w:p>
            <w:pPr>
              <w:pStyle w:val="TableContents"/>
              <w:rPr>
                <w:b w:val="false"/>
                <w:bCs w:val="false"/>
              </w:rPr>
            </w:pPr>
            <w:r>
              <w:rPr>
                <w:b w:val="false"/>
                <w:bCs w:val="false"/>
              </w:rPr>
              <w:t>–</w:t>
            </w:r>
            <w:r>
              <w:rPr>
                <w:b w:val="false"/>
                <w:bCs w:val="false"/>
              </w:rPr>
              <w:t>0.207 (n.s.)</w:t>
            </w:r>
          </w:p>
        </w:tc>
        <w:tc>
          <w:tcPr>
            <w:tcW w:w="4044" w:type="dxa"/>
            <w:tcBorders/>
            <w:vAlign w:val="center"/>
          </w:tcPr>
          <w:p>
            <w:pPr>
              <w:pStyle w:val="TableContents"/>
              <w:rPr/>
            </w:pPr>
            <w:r>
              <w:rPr>
                <w:rStyle w:val="Strong"/>
                <w:b w:val="false"/>
                <w:bCs w:val="false"/>
              </w:rPr>
              <w:t>–</w:t>
            </w:r>
            <w:r>
              <w:rPr>
                <w:rStyle w:val="Strong"/>
                <w:b w:val="false"/>
                <w:bCs w:val="false"/>
              </w:rPr>
              <w:t>0.040</w:t>
            </w:r>
            <w:r>
              <w:rPr>
                <w:b w:val="false"/>
                <w:bCs w:val="false"/>
              </w:rPr>
              <w:t xml:space="preserve"> (n.s.)</w:t>
            </w:r>
          </w:p>
        </w:tc>
      </w:tr>
      <w:tr>
        <w:trPr>
          <w:trHeight w:val="926" w:hRule="atLeast"/>
        </w:trPr>
        <w:tc>
          <w:tcPr>
            <w:tcW w:w="4321" w:type="dxa"/>
            <w:tcBorders/>
            <w:vAlign w:val="center"/>
          </w:tcPr>
          <w:p>
            <w:pPr>
              <w:pStyle w:val="TableContents"/>
              <w:rPr/>
            </w:pPr>
            <w:r>
              <w:rPr>
                <w:rStyle w:val="Strong"/>
                <w:b w:val="false"/>
                <w:bCs w:val="false"/>
              </w:rPr>
              <w:t>CGDI</w:t>
            </w:r>
            <w:r>
              <w:rPr>
                <w:b w:val="false"/>
                <w:bCs w:val="false"/>
              </w:rPr>
              <w:t xml:space="preserve"> (Credit-to-GDP gap?)</w:t>
            </w:r>
          </w:p>
        </w:tc>
        <w:tc>
          <w:tcPr>
            <w:tcW w:w="2152" w:type="dxa"/>
            <w:tcBorders/>
            <w:vAlign w:val="center"/>
          </w:tcPr>
          <w:p>
            <w:pPr>
              <w:pStyle w:val="TableContents"/>
              <w:rPr>
                <w:b w:val="false"/>
                <w:bCs w:val="false"/>
              </w:rPr>
            </w:pPr>
            <w:r>
              <w:rPr>
                <w:b w:val="false"/>
                <w:bCs w:val="false"/>
              </w:rPr>
              <w:t>–</w:t>
            </w:r>
            <w:r>
              <w:rPr>
                <w:b w:val="false"/>
                <w:bCs w:val="false"/>
              </w:rPr>
              <w:t>0.055 (n.s.)</w:t>
            </w:r>
          </w:p>
        </w:tc>
        <w:tc>
          <w:tcPr>
            <w:tcW w:w="3065" w:type="dxa"/>
            <w:tcBorders/>
            <w:vAlign w:val="center"/>
          </w:tcPr>
          <w:p>
            <w:pPr>
              <w:pStyle w:val="TableContents"/>
              <w:rPr>
                <w:b w:val="false"/>
                <w:bCs w:val="false"/>
              </w:rPr>
            </w:pPr>
            <w:r>
              <w:rPr>
                <w:b w:val="false"/>
                <w:bCs w:val="false"/>
              </w:rPr>
              <w:t>0.088 (n.s.)</w:t>
            </w:r>
          </w:p>
        </w:tc>
        <w:tc>
          <w:tcPr>
            <w:tcW w:w="4044" w:type="dxa"/>
            <w:tcBorders/>
            <w:vAlign w:val="center"/>
          </w:tcPr>
          <w:p>
            <w:pPr>
              <w:pStyle w:val="TableContents"/>
              <w:rPr/>
            </w:pPr>
            <w:r>
              <w:rPr>
                <w:rStyle w:val="Strong"/>
                <w:b w:val="false"/>
                <w:bCs w:val="false"/>
              </w:rPr>
              <w:t>–</w:t>
            </w:r>
            <w:r>
              <w:rPr>
                <w:rStyle w:val="Strong"/>
                <w:b w:val="false"/>
                <w:bCs w:val="false"/>
              </w:rPr>
              <w:t>0.361</w:t>
            </w:r>
            <w:r>
              <w:rPr>
                <w:b w:val="false"/>
                <w:bCs w:val="false"/>
              </w:rPr>
              <w:t>* (</w:t>
            </w:r>
            <w:r>
              <w:rPr>
                <w:rStyle w:val="Strong"/>
                <w:b w:val="false"/>
                <w:bCs w:val="false"/>
              </w:rPr>
              <w:t>p</w:t>
            </w:r>
            <w:r>
              <w:rPr>
                <w:b w:val="false"/>
                <w:bCs w:val="false"/>
              </w:rPr>
              <w:t>&lt;0.01)</w:t>
            </w:r>
          </w:p>
        </w:tc>
      </w:tr>
      <w:tr>
        <w:trPr>
          <w:trHeight w:val="1116" w:hRule="atLeast"/>
        </w:trPr>
        <w:tc>
          <w:tcPr>
            <w:tcW w:w="4321" w:type="dxa"/>
            <w:tcBorders/>
            <w:vAlign w:val="center"/>
          </w:tcPr>
          <w:p>
            <w:pPr>
              <w:pStyle w:val="TableContents"/>
              <w:rPr/>
            </w:pPr>
            <w:r>
              <w:rPr>
                <w:rStyle w:val="Strong"/>
                <w:b w:val="false"/>
                <w:bCs w:val="false"/>
              </w:rPr>
              <w:t>OPEFF</w:t>
            </w:r>
            <w:r>
              <w:rPr>
                <w:b w:val="false"/>
                <w:bCs w:val="false"/>
              </w:rPr>
              <w:t xml:space="preserve"> (Operating efficiency)</w:t>
            </w:r>
          </w:p>
        </w:tc>
        <w:tc>
          <w:tcPr>
            <w:tcW w:w="2152" w:type="dxa"/>
            <w:tcBorders/>
            <w:vAlign w:val="center"/>
          </w:tcPr>
          <w:p>
            <w:pPr>
              <w:pStyle w:val="TableContents"/>
              <w:rPr/>
            </w:pPr>
            <w:r>
              <w:rPr>
                <w:rStyle w:val="Strong"/>
                <w:b w:val="false"/>
                <w:bCs w:val="false"/>
              </w:rPr>
              <w:t>–</w:t>
            </w:r>
            <w:r>
              <w:rPr>
                <w:rStyle w:val="Strong"/>
                <w:b w:val="false"/>
                <w:bCs w:val="false"/>
              </w:rPr>
              <w:t>0.531</w:t>
            </w:r>
            <w:r>
              <w:rPr>
                <w:b w:val="false"/>
                <w:bCs w:val="false"/>
              </w:rPr>
              <w:t>* (</w:t>
            </w:r>
            <w:r>
              <w:rPr>
                <w:rStyle w:val="Strong"/>
                <w:b w:val="false"/>
                <w:bCs w:val="false"/>
              </w:rPr>
              <w:t>p</w:t>
            </w:r>
            <w:r>
              <w:rPr>
                <w:b w:val="false"/>
                <w:bCs w:val="false"/>
              </w:rPr>
              <w:t>&lt;0.01)</w:t>
            </w:r>
          </w:p>
        </w:tc>
        <w:tc>
          <w:tcPr>
            <w:tcW w:w="3065" w:type="dxa"/>
            <w:tcBorders/>
            <w:vAlign w:val="center"/>
          </w:tcPr>
          <w:p>
            <w:pPr>
              <w:pStyle w:val="TableContents"/>
              <w:rPr/>
            </w:pPr>
            <w:r>
              <w:rPr>
                <w:b w:val="false"/>
                <w:bCs w:val="false"/>
              </w:rPr>
              <w:t>3.356** (</w:t>
            </w:r>
            <w:r>
              <w:rPr>
                <w:rStyle w:val="Strong"/>
                <w:b w:val="false"/>
                <w:bCs w:val="false"/>
              </w:rPr>
              <w:t>p</w:t>
            </w:r>
            <w:r>
              <w:rPr>
                <w:b w:val="false"/>
                <w:bCs w:val="false"/>
              </w:rPr>
              <w:t>&lt;0.05)</w:t>
            </w:r>
          </w:p>
        </w:tc>
        <w:tc>
          <w:tcPr>
            <w:tcW w:w="4044" w:type="dxa"/>
            <w:tcBorders/>
            <w:vAlign w:val="center"/>
          </w:tcPr>
          <w:p>
            <w:pPr>
              <w:pStyle w:val="TableContents"/>
              <w:rPr/>
            </w:pPr>
            <w:r>
              <w:rPr>
                <w:rStyle w:val="Strong"/>
                <w:b w:val="false"/>
                <w:bCs w:val="false"/>
              </w:rPr>
              <w:t>–</w:t>
            </w:r>
            <w:r>
              <w:rPr>
                <w:rStyle w:val="Strong"/>
                <w:b w:val="false"/>
                <w:bCs w:val="false"/>
              </w:rPr>
              <w:t>0.254</w:t>
            </w:r>
            <w:r>
              <w:rPr>
                <w:b w:val="false"/>
                <w:bCs w:val="false"/>
              </w:rPr>
              <w:t>* (</w:t>
            </w:r>
            <w:r>
              <w:rPr>
                <w:rStyle w:val="Strong"/>
                <w:b w:val="false"/>
                <w:bCs w:val="false"/>
              </w:rPr>
              <w:t>p</w:t>
            </w:r>
            <w:r>
              <w:rPr>
                <w:b w:val="false"/>
                <w:bCs w:val="false"/>
              </w:rPr>
              <w:t>&lt;0.01)</w:t>
            </w:r>
          </w:p>
        </w:tc>
      </w:tr>
      <w:tr>
        <w:trPr>
          <w:trHeight w:val="940" w:hRule="atLeast"/>
        </w:trPr>
        <w:tc>
          <w:tcPr>
            <w:tcW w:w="4321" w:type="dxa"/>
            <w:tcBorders/>
            <w:vAlign w:val="center"/>
          </w:tcPr>
          <w:p>
            <w:pPr>
              <w:pStyle w:val="TableContents"/>
              <w:rPr/>
            </w:pPr>
            <w:r>
              <w:rPr>
                <w:rStyle w:val="Strong"/>
                <w:b w:val="false"/>
                <w:bCs w:val="false"/>
              </w:rPr>
              <w:t>COMID</w:t>
            </w:r>
            <w:r>
              <w:rPr>
                <w:b w:val="false"/>
                <w:bCs w:val="false"/>
              </w:rPr>
              <w:t xml:space="preserve"> (Competition index?)</w:t>
            </w:r>
          </w:p>
        </w:tc>
        <w:tc>
          <w:tcPr>
            <w:tcW w:w="2152" w:type="dxa"/>
            <w:tcBorders/>
            <w:vAlign w:val="center"/>
          </w:tcPr>
          <w:p>
            <w:pPr>
              <w:pStyle w:val="TableContents"/>
              <w:rPr>
                <w:b w:val="false"/>
                <w:bCs w:val="false"/>
              </w:rPr>
            </w:pPr>
            <w:r>
              <w:rPr>
                <w:b w:val="false"/>
                <w:bCs w:val="false"/>
              </w:rPr>
              <w:t>–</w:t>
            </w:r>
            <w:r>
              <w:rPr>
                <w:b w:val="false"/>
                <w:bCs w:val="false"/>
              </w:rPr>
              <w:t>0.333 (n.s.)</w:t>
            </w:r>
          </w:p>
        </w:tc>
        <w:tc>
          <w:tcPr>
            <w:tcW w:w="3065" w:type="dxa"/>
            <w:tcBorders/>
            <w:vAlign w:val="center"/>
          </w:tcPr>
          <w:p>
            <w:pPr>
              <w:pStyle w:val="TableContents"/>
              <w:rPr/>
            </w:pPr>
            <w:r>
              <w:rPr>
                <w:b w:val="false"/>
                <w:bCs w:val="false"/>
              </w:rPr>
              <w:t>–</w:t>
            </w:r>
            <w:r>
              <w:rPr>
                <w:b w:val="false"/>
                <w:bCs w:val="false"/>
              </w:rPr>
              <w:t>3.750** (</w:t>
            </w:r>
            <w:r>
              <w:rPr>
                <w:rStyle w:val="Strong"/>
                <w:b w:val="false"/>
                <w:bCs w:val="false"/>
              </w:rPr>
              <w:t>p</w:t>
            </w:r>
            <w:r>
              <w:rPr>
                <w:b w:val="false"/>
                <w:bCs w:val="false"/>
              </w:rPr>
              <w:t>&lt;0.05)</w:t>
            </w:r>
          </w:p>
        </w:tc>
        <w:tc>
          <w:tcPr>
            <w:tcW w:w="4044" w:type="dxa"/>
            <w:tcBorders/>
            <w:vAlign w:val="center"/>
          </w:tcPr>
          <w:p>
            <w:pPr>
              <w:pStyle w:val="TableContents"/>
              <w:rPr>
                <w:b w:val="false"/>
                <w:bCs w:val="false"/>
              </w:rPr>
            </w:pPr>
            <w:r>
              <w:rPr>
                <w:b w:val="false"/>
                <w:bCs w:val="false"/>
              </w:rPr>
              <w:t>–</w:t>
            </w:r>
            <w:r>
              <w:rPr>
                <w:b w:val="false"/>
                <w:bCs w:val="false"/>
              </w:rPr>
              <w:t>0.016 (n.s.)</w:t>
            </w:r>
          </w:p>
        </w:tc>
      </w:tr>
      <w:tr>
        <w:trPr>
          <w:trHeight w:val="748" w:hRule="atLeast"/>
        </w:trPr>
        <w:tc>
          <w:tcPr>
            <w:tcW w:w="4321" w:type="dxa"/>
            <w:tcBorders/>
            <w:vAlign w:val="center"/>
          </w:tcPr>
          <w:p>
            <w:pPr>
              <w:pStyle w:val="TableContents"/>
              <w:rPr/>
            </w:pPr>
            <w:r>
              <w:rPr>
                <w:rStyle w:val="Strong"/>
                <w:b w:val="false"/>
                <w:bCs w:val="false"/>
              </w:rPr>
              <w:t>LnGDPPC</w:t>
            </w:r>
            <w:r>
              <w:rPr>
                <w:b w:val="false"/>
                <w:bCs w:val="false"/>
              </w:rPr>
              <w:t xml:space="preserve"> (Log GDP per capita)</w:t>
            </w:r>
          </w:p>
        </w:tc>
        <w:tc>
          <w:tcPr>
            <w:tcW w:w="2152" w:type="dxa"/>
            <w:tcBorders/>
            <w:vAlign w:val="center"/>
          </w:tcPr>
          <w:p>
            <w:pPr>
              <w:pStyle w:val="TableContents"/>
              <w:rPr/>
            </w:pPr>
            <w:r>
              <w:rPr>
                <w:rStyle w:val="Strong"/>
                <w:b w:val="false"/>
                <w:bCs w:val="false"/>
              </w:rPr>
              <w:t>–</w:t>
            </w:r>
            <w:r>
              <w:rPr>
                <w:rStyle w:val="Strong"/>
                <w:b w:val="false"/>
                <w:bCs w:val="false"/>
              </w:rPr>
              <w:t>8.692</w:t>
            </w:r>
            <w:r>
              <w:rPr>
                <w:b w:val="false"/>
                <w:bCs w:val="false"/>
              </w:rPr>
              <w:t>* (</w:t>
            </w:r>
            <w:r>
              <w:rPr>
                <w:rStyle w:val="Strong"/>
                <w:b w:val="false"/>
                <w:bCs w:val="false"/>
              </w:rPr>
              <w:t>p</w:t>
            </w:r>
            <w:r>
              <w:rPr>
                <w:b w:val="false"/>
                <w:bCs w:val="false"/>
              </w:rPr>
              <w:t>&lt;0.01)</w:t>
            </w:r>
          </w:p>
        </w:tc>
        <w:tc>
          <w:tcPr>
            <w:tcW w:w="3065" w:type="dxa"/>
            <w:tcBorders/>
            <w:vAlign w:val="center"/>
          </w:tcPr>
          <w:p>
            <w:pPr>
              <w:pStyle w:val="TableContents"/>
              <w:rPr/>
            </w:pPr>
            <w:r>
              <w:rPr>
                <w:rStyle w:val="Strong"/>
                <w:b w:val="false"/>
                <w:bCs w:val="false"/>
              </w:rPr>
              <w:t>–</w:t>
            </w:r>
            <w:r>
              <w:rPr>
                <w:rStyle w:val="Strong"/>
                <w:b w:val="false"/>
                <w:bCs w:val="false"/>
              </w:rPr>
              <w:t>51.411</w:t>
            </w:r>
            <w:r>
              <w:rPr>
                <w:b w:val="false"/>
                <w:bCs w:val="false"/>
              </w:rPr>
              <w:t>* (</w:t>
            </w:r>
            <w:r>
              <w:rPr>
                <w:rStyle w:val="Strong"/>
                <w:b w:val="false"/>
                <w:bCs w:val="false"/>
              </w:rPr>
              <w:t>p</w:t>
            </w:r>
            <w:r>
              <w:rPr>
                <w:b w:val="false"/>
                <w:bCs w:val="false"/>
              </w:rPr>
              <w:t>&lt;0.01)</w:t>
            </w:r>
          </w:p>
        </w:tc>
        <w:tc>
          <w:tcPr>
            <w:tcW w:w="4044" w:type="dxa"/>
            <w:tcBorders/>
            <w:vAlign w:val="center"/>
          </w:tcPr>
          <w:p>
            <w:pPr>
              <w:pStyle w:val="TableContents"/>
              <w:rPr>
                <w:b w:val="false"/>
                <w:bCs w:val="false"/>
              </w:rPr>
            </w:pPr>
            <w:r>
              <w:rPr>
                <w:b w:val="false"/>
                <w:bCs w:val="false"/>
              </w:rPr>
              <w:t>–</w:t>
            </w:r>
            <w:r>
              <w:rPr>
                <w:b w:val="false"/>
                <w:bCs w:val="false"/>
              </w:rPr>
              <w:t>0.995 (n.s.)</w:t>
            </w:r>
          </w:p>
        </w:tc>
      </w:tr>
    </w:tbl>
    <w:p>
      <w:pPr>
        <w:pStyle w:val="BodyText"/>
        <w:rPr>
          <w:b w:val="false"/>
          <w:bCs w:val="false"/>
          <w:i/>
          <w:i/>
          <w:iCs/>
        </w:rPr>
      </w:pPr>
      <w:r>
        <w:rPr>
          <w:b w:val="false"/>
          <w:bCs w:val="false"/>
          <w:i/>
          <w:iCs/>
        </w:rPr>
      </w:r>
    </w:p>
    <w:p>
      <w:pPr>
        <w:pStyle w:val="BodyText"/>
        <w:rPr>
          <w:b w:val="false"/>
          <w:bCs w:val="false"/>
          <w:i/>
          <w:i/>
          <w:iCs/>
        </w:rPr>
      </w:pPr>
      <w:r>
        <w:rPr>
          <w:b w:val="false"/>
          <w:bCs w:val="false"/>
          <w:i/>
          <w:iCs/>
        </w:rPr>
      </w:r>
    </w:p>
    <w:p>
      <w:pPr>
        <w:pStyle w:val="BodyText"/>
        <w:rPr>
          <w:b/>
          <w:bCs/>
          <w:i/>
          <w:i/>
          <w:iCs/>
        </w:rPr>
      </w:pPr>
      <w:r>
        <w:rPr>
          <w:b w:val="false"/>
          <w:bCs w:val="false"/>
          <w:i/>
          <w:iCs/>
        </w:rPr>
        <w:t>(</w:t>
      </w:r>
      <w:r>
        <w:rPr>
          <w:rStyle w:val="Emphasis"/>
          <w:b w:val="false"/>
          <w:bCs w:val="false"/>
        </w:rPr>
        <w:t>n.s.</w:t>
      </w:r>
      <w:r>
        <w:rPr>
          <w:b w:val="false"/>
          <w:bCs w:val="false"/>
          <w:i/>
          <w:iCs/>
        </w:rPr>
        <w:t xml:space="preserve"> = not significant at 10% level; ***p&lt;0.01, **p&lt;0.05)</w:t>
      </w:r>
    </w:p>
    <w:p>
      <w:pPr>
        <w:sectPr>
          <w:type w:val="nextPage"/>
          <w:pgSz w:orient="landscape" w:w="15840" w:h="12240"/>
          <w:pgMar w:left="1134" w:right="1134" w:gutter="0" w:header="0" w:top="1134" w:footer="0" w:bottom="1134"/>
          <w:pgNumType w:fmt="decimal"/>
          <w:formProt w:val="false"/>
          <w:textDirection w:val="lrTb"/>
        </w:sectPr>
        <w:pStyle w:val="TableCaption"/>
        <w:rPr>
          <w:b/>
          <w:bCs/>
        </w:rPr>
      </w:pPr>
      <w:r>
        <w:rPr>
          <w:b/>
          <w:bCs/>
        </w:rPr>
      </w:r>
    </w:p>
    <w:p>
      <w:pPr>
        <w:pStyle w:val="Heading3"/>
        <w:numPr>
          <w:ilvl w:val="2"/>
          <w:numId w:val="1"/>
        </w:numPr>
        <w:ind w:hanging="0" w:left="0"/>
        <w:rPr/>
      </w:pPr>
      <w:r>
        <w:rPr/>
        <w:t xml:space="preserve">4.1.3 </w:t>
      </w:r>
      <w:bookmarkStart w:id="83" w:name="regime-shift-estimates"/>
      <w:r>
        <w:rPr/>
        <w:t>Regime-Shift Estimates</w:t>
      </w:r>
    </w:p>
    <w:p>
      <w:pPr>
        <w:pStyle w:val="FirstParagraph"/>
        <w:rPr/>
      </w:pPr>
      <w:r>
        <w:rPr/>
        <w:t>Sample partitioning unveils reform-driven transformations, validated by a Chow test indicating a structural break at 2015 (</w:t>
      </w:r>
      <w:r>
        <w:rPr/>
      </w:r>
      <m:oMath xmlns:m="http://schemas.openxmlformats.org/officeDocument/2006/math">
        <m:r>
          <w:rPr>
            <w:rFonts w:ascii="Cambria Math" w:hAnsi="Cambria Math"/>
          </w:rPr>
          <m:t xml:space="preserve">F</m:t>
        </m:r>
        <m:r>
          <m:rPr>
            <m:lit/>
            <m:nor/>
          </m:rPr>
          <w:rPr>
            <w:rFonts w:ascii="Cambria Math" w:hAnsi="Cambria Math"/>
          </w:rPr>
          <m:t xml:space="preserve">=</m:t>
        </m:r>
        <m:r>
          <w:rPr>
            <w:rFonts w:ascii="Cambria Math" w:hAnsi="Cambria Math"/>
          </w:rPr>
          <m:t xml:space="preserve">12.4</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0.01</m:t>
        </m:r>
      </m:oMath>
      <w:r>
        <w:rPr/>
        <w:t>), concurrent with the CBN’s 2014 Code mandating board tenure limits and heightened independent director quotas. In the pre-reform era (2009–2014; Column 2), governance indices lack consistent significance, with OPEFF and COMID displaying anomalous positive associations, emblematic of crisis legacies and enforcement vacuums (Sanusi, 2009). Post-reform (2015–2024; Column 3), OPEFF (</w:t>
      </w:r>
      <w:r>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m:t>
        </m:r>
        <m:r>
          <w:rPr>
            <w:rFonts w:ascii="Cambria Math" w:hAnsi="Cambria Math"/>
          </w:rPr>
          <m:t xml:space="preserve">0.254</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0.01</m:t>
        </m:r>
      </m:oMath>
      <w:r>
        <w:rPr/>
        <w:t>) and CGDI (</w:t>
      </w:r>
      <w:r>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m:t>
        </m:r>
        <m:r>
          <w:rPr>
            <w:rFonts w:ascii="Cambria Math" w:hAnsi="Cambria Math"/>
          </w:rPr>
          <m:t xml:space="preserve">0.361</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0.01</m:t>
        </m:r>
      </m:oMath>
      <w:r>
        <w:rPr/>
        <w:t>) manifest significantly negative effects, whereas COMID and TCAR remain inert. This pivot substantiates institutional theory’s activation thesis: reforms engender normative isomorphism, elevating disclosure from nominal to instrumental in bolstering credibility (DiMaggio &amp; Powell, 1983; OECD, 2023). Practically, it highlights CAMA 2020’s efficacy in institutionalising practices that dampen NPLs amid macroeconomic perturbations, contrasting with slower progress in other African markets (Agyemang &amp; Castellini, 2015).</w:t>
      </w:r>
      <w:bookmarkEnd w:id="83"/>
    </w:p>
    <w:p>
      <w:pPr>
        <w:pStyle w:val="Heading3"/>
        <w:numPr>
          <w:ilvl w:val="2"/>
          <w:numId w:val="1"/>
        </w:numPr>
        <w:ind w:hanging="0" w:left="0"/>
        <w:rPr/>
      </w:pPr>
      <w:r>
        <w:rPr/>
        <w:t xml:space="preserve">4.1.4 </w:t>
      </w:r>
      <w:bookmarkStart w:id="84" w:name="dynamic-gmm-robustness"/>
      <w:r>
        <w:rPr/>
        <w:t>Dynamic GMM Robustness</w:t>
      </w:r>
    </w:p>
    <w:p>
      <w:pPr>
        <w:pStyle w:val="FirstParagraph"/>
        <w:rPr/>
      </w:pPr>
      <w:r>
        <w:rPr/>
        <w:t>To address persistence and endogeneity, Arellano-Bond dynamic GMM estimations (150 observations post-lagging) confirm the findings. The lagged NPLR proves positive and significant (</w:t>
      </w:r>
      <w:r>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0.312</m:t>
        </m:r>
      </m:oMath>
      <w:r>
        <w:rPr/>
        <w:t xml:space="preserve">, </w:t>
      </w:r>
      <w:r>
        <w:rPr/>
      </w:r>
      <m:oMath xmlns:m="http://schemas.openxmlformats.org/officeDocument/2006/math">
        <m:r>
          <w:rPr>
            <w:rFonts w:ascii="Cambria Math" w:hAnsi="Cambria Math"/>
          </w:rPr>
          <m:t xml:space="preserve">z</m:t>
        </m:r>
        <m:r>
          <m:rPr>
            <m:lit/>
            <m:nor/>
          </m:rPr>
          <w:rPr>
            <w:rFonts w:ascii="Cambria Math" w:hAnsi="Cambria Math"/>
          </w:rPr>
          <m:t xml:space="preserve">=</m:t>
        </m:r>
        <m:r>
          <w:rPr>
            <w:rFonts w:ascii="Cambria Math" w:hAnsi="Cambria Math"/>
          </w:rPr>
          <m:t xml:space="preserve">4.21</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0.01</m:t>
        </m:r>
      </m:oMath>
      <w:r>
        <w:rPr/>
        <w:t>), affirming path dependence. OPEFF (</w:t>
      </w:r>
      <w:r>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m:t>
        </m:r>
        <m:r>
          <w:rPr>
            <w:rFonts w:ascii="Cambria Math" w:hAnsi="Cambria Math"/>
          </w:rPr>
          <m:t xml:space="preserve">0.476</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0.01</m:t>
        </m:r>
      </m:oMath>
      <w:r>
        <w:rPr/>
        <w:t>) and CGDI (</w:t>
      </w:r>
      <w:r>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m:t>
        </m:r>
        <m:r>
          <w:rPr>
            <w:rFonts w:ascii="Cambria Math" w:hAnsi="Cambria Math"/>
          </w:rPr>
          <m:t xml:space="preserve">0.289</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0.01</m:t>
        </m:r>
      </m:oMath>
      <w:r>
        <w:rPr/>
        <w:t>) sustain negative influences, with LnGDPPC similarly robust (</w:t>
      </w:r>
      <w:r>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m:t>
        </m:r>
        <m:r>
          <w:rPr>
            <w:rFonts w:ascii="Cambria Math" w:hAnsi="Cambria Math"/>
          </w:rPr>
          <m:t xml:space="preserve">6.511</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0.01</m:t>
        </m:r>
      </m:oMath>
      <w:r>
        <w:rPr/>
        <w:t>). Hansen (</w:t>
      </w:r>
      <w:r>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0.27</m:t>
        </m:r>
      </m:oMath>
      <w:r>
        <w:rPr/>
        <w:t>) and AR(2) (</w:t>
      </w:r>
      <w:r>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0.41</m:t>
        </m:r>
      </m:oMath>
      <w:r>
        <w:rPr/>
        <w:t>) tests endorse instrument validity. These resilient outcomes challenge agency theory’s prioritisation of compliance in institutionally frail contexts, privileging stewardship via practices (Abdulmalik &amp; Ahmad, 2020).</w:t>
      </w:r>
    </w:p>
    <w:p>
      <w:pPr>
        <w:sectPr>
          <w:type w:val="nextPage"/>
          <w:pgSz w:w="12240" w:h="15840"/>
          <w:pgMar w:left="1134" w:right="1134" w:gutter="0" w:header="0" w:top="1134" w:footer="0" w:bottom="1134"/>
          <w:pgNumType w:fmt="decimal"/>
          <w:formProt w:val="false"/>
          <w:textDirection w:val="lrTb"/>
          <w:docGrid w:type="default" w:linePitch="312" w:charSpace="0"/>
        </w:sectPr>
        <w:pStyle w:val="TableCaption"/>
        <w:rPr/>
      </w:pPr>
      <w:r>
        <w:rPr/>
      </w:r>
    </w:p>
    <w:p>
      <w:pPr>
        <w:pStyle w:val="TableCaption"/>
        <w:rPr/>
      </w:pPr>
      <w:r>
        <w:rPr/>
        <w:t xml:space="preserve">Table </w:t>
      </w:r>
      <w:r>
        <w:rPr/>
        <w:t>4.2</w:t>
      </w:r>
      <w:r>
        <w:rPr/>
        <w:t xml:space="preserve">: </w:t>
      </w:r>
      <w:r>
        <w:rPr/>
        <w:t>Arellano-Bond Dynamic GMM Estimates (Full Sample)</w:t>
      </w:r>
    </w:p>
    <w:p>
      <w:pPr>
        <w:pStyle w:val="TableCaption"/>
        <w:rPr/>
      </w:pPr>
      <w:r>
        <w:rPr/>
      </w:r>
    </w:p>
    <w:tbl>
      <w:tblPr>
        <w:tblW w:w="13572" w:type="dxa"/>
        <w:jc w:val="left"/>
        <w:tblInd w:w="28" w:type="dxa"/>
        <w:tblLayout w:type="fixed"/>
        <w:tblCellMar>
          <w:top w:w="28" w:type="dxa"/>
          <w:left w:w="28" w:type="dxa"/>
          <w:bottom w:w="28" w:type="dxa"/>
          <w:right w:w="28" w:type="dxa"/>
        </w:tblCellMar>
      </w:tblPr>
      <w:tblGrid>
        <w:gridCol w:w="1235"/>
        <w:gridCol w:w="886"/>
        <w:gridCol w:w="666"/>
        <w:gridCol w:w="1048"/>
        <w:gridCol w:w="9737"/>
      </w:tblGrid>
      <w:tr>
        <w:trPr>
          <w:tblHeader w:val="true"/>
        </w:trPr>
        <w:tc>
          <w:tcPr>
            <w:tcW w:w="1235" w:type="dxa"/>
            <w:tcBorders/>
            <w:vAlign w:val="center"/>
          </w:tcPr>
          <w:p>
            <w:pPr>
              <w:pStyle w:val="TableHeading"/>
              <w:rPr/>
            </w:pPr>
            <w:r>
              <w:rPr>
                <w:rStyle w:val="Strong"/>
                <w:b/>
                <w:bCs/>
              </w:rPr>
              <w:t>Variable</w:t>
            </w:r>
          </w:p>
        </w:tc>
        <w:tc>
          <w:tcPr>
            <w:tcW w:w="886" w:type="dxa"/>
            <w:tcBorders/>
            <w:vAlign w:val="center"/>
          </w:tcPr>
          <w:p>
            <w:pPr>
              <w:pStyle w:val="TableHeading"/>
              <w:rPr/>
            </w:pPr>
            <w:r>
              <w:rPr>
                <w:rStyle w:val="Strong"/>
                <w:b/>
                <w:bCs/>
              </w:rPr>
              <w:t>Coeff.</w:t>
            </w:r>
          </w:p>
        </w:tc>
        <w:tc>
          <w:tcPr>
            <w:tcW w:w="666" w:type="dxa"/>
            <w:tcBorders/>
            <w:vAlign w:val="center"/>
          </w:tcPr>
          <w:p>
            <w:pPr>
              <w:pStyle w:val="TableHeading"/>
              <w:rPr/>
            </w:pPr>
            <w:r>
              <w:rPr>
                <w:rStyle w:val="Strong"/>
                <w:b/>
                <w:bCs/>
              </w:rPr>
              <w:t>z-stat</w:t>
            </w:r>
          </w:p>
        </w:tc>
        <w:tc>
          <w:tcPr>
            <w:tcW w:w="1048" w:type="dxa"/>
            <w:tcBorders/>
            <w:vAlign w:val="center"/>
          </w:tcPr>
          <w:p>
            <w:pPr>
              <w:pStyle w:val="TableHeading"/>
              <w:rPr/>
            </w:pPr>
            <w:r>
              <w:rPr>
                <w:rStyle w:val="Strong"/>
                <w:b/>
                <w:bCs/>
              </w:rPr>
              <w:t>Robust SE</w:t>
            </w:r>
          </w:p>
        </w:tc>
        <w:tc>
          <w:tcPr>
            <w:tcW w:w="9737" w:type="dxa"/>
            <w:tcBorders/>
            <w:vAlign w:val="center"/>
          </w:tcPr>
          <w:p>
            <w:pPr>
              <w:pStyle w:val="TableHeading"/>
              <w:rPr/>
            </w:pPr>
            <w:r>
              <w:rPr>
                <w:rStyle w:val="Strong"/>
                <w:b/>
                <w:bCs/>
              </w:rPr>
              <w:t>Interpretation</w:t>
            </w:r>
          </w:p>
        </w:tc>
      </w:tr>
      <w:tr>
        <w:trPr>
          <w:trHeight w:val="813" w:hRule="atLeast"/>
        </w:trPr>
        <w:tc>
          <w:tcPr>
            <w:tcW w:w="1235" w:type="dxa"/>
            <w:tcBorders/>
            <w:vAlign w:val="center"/>
          </w:tcPr>
          <w:p>
            <w:pPr>
              <w:pStyle w:val="TableContents"/>
              <w:rPr/>
            </w:pPr>
            <w:r>
              <w:rPr>
                <w:rStyle w:val="Strong"/>
              </w:rPr>
              <w:t>L.NPLR</w:t>
            </w:r>
          </w:p>
        </w:tc>
        <w:tc>
          <w:tcPr>
            <w:tcW w:w="886" w:type="dxa"/>
            <w:tcBorders/>
            <w:vAlign w:val="center"/>
          </w:tcPr>
          <w:p>
            <w:pPr>
              <w:pStyle w:val="TableContents"/>
              <w:rPr/>
            </w:pPr>
            <w:r>
              <w:rPr>
                <w:rStyle w:val="Strong"/>
              </w:rPr>
              <w:t>0.312</w:t>
            </w:r>
          </w:p>
        </w:tc>
        <w:tc>
          <w:tcPr>
            <w:tcW w:w="666" w:type="dxa"/>
            <w:tcBorders/>
            <w:vAlign w:val="center"/>
          </w:tcPr>
          <w:p>
            <w:pPr>
              <w:pStyle w:val="TableContents"/>
              <w:rPr/>
            </w:pPr>
            <w:r>
              <w:rPr/>
              <w:t>4.21</w:t>
            </w:r>
          </w:p>
        </w:tc>
        <w:tc>
          <w:tcPr>
            <w:tcW w:w="1048" w:type="dxa"/>
            <w:tcBorders/>
            <w:vAlign w:val="center"/>
          </w:tcPr>
          <w:p>
            <w:pPr>
              <w:pStyle w:val="TableContents"/>
              <w:rPr/>
            </w:pPr>
            <w:r>
              <w:rPr/>
              <w:t>0.074</w:t>
            </w:r>
          </w:p>
        </w:tc>
        <w:tc>
          <w:tcPr>
            <w:tcW w:w="9737" w:type="dxa"/>
            <w:tcBorders/>
            <w:vAlign w:val="center"/>
          </w:tcPr>
          <w:p>
            <w:pPr>
              <w:pStyle w:val="TableContents"/>
              <w:rPr/>
            </w:pPr>
            <w:r>
              <w:rPr>
                <w:rStyle w:val="Strong"/>
              </w:rPr>
              <w:t>Highly significant</w:t>
            </w:r>
            <w:r>
              <w:rPr/>
              <w:t>. Strong persistence in NPL ratio: a 1 pp increase in lagged NPLR raises current NPLR by ~0.31 pp.</w:t>
            </w:r>
          </w:p>
        </w:tc>
      </w:tr>
      <w:tr>
        <w:trPr/>
        <w:tc>
          <w:tcPr>
            <w:tcW w:w="1235" w:type="dxa"/>
            <w:tcBorders/>
            <w:vAlign w:val="center"/>
          </w:tcPr>
          <w:p>
            <w:pPr>
              <w:pStyle w:val="TableContents"/>
              <w:rPr/>
            </w:pPr>
            <w:r>
              <w:rPr>
                <w:rStyle w:val="Strong"/>
              </w:rPr>
              <w:t>TCAR(t-1)</w:t>
            </w:r>
          </w:p>
        </w:tc>
        <w:tc>
          <w:tcPr>
            <w:tcW w:w="886" w:type="dxa"/>
            <w:tcBorders/>
            <w:vAlign w:val="center"/>
          </w:tcPr>
          <w:p>
            <w:pPr>
              <w:pStyle w:val="TableContents"/>
              <w:rPr/>
            </w:pPr>
            <w:r>
              <w:rPr/>
              <w:t>–</w:t>
            </w:r>
            <w:r>
              <w:rPr/>
              <w:t>0.098</w:t>
            </w:r>
          </w:p>
        </w:tc>
        <w:tc>
          <w:tcPr>
            <w:tcW w:w="666" w:type="dxa"/>
            <w:tcBorders/>
            <w:vAlign w:val="center"/>
          </w:tcPr>
          <w:p>
            <w:pPr>
              <w:pStyle w:val="TableContents"/>
              <w:rPr/>
            </w:pPr>
            <w:r>
              <w:rPr/>
              <w:t>–</w:t>
            </w:r>
            <w:r>
              <w:rPr/>
              <w:t>0.59</w:t>
            </w:r>
          </w:p>
        </w:tc>
        <w:tc>
          <w:tcPr>
            <w:tcW w:w="1048" w:type="dxa"/>
            <w:tcBorders/>
            <w:vAlign w:val="center"/>
          </w:tcPr>
          <w:p>
            <w:pPr>
              <w:pStyle w:val="TableContents"/>
              <w:rPr/>
            </w:pPr>
            <w:r>
              <w:rPr/>
              <w:t>0.166</w:t>
            </w:r>
          </w:p>
        </w:tc>
        <w:tc>
          <w:tcPr>
            <w:tcW w:w="9737" w:type="dxa"/>
            <w:tcBorders/>
            <w:vAlign w:val="center"/>
          </w:tcPr>
          <w:p>
            <w:pPr>
              <w:pStyle w:val="TableContents"/>
              <w:rPr/>
            </w:pPr>
            <w:r>
              <w:rPr/>
              <w:t>Insignificant. Lagged capital adequacy has no robust effect on NPL dynamics.</w:t>
            </w:r>
          </w:p>
        </w:tc>
      </w:tr>
      <w:tr>
        <w:trPr/>
        <w:tc>
          <w:tcPr>
            <w:tcW w:w="1235" w:type="dxa"/>
            <w:tcBorders/>
            <w:vAlign w:val="center"/>
          </w:tcPr>
          <w:p>
            <w:pPr>
              <w:pStyle w:val="TableContents"/>
              <w:rPr/>
            </w:pPr>
            <w:r>
              <w:rPr>
                <w:rStyle w:val="Strong"/>
              </w:rPr>
              <w:t>CGDI</w:t>
            </w:r>
          </w:p>
        </w:tc>
        <w:tc>
          <w:tcPr>
            <w:tcW w:w="886" w:type="dxa"/>
            <w:tcBorders/>
            <w:vAlign w:val="center"/>
          </w:tcPr>
          <w:p>
            <w:pPr>
              <w:pStyle w:val="TableContents"/>
              <w:rPr/>
            </w:pPr>
            <w:r>
              <w:rPr>
                <w:rStyle w:val="Strong"/>
              </w:rPr>
              <w:t>–</w:t>
            </w:r>
            <w:r>
              <w:rPr>
                <w:rStyle w:val="Strong"/>
              </w:rPr>
              <w:t>0.289</w:t>
            </w:r>
          </w:p>
        </w:tc>
        <w:tc>
          <w:tcPr>
            <w:tcW w:w="666" w:type="dxa"/>
            <w:tcBorders/>
            <w:vAlign w:val="center"/>
          </w:tcPr>
          <w:p>
            <w:pPr>
              <w:pStyle w:val="TableContents"/>
              <w:rPr/>
            </w:pPr>
            <w:r>
              <w:rPr/>
              <w:t>–</w:t>
            </w:r>
            <w:r>
              <w:rPr/>
              <w:t>3.45</w:t>
            </w:r>
          </w:p>
        </w:tc>
        <w:tc>
          <w:tcPr>
            <w:tcW w:w="1048" w:type="dxa"/>
            <w:tcBorders/>
            <w:vAlign w:val="center"/>
          </w:tcPr>
          <w:p>
            <w:pPr>
              <w:pStyle w:val="TableContents"/>
              <w:rPr/>
            </w:pPr>
            <w:r>
              <w:rPr/>
              <w:t>0.084</w:t>
            </w:r>
          </w:p>
        </w:tc>
        <w:tc>
          <w:tcPr>
            <w:tcW w:w="9737" w:type="dxa"/>
            <w:tcBorders/>
            <w:vAlign w:val="center"/>
          </w:tcPr>
          <w:p>
            <w:pPr>
              <w:pStyle w:val="TableContents"/>
              <w:rPr/>
            </w:pPr>
            <w:r>
              <w:rPr>
                <w:rStyle w:val="Strong"/>
              </w:rPr>
              <w:t>Significant</w:t>
            </w:r>
            <w:r>
              <w:rPr/>
              <w:t>. Higher credit growth-to-deposit-investment ratio reduces NPLs — possibly reflecting better loan screening or economic expansion.</w:t>
            </w:r>
          </w:p>
        </w:tc>
      </w:tr>
      <w:tr>
        <w:trPr/>
        <w:tc>
          <w:tcPr>
            <w:tcW w:w="1235" w:type="dxa"/>
            <w:tcBorders/>
            <w:vAlign w:val="center"/>
          </w:tcPr>
          <w:p>
            <w:pPr>
              <w:pStyle w:val="TableContents"/>
              <w:rPr/>
            </w:pPr>
            <w:r>
              <w:rPr>
                <w:rStyle w:val="Strong"/>
              </w:rPr>
              <w:t>OPEFF</w:t>
            </w:r>
          </w:p>
        </w:tc>
        <w:tc>
          <w:tcPr>
            <w:tcW w:w="886" w:type="dxa"/>
            <w:tcBorders/>
            <w:vAlign w:val="center"/>
          </w:tcPr>
          <w:p>
            <w:pPr>
              <w:pStyle w:val="TableContents"/>
              <w:rPr/>
            </w:pPr>
            <w:r>
              <w:rPr>
                <w:rStyle w:val="Strong"/>
              </w:rPr>
              <w:t>–</w:t>
            </w:r>
            <w:r>
              <w:rPr>
                <w:rStyle w:val="Strong"/>
              </w:rPr>
              <w:t>0.476</w:t>
            </w:r>
          </w:p>
        </w:tc>
        <w:tc>
          <w:tcPr>
            <w:tcW w:w="666" w:type="dxa"/>
            <w:tcBorders/>
            <w:vAlign w:val="center"/>
          </w:tcPr>
          <w:p>
            <w:pPr>
              <w:pStyle w:val="TableContents"/>
              <w:rPr/>
            </w:pPr>
            <w:r>
              <w:rPr/>
              <w:t>–</w:t>
            </w:r>
            <w:r>
              <w:rPr/>
              <w:t>4.02</w:t>
            </w:r>
          </w:p>
        </w:tc>
        <w:tc>
          <w:tcPr>
            <w:tcW w:w="1048" w:type="dxa"/>
            <w:tcBorders/>
            <w:vAlign w:val="center"/>
          </w:tcPr>
          <w:p>
            <w:pPr>
              <w:pStyle w:val="TableContents"/>
              <w:rPr/>
            </w:pPr>
            <w:r>
              <w:rPr/>
              <w:t>0.118</w:t>
            </w:r>
          </w:p>
        </w:tc>
        <w:tc>
          <w:tcPr>
            <w:tcW w:w="9737" w:type="dxa"/>
            <w:tcBorders/>
            <w:vAlign w:val="center"/>
          </w:tcPr>
          <w:p>
            <w:pPr>
              <w:pStyle w:val="TableContents"/>
              <w:rPr/>
            </w:pPr>
            <w:r>
              <w:rPr>
                <w:rStyle w:val="Strong"/>
              </w:rPr>
              <w:t>Strongly significant</w:t>
            </w:r>
            <w:r>
              <w:rPr/>
              <w:t>. More efficient operations (lower cost-to-income?) are associated with lower NPL growth.</w:t>
            </w:r>
          </w:p>
        </w:tc>
      </w:tr>
      <w:tr>
        <w:trPr/>
        <w:tc>
          <w:tcPr>
            <w:tcW w:w="1235" w:type="dxa"/>
            <w:tcBorders/>
            <w:vAlign w:val="center"/>
          </w:tcPr>
          <w:p>
            <w:pPr>
              <w:pStyle w:val="TableContents"/>
              <w:rPr/>
            </w:pPr>
            <w:r>
              <w:rPr>
                <w:rStyle w:val="Strong"/>
              </w:rPr>
              <w:t>COMID</w:t>
            </w:r>
          </w:p>
        </w:tc>
        <w:tc>
          <w:tcPr>
            <w:tcW w:w="886" w:type="dxa"/>
            <w:tcBorders/>
            <w:vAlign w:val="center"/>
          </w:tcPr>
          <w:p>
            <w:pPr>
              <w:pStyle w:val="TableContents"/>
              <w:rPr/>
            </w:pPr>
            <w:r>
              <w:rPr/>
              <w:t>–</w:t>
            </w:r>
            <w:r>
              <w:rPr/>
              <w:t>0.045</w:t>
            </w:r>
          </w:p>
        </w:tc>
        <w:tc>
          <w:tcPr>
            <w:tcW w:w="666" w:type="dxa"/>
            <w:tcBorders/>
            <w:vAlign w:val="center"/>
          </w:tcPr>
          <w:p>
            <w:pPr>
              <w:pStyle w:val="TableContents"/>
              <w:rPr/>
            </w:pPr>
            <w:r>
              <w:rPr/>
              <w:t>–</w:t>
            </w:r>
            <w:r>
              <w:rPr/>
              <w:t>0.27</w:t>
            </w:r>
          </w:p>
        </w:tc>
        <w:tc>
          <w:tcPr>
            <w:tcW w:w="1048" w:type="dxa"/>
            <w:tcBorders/>
            <w:vAlign w:val="center"/>
          </w:tcPr>
          <w:p>
            <w:pPr>
              <w:pStyle w:val="TableContents"/>
              <w:rPr/>
            </w:pPr>
            <w:r>
              <w:rPr/>
              <w:t>0.167</w:t>
            </w:r>
          </w:p>
        </w:tc>
        <w:tc>
          <w:tcPr>
            <w:tcW w:w="9737" w:type="dxa"/>
            <w:tcBorders/>
            <w:vAlign w:val="center"/>
          </w:tcPr>
          <w:p>
            <w:pPr>
              <w:pStyle w:val="TableContents"/>
              <w:rPr/>
            </w:pPr>
            <w:r>
              <w:rPr/>
              <w:t>Insignificant. Market discipline or competition proxy has no effect.</w:t>
            </w:r>
          </w:p>
        </w:tc>
      </w:tr>
      <w:tr>
        <w:trPr/>
        <w:tc>
          <w:tcPr>
            <w:tcW w:w="1235" w:type="dxa"/>
            <w:tcBorders/>
            <w:vAlign w:val="center"/>
          </w:tcPr>
          <w:p>
            <w:pPr>
              <w:pStyle w:val="TableContents"/>
              <w:rPr/>
            </w:pPr>
            <w:r>
              <w:rPr>
                <w:rStyle w:val="Strong"/>
              </w:rPr>
              <w:t>LnGDPPC</w:t>
            </w:r>
          </w:p>
        </w:tc>
        <w:tc>
          <w:tcPr>
            <w:tcW w:w="886" w:type="dxa"/>
            <w:tcBorders/>
            <w:vAlign w:val="center"/>
          </w:tcPr>
          <w:p>
            <w:pPr>
              <w:pStyle w:val="TableContents"/>
              <w:rPr/>
            </w:pPr>
            <w:r>
              <w:rPr>
                <w:rStyle w:val="Strong"/>
              </w:rPr>
              <w:t>–</w:t>
            </w:r>
            <w:r>
              <w:rPr>
                <w:rStyle w:val="Strong"/>
              </w:rPr>
              <w:t>6.511</w:t>
            </w:r>
          </w:p>
        </w:tc>
        <w:tc>
          <w:tcPr>
            <w:tcW w:w="666" w:type="dxa"/>
            <w:tcBorders/>
            <w:vAlign w:val="center"/>
          </w:tcPr>
          <w:p>
            <w:pPr>
              <w:pStyle w:val="TableContents"/>
              <w:rPr/>
            </w:pPr>
            <w:r>
              <w:rPr/>
              <w:t>–</w:t>
            </w:r>
            <w:r>
              <w:rPr/>
              <w:t>3.18</w:t>
            </w:r>
          </w:p>
        </w:tc>
        <w:tc>
          <w:tcPr>
            <w:tcW w:w="1048" w:type="dxa"/>
            <w:tcBorders/>
            <w:vAlign w:val="center"/>
          </w:tcPr>
          <w:p>
            <w:pPr>
              <w:pStyle w:val="TableContents"/>
              <w:rPr/>
            </w:pPr>
            <w:r>
              <w:rPr/>
              <w:t>2.049</w:t>
            </w:r>
          </w:p>
        </w:tc>
        <w:tc>
          <w:tcPr>
            <w:tcW w:w="9737" w:type="dxa"/>
            <w:tcBorders/>
            <w:vAlign w:val="center"/>
          </w:tcPr>
          <w:p>
            <w:pPr>
              <w:pStyle w:val="TableContents"/>
              <w:rPr/>
            </w:pPr>
            <w:r>
              <w:rPr>
                <w:rStyle w:val="Strong"/>
              </w:rPr>
              <w:t>Significant</w:t>
            </w:r>
            <w:r>
              <w:rPr/>
              <w:t>. Higher income per capita strongly reduces NPL growth — supports income-driven repayment capacity.</w:t>
            </w:r>
          </w:p>
        </w:tc>
      </w:tr>
      <w:tr>
        <w:trPr/>
        <w:tc>
          <w:tcPr>
            <w:tcW w:w="1235" w:type="dxa"/>
            <w:tcBorders/>
            <w:vAlign w:val="center"/>
          </w:tcPr>
          <w:p>
            <w:pPr>
              <w:pStyle w:val="TableContents"/>
              <w:rPr/>
            </w:pPr>
            <w:r>
              <w:rPr>
                <w:rStyle w:val="Strong"/>
              </w:rPr>
              <w:t>Constant</w:t>
            </w:r>
          </w:p>
        </w:tc>
        <w:tc>
          <w:tcPr>
            <w:tcW w:w="886" w:type="dxa"/>
            <w:tcBorders/>
            <w:vAlign w:val="center"/>
          </w:tcPr>
          <w:p>
            <w:pPr>
              <w:pStyle w:val="TableContents"/>
              <w:rPr/>
            </w:pPr>
            <w:r>
              <w:rPr/>
              <w:t>182.300</w:t>
            </w:r>
          </w:p>
        </w:tc>
        <w:tc>
          <w:tcPr>
            <w:tcW w:w="666" w:type="dxa"/>
            <w:tcBorders/>
            <w:vAlign w:val="center"/>
          </w:tcPr>
          <w:p>
            <w:pPr>
              <w:pStyle w:val="TableContents"/>
              <w:rPr/>
            </w:pPr>
            <w:r>
              <w:rPr/>
              <w:t>5.02</w:t>
            </w:r>
          </w:p>
        </w:tc>
        <w:tc>
          <w:tcPr>
            <w:tcW w:w="1048" w:type="dxa"/>
            <w:tcBorders/>
            <w:vAlign w:val="center"/>
          </w:tcPr>
          <w:p>
            <w:pPr>
              <w:pStyle w:val="TableContents"/>
              <w:rPr/>
            </w:pPr>
            <w:r>
              <w:rPr/>
              <w:t>36.311</w:t>
            </w:r>
          </w:p>
        </w:tc>
        <w:tc>
          <w:tcPr>
            <w:tcW w:w="9737" w:type="dxa"/>
            <w:tcBorders/>
            <w:vAlign w:val="center"/>
          </w:tcPr>
          <w:p>
            <w:pPr>
              <w:pStyle w:val="TableContents"/>
              <w:rPr/>
            </w:pPr>
            <w:r>
              <w:rPr/>
              <w:t>Large but imprecise in economic terms; reflects scaling (especially with LnGDPPC).</w:t>
            </w:r>
          </w:p>
        </w:tc>
      </w:tr>
    </w:tbl>
    <w:p>
      <w:pPr>
        <w:pStyle w:val="TableCaption"/>
        <w:rPr/>
      </w:pPr>
      <w:r>
        <w:rPr/>
        <w:t>.</w:t>
      </w:r>
      <w:bookmarkEnd w:id="84"/>
    </w:p>
    <w:p>
      <w:pPr>
        <w:sectPr>
          <w:type w:val="nextPage"/>
          <w:pgSz w:orient="landscape" w:w="15840" w:h="12240"/>
          <w:pgMar w:left="1134" w:right="1134" w:gutter="0" w:header="0" w:top="1134" w:footer="0" w:bottom="1134"/>
          <w:pgNumType w:fmt="decimal"/>
          <w:formProt w:val="false"/>
          <w:textDirection w:val="lrTb"/>
        </w:sectPr>
        <w:pStyle w:val="Heading3"/>
        <w:widowControl/>
        <w:numPr>
          <w:ilvl w:val="0"/>
          <w:numId w:val="0"/>
        </w:numPr>
        <w:suppressAutoHyphens w:val="true"/>
        <w:overflowPunct w:val="false"/>
        <w:jc w:val="left"/>
        <w:rPr/>
      </w:pPr>
      <w:r>
        <w:rPr/>
      </w:r>
    </w:p>
    <w:p>
      <w:pPr>
        <w:pStyle w:val="Heading3"/>
        <w:numPr>
          <w:ilvl w:val="2"/>
          <w:numId w:val="1"/>
        </w:numPr>
        <w:ind w:hanging="0" w:left="0"/>
        <w:rPr/>
      </w:pPr>
      <w:r>
        <w:rPr/>
        <w:t xml:space="preserve">4.1.5 </w:t>
      </w:r>
      <w:bookmarkStart w:id="85" w:name="economic-magnitude"/>
      <w:r>
        <w:rPr/>
        <w:t>Economic Magnitude</w:t>
      </w:r>
    </w:p>
    <w:p>
      <w:pPr>
        <w:pStyle w:val="FirstParagraph"/>
        <w:rPr/>
      </w:pPr>
      <w:r>
        <w:rPr/>
        <w:t>A one-standard-deviation elevation in OPEFF (9 points) diminishes NPLR by 48 basis points in the full sample and 23 post-2015, translating to approximately USD 290 million in annual provisioning savings across the sampled DMBs (based on average loans of USD 60 billion). Similarly, a CGDI standard-deviation increase (12.5 points) yields a 45 basis-point reduction post-reform (USD 220 million savings). These magnitudes accentuate the economic dividends of reforms, guiding CBN strategies toward practice reinforcement for enhanced fiscal stability (Elias, 2024).</w:t>
      </w:r>
    </w:p>
    <w:p>
      <w:pPr>
        <w:pStyle w:val="TableCaption"/>
        <w:rPr>
          <w:b/>
          <w:bCs/>
        </w:rPr>
      </w:pPr>
      <w:r>
        <w:rPr>
          <w:b/>
          <w:bCs/>
        </w:rPr>
        <w:t xml:space="preserve">Table </w:t>
      </w:r>
      <w:r>
        <w:rPr>
          <w:b/>
          <w:bCs/>
        </w:rPr>
        <w:t>4.3</w:t>
      </w:r>
      <w:r>
        <w:rPr>
          <w:b/>
          <w:bCs/>
        </w:rPr>
        <w:t xml:space="preserve">: </w:t>
      </w:r>
      <w:r>
        <w:rPr>
          <w:b/>
          <w:bCs/>
        </w:rPr>
        <w:t>Economic Magnitude of Governance-Tenet Effects</w:t>
      </w:r>
    </w:p>
    <w:p>
      <w:pPr>
        <w:pStyle w:val="TableCaption"/>
        <w:rPr>
          <w:b w:val="false"/>
          <w:bCs w:val="false"/>
        </w:rPr>
      </w:pPr>
      <w:r>
        <w:rPr>
          <w:b w:val="false"/>
          <w:bCs w:val="false"/>
        </w:rPr>
      </w:r>
    </w:p>
    <w:tbl>
      <w:tblPr>
        <w:tblW w:w="9972" w:type="dxa"/>
        <w:jc w:val="left"/>
        <w:tblInd w:w="28" w:type="dxa"/>
        <w:tblLayout w:type="fixed"/>
        <w:tblCellMar>
          <w:top w:w="28" w:type="dxa"/>
          <w:left w:w="28" w:type="dxa"/>
          <w:bottom w:w="28" w:type="dxa"/>
          <w:right w:w="28" w:type="dxa"/>
        </w:tblCellMar>
      </w:tblPr>
      <w:tblGrid>
        <w:gridCol w:w="970"/>
        <w:gridCol w:w="883"/>
        <w:gridCol w:w="3002"/>
        <w:gridCol w:w="2168"/>
        <w:gridCol w:w="2949"/>
      </w:tblGrid>
      <w:tr>
        <w:trPr>
          <w:tblHeader w:val="true"/>
        </w:trPr>
        <w:tc>
          <w:tcPr>
            <w:tcW w:w="970" w:type="dxa"/>
            <w:tcBorders/>
            <w:vAlign w:val="center"/>
          </w:tcPr>
          <w:p>
            <w:pPr>
              <w:pStyle w:val="TableHeading"/>
              <w:rPr/>
            </w:pPr>
            <w:r>
              <w:rPr>
                <w:rStyle w:val="Strong"/>
                <w:b w:val="false"/>
                <w:bCs w:val="false"/>
              </w:rPr>
              <w:t>Tenet</w:t>
            </w:r>
          </w:p>
        </w:tc>
        <w:tc>
          <w:tcPr>
            <w:tcW w:w="883" w:type="dxa"/>
            <w:tcBorders/>
            <w:vAlign w:val="center"/>
          </w:tcPr>
          <w:p>
            <w:pPr>
              <w:pStyle w:val="TableHeading"/>
              <w:rPr/>
            </w:pPr>
            <w:r>
              <w:rPr>
                <w:rStyle w:val="Strong"/>
                <w:b w:val="false"/>
                <w:bCs w:val="false"/>
              </w:rPr>
              <w:t>Std. Dev.</w:t>
            </w:r>
          </w:p>
        </w:tc>
        <w:tc>
          <w:tcPr>
            <w:tcW w:w="3002" w:type="dxa"/>
            <w:tcBorders/>
            <w:vAlign w:val="center"/>
          </w:tcPr>
          <w:p>
            <w:pPr>
              <w:pStyle w:val="TableHeading"/>
              <w:rPr/>
            </w:pPr>
            <w:r>
              <w:rPr>
                <w:rStyle w:val="Strong"/>
                <w:b w:val="false"/>
                <w:bCs w:val="false"/>
              </w:rPr>
              <w:t>Full-Sample FE NPLR (bps)</w:t>
            </w:r>
          </w:p>
        </w:tc>
        <w:tc>
          <w:tcPr>
            <w:tcW w:w="2168" w:type="dxa"/>
            <w:tcBorders/>
            <w:vAlign w:val="center"/>
          </w:tcPr>
          <w:p>
            <w:pPr>
              <w:pStyle w:val="TableHeading"/>
              <w:rPr/>
            </w:pPr>
            <w:r>
              <w:rPr>
                <w:rStyle w:val="Strong"/>
                <w:b w:val="false"/>
                <w:bCs w:val="false"/>
              </w:rPr>
              <w:t>Post-2015 FE NPLR (bps)</w:t>
            </w:r>
          </w:p>
        </w:tc>
        <w:tc>
          <w:tcPr>
            <w:tcW w:w="2949" w:type="dxa"/>
            <w:tcBorders/>
            <w:vAlign w:val="center"/>
          </w:tcPr>
          <w:p>
            <w:pPr>
              <w:pStyle w:val="TableHeading"/>
              <w:rPr/>
            </w:pPr>
            <w:r>
              <w:rPr>
                <w:rStyle w:val="Strong"/>
                <w:b w:val="false"/>
                <w:bCs w:val="false"/>
              </w:rPr>
              <w:t>Annual Provisioning Savings (USD m)</w:t>
            </w:r>
          </w:p>
        </w:tc>
      </w:tr>
      <w:tr>
        <w:trPr/>
        <w:tc>
          <w:tcPr>
            <w:tcW w:w="970" w:type="dxa"/>
            <w:tcBorders/>
            <w:vAlign w:val="center"/>
          </w:tcPr>
          <w:p>
            <w:pPr>
              <w:pStyle w:val="TableContents"/>
              <w:rPr/>
            </w:pPr>
            <w:r>
              <w:rPr>
                <w:rStyle w:val="Strong"/>
                <w:b w:val="false"/>
                <w:bCs w:val="false"/>
              </w:rPr>
              <w:t>OPEFF</w:t>
            </w:r>
          </w:p>
        </w:tc>
        <w:tc>
          <w:tcPr>
            <w:tcW w:w="883" w:type="dxa"/>
            <w:tcBorders/>
            <w:vAlign w:val="center"/>
          </w:tcPr>
          <w:p>
            <w:pPr>
              <w:pStyle w:val="TableContents"/>
              <w:rPr>
                <w:b w:val="false"/>
                <w:bCs w:val="false"/>
              </w:rPr>
            </w:pPr>
            <w:r>
              <w:rPr>
                <w:b w:val="false"/>
                <w:bCs w:val="false"/>
              </w:rPr>
              <w:t>9.0</w:t>
            </w:r>
          </w:p>
        </w:tc>
        <w:tc>
          <w:tcPr>
            <w:tcW w:w="3002" w:type="dxa"/>
            <w:tcBorders/>
            <w:vAlign w:val="center"/>
          </w:tcPr>
          <w:p>
            <w:pPr>
              <w:pStyle w:val="TableContents"/>
              <w:rPr/>
            </w:pPr>
            <w:r>
              <w:rPr>
                <w:rStyle w:val="Strong"/>
                <w:b w:val="false"/>
                <w:bCs w:val="false"/>
              </w:rPr>
              <w:t>–</w:t>
            </w:r>
            <w:r>
              <w:rPr>
                <w:rStyle w:val="Strong"/>
                <w:b w:val="false"/>
                <w:bCs w:val="false"/>
              </w:rPr>
              <w:t>48</w:t>
            </w:r>
          </w:p>
        </w:tc>
        <w:tc>
          <w:tcPr>
            <w:tcW w:w="2168" w:type="dxa"/>
            <w:tcBorders/>
            <w:vAlign w:val="center"/>
          </w:tcPr>
          <w:p>
            <w:pPr>
              <w:pStyle w:val="TableContents"/>
              <w:rPr/>
            </w:pPr>
            <w:r>
              <w:rPr>
                <w:rStyle w:val="Strong"/>
                <w:b w:val="false"/>
                <w:bCs w:val="false"/>
              </w:rPr>
              <w:t>–</w:t>
            </w:r>
            <w:r>
              <w:rPr>
                <w:rStyle w:val="Strong"/>
                <w:b w:val="false"/>
                <w:bCs w:val="false"/>
              </w:rPr>
              <w:t>23</w:t>
            </w:r>
          </w:p>
        </w:tc>
        <w:tc>
          <w:tcPr>
            <w:tcW w:w="2949" w:type="dxa"/>
            <w:tcBorders/>
            <w:vAlign w:val="center"/>
          </w:tcPr>
          <w:p>
            <w:pPr>
              <w:pStyle w:val="TableContents"/>
              <w:rPr/>
            </w:pPr>
            <w:r>
              <w:rPr>
                <w:rStyle w:val="Strong"/>
                <w:b w:val="false"/>
                <w:bCs w:val="false"/>
              </w:rPr>
              <w:t>290</w:t>
            </w:r>
          </w:p>
        </w:tc>
      </w:tr>
      <w:tr>
        <w:trPr/>
        <w:tc>
          <w:tcPr>
            <w:tcW w:w="970" w:type="dxa"/>
            <w:tcBorders/>
            <w:vAlign w:val="center"/>
          </w:tcPr>
          <w:p>
            <w:pPr>
              <w:pStyle w:val="TableContents"/>
              <w:rPr/>
            </w:pPr>
            <w:r>
              <w:rPr>
                <w:rStyle w:val="Strong"/>
                <w:b w:val="false"/>
                <w:bCs w:val="false"/>
              </w:rPr>
              <w:t>CGDI</w:t>
            </w:r>
          </w:p>
        </w:tc>
        <w:tc>
          <w:tcPr>
            <w:tcW w:w="883" w:type="dxa"/>
            <w:tcBorders/>
            <w:vAlign w:val="center"/>
          </w:tcPr>
          <w:p>
            <w:pPr>
              <w:pStyle w:val="TableContents"/>
              <w:rPr>
                <w:b w:val="false"/>
                <w:bCs w:val="false"/>
              </w:rPr>
            </w:pPr>
            <w:r>
              <w:rPr>
                <w:b w:val="false"/>
                <w:bCs w:val="false"/>
              </w:rPr>
              <w:t>12.5</w:t>
            </w:r>
          </w:p>
        </w:tc>
        <w:tc>
          <w:tcPr>
            <w:tcW w:w="3002" w:type="dxa"/>
            <w:tcBorders/>
            <w:vAlign w:val="center"/>
          </w:tcPr>
          <w:p>
            <w:pPr>
              <w:pStyle w:val="TableContents"/>
              <w:rPr/>
            </w:pPr>
            <w:r>
              <w:rPr>
                <w:rStyle w:val="Strong"/>
                <w:b w:val="false"/>
                <w:bCs w:val="false"/>
              </w:rPr>
              <w:t>–</w:t>
            </w:r>
            <w:r>
              <w:rPr>
                <w:rStyle w:val="Strong"/>
                <w:b w:val="false"/>
                <w:bCs w:val="false"/>
              </w:rPr>
              <w:t>7</w:t>
            </w:r>
          </w:p>
        </w:tc>
        <w:tc>
          <w:tcPr>
            <w:tcW w:w="2168" w:type="dxa"/>
            <w:tcBorders/>
            <w:vAlign w:val="center"/>
          </w:tcPr>
          <w:p>
            <w:pPr>
              <w:pStyle w:val="TableContents"/>
              <w:rPr/>
            </w:pPr>
            <w:r>
              <w:rPr>
                <w:rStyle w:val="Strong"/>
                <w:b w:val="false"/>
                <w:bCs w:val="false"/>
              </w:rPr>
              <w:t>–</w:t>
            </w:r>
            <w:r>
              <w:rPr>
                <w:rStyle w:val="Strong"/>
                <w:b w:val="false"/>
                <w:bCs w:val="false"/>
              </w:rPr>
              <w:t>45</w:t>
            </w:r>
          </w:p>
        </w:tc>
        <w:tc>
          <w:tcPr>
            <w:tcW w:w="2949" w:type="dxa"/>
            <w:tcBorders/>
            <w:vAlign w:val="center"/>
          </w:tcPr>
          <w:p>
            <w:pPr>
              <w:pStyle w:val="TableContents"/>
              <w:rPr/>
            </w:pPr>
            <w:r>
              <w:rPr>
                <w:rStyle w:val="Strong"/>
                <w:b w:val="false"/>
                <w:bCs w:val="false"/>
              </w:rPr>
              <w:t>220</w:t>
            </w:r>
          </w:p>
        </w:tc>
      </w:tr>
      <w:tr>
        <w:trPr/>
        <w:tc>
          <w:tcPr>
            <w:tcW w:w="970" w:type="dxa"/>
            <w:tcBorders/>
            <w:vAlign w:val="center"/>
          </w:tcPr>
          <w:p>
            <w:pPr>
              <w:pStyle w:val="TableContents"/>
              <w:rPr/>
            </w:pPr>
            <w:r>
              <w:rPr>
                <w:rStyle w:val="Strong"/>
                <w:b w:val="false"/>
                <w:bCs w:val="false"/>
              </w:rPr>
              <w:t>TCAR</w:t>
            </w:r>
          </w:p>
        </w:tc>
        <w:tc>
          <w:tcPr>
            <w:tcW w:w="883" w:type="dxa"/>
            <w:tcBorders/>
            <w:vAlign w:val="center"/>
          </w:tcPr>
          <w:p>
            <w:pPr>
              <w:pStyle w:val="TableContents"/>
              <w:rPr>
                <w:b w:val="false"/>
                <w:bCs w:val="false"/>
              </w:rPr>
            </w:pPr>
            <w:r>
              <w:rPr>
                <w:b w:val="false"/>
                <w:bCs w:val="false"/>
              </w:rPr>
              <w:t>3.2</w:t>
            </w:r>
          </w:p>
        </w:tc>
        <w:tc>
          <w:tcPr>
            <w:tcW w:w="3002" w:type="dxa"/>
            <w:tcBorders/>
            <w:vAlign w:val="center"/>
          </w:tcPr>
          <w:p>
            <w:pPr>
              <w:pStyle w:val="TableContents"/>
              <w:rPr/>
            </w:pPr>
            <w:r>
              <w:rPr>
                <w:rStyle w:val="Strong"/>
                <w:b w:val="false"/>
                <w:bCs w:val="false"/>
              </w:rPr>
              <w:t>–</w:t>
            </w:r>
            <w:r>
              <w:rPr>
                <w:rStyle w:val="Strong"/>
                <w:b w:val="false"/>
                <w:bCs w:val="false"/>
              </w:rPr>
              <w:t>4</w:t>
            </w:r>
          </w:p>
        </w:tc>
        <w:tc>
          <w:tcPr>
            <w:tcW w:w="2168" w:type="dxa"/>
            <w:tcBorders/>
            <w:vAlign w:val="center"/>
          </w:tcPr>
          <w:p>
            <w:pPr>
              <w:pStyle w:val="TableContents"/>
              <w:rPr/>
            </w:pPr>
            <w:r>
              <w:rPr>
                <w:rStyle w:val="Strong"/>
                <w:b w:val="false"/>
                <w:bCs w:val="false"/>
              </w:rPr>
              <w:t>–</w:t>
            </w:r>
            <w:r>
              <w:rPr>
                <w:rStyle w:val="Strong"/>
                <w:b w:val="false"/>
                <w:bCs w:val="false"/>
              </w:rPr>
              <w:t>1</w:t>
            </w:r>
          </w:p>
        </w:tc>
        <w:tc>
          <w:tcPr>
            <w:tcW w:w="2949" w:type="dxa"/>
            <w:tcBorders/>
            <w:vAlign w:val="center"/>
          </w:tcPr>
          <w:p>
            <w:pPr>
              <w:pStyle w:val="TableContents"/>
              <w:rPr/>
            </w:pPr>
            <w:r>
              <w:rPr>
                <w:rStyle w:val="Strong"/>
                <w:b w:val="false"/>
                <w:bCs w:val="false"/>
              </w:rPr>
              <w:t>5</w:t>
            </w:r>
          </w:p>
        </w:tc>
      </w:tr>
      <w:tr>
        <w:trPr/>
        <w:tc>
          <w:tcPr>
            <w:tcW w:w="970" w:type="dxa"/>
            <w:tcBorders/>
            <w:vAlign w:val="center"/>
          </w:tcPr>
          <w:p>
            <w:pPr>
              <w:pStyle w:val="TableContents"/>
              <w:rPr/>
            </w:pPr>
            <w:r>
              <w:rPr>
                <w:rStyle w:val="Strong"/>
                <w:b w:val="false"/>
                <w:bCs w:val="false"/>
              </w:rPr>
              <w:t>COMID</w:t>
            </w:r>
          </w:p>
        </w:tc>
        <w:tc>
          <w:tcPr>
            <w:tcW w:w="883" w:type="dxa"/>
            <w:tcBorders/>
            <w:vAlign w:val="center"/>
          </w:tcPr>
          <w:p>
            <w:pPr>
              <w:pStyle w:val="TableContents"/>
              <w:rPr>
                <w:b w:val="false"/>
                <w:bCs w:val="false"/>
              </w:rPr>
            </w:pPr>
            <w:r>
              <w:rPr>
                <w:b w:val="false"/>
                <w:bCs w:val="false"/>
              </w:rPr>
              <w:t>8.5</w:t>
            </w:r>
          </w:p>
        </w:tc>
        <w:tc>
          <w:tcPr>
            <w:tcW w:w="3002" w:type="dxa"/>
            <w:tcBorders/>
            <w:vAlign w:val="center"/>
          </w:tcPr>
          <w:p>
            <w:pPr>
              <w:pStyle w:val="TableContents"/>
              <w:rPr/>
            </w:pPr>
            <w:r>
              <w:rPr>
                <w:rStyle w:val="Strong"/>
                <w:b w:val="false"/>
                <w:bCs w:val="false"/>
              </w:rPr>
              <w:t>–</w:t>
            </w:r>
            <w:r>
              <w:rPr>
                <w:rStyle w:val="Strong"/>
                <w:b w:val="false"/>
                <w:bCs w:val="false"/>
              </w:rPr>
              <w:t>28</w:t>
            </w:r>
          </w:p>
        </w:tc>
        <w:tc>
          <w:tcPr>
            <w:tcW w:w="2168" w:type="dxa"/>
            <w:tcBorders/>
            <w:vAlign w:val="center"/>
          </w:tcPr>
          <w:p>
            <w:pPr>
              <w:pStyle w:val="TableContents"/>
              <w:rPr/>
            </w:pPr>
            <w:r>
              <w:rPr>
                <w:rStyle w:val="Strong"/>
                <w:b w:val="false"/>
                <w:bCs w:val="false"/>
              </w:rPr>
              <w:t>–</w:t>
            </w:r>
            <w:r>
              <w:rPr>
                <w:rStyle w:val="Strong"/>
                <w:b w:val="false"/>
                <w:bCs w:val="false"/>
              </w:rPr>
              <w:t>1</w:t>
            </w:r>
          </w:p>
        </w:tc>
        <w:tc>
          <w:tcPr>
            <w:tcW w:w="2949" w:type="dxa"/>
            <w:tcBorders/>
            <w:vAlign w:val="center"/>
          </w:tcPr>
          <w:p>
            <w:pPr>
              <w:pStyle w:val="TableContents"/>
              <w:rPr/>
            </w:pPr>
            <w:r>
              <w:rPr>
                <w:rStyle w:val="Strong"/>
                <w:b w:val="false"/>
                <w:bCs w:val="false"/>
              </w:rPr>
              <w:t>10</w:t>
            </w:r>
          </w:p>
        </w:tc>
      </w:tr>
    </w:tbl>
    <w:p>
      <w:pPr>
        <w:pStyle w:val="BodyText"/>
        <w:rPr/>
      </w:pPr>
      <w:r>
        <w:rPr/>
        <w:t xml:space="preserve">Notes: </w:t>
      </w:r>
      <w:r>
        <w:rPr/>
      </w:r>
      <m:oMath xmlns:m="http://schemas.openxmlformats.org/officeDocument/2006/math">
        <m:sSup>
          <m:e/>
          <m:sup>
            <m:r>
              <m:rPr>
                <m:lit/>
                <m:nor/>
              </m:rPr>
              <w:rPr>
                <w:rFonts w:ascii="Cambria Math" w:hAnsi="Cambria Math"/>
              </w:rPr>
              <m:t xml:space="preserve">*</m:t>
            </m:r>
          </m:sup>
        </m:sSup>
        <m:r>
          <w:rPr>
            <w:rFonts w:ascii="Cambria Math" w:hAnsi="Cambria Math"/>
          </w:rPr>
          <m:t xml:space="preserve">p</m:t>
        </m:r>
        <m:r>
          <m:rPr>
            <m:lit/>
            <m:nor/>
          </m:rPr>
          <w:rPr>
            <w:rFonts w:ascii="Cambria Math" w:hAnsi="Cambria Math"/>
          </w:rPr>
          <m:t xml:space="preserve">&lt;</m:t>
        </m:r>
        <m:r>
          <w:rPr>
            <w:rFonts w:ascii="Cambria Math" w:hAnsi="Cambria Math"/>
          </w:rPr>
          <m:t xml:space="preserve">0.10</m:t>
        </m:r>
      </m:oMath>
      <w:r>
        <w:rPr/>
        <w:t>. Savings based on 50% provisioning rate.</w:t>
      </w:r>
    </w:p>
    <w:p>
      <w:pPr>
        <w:pStyle w:val="BodyText"/>
        <w:rPr/>
      </w:pPr>
      <w:r>
        <w:rPr/>
        <w:t>Correspondingly, these results affirm that governance indices, notably practice and post-reform disclosure, modulate NPLs, countering institutional inertia in emerging economies and advocating for harmonised reforms to amplify stewardship dynamics. This not only contributes to theoretical synthesis but also informs policy, emphasising the need for unified governance frameworks to mitigate systemic risks.</w:t>
      </w:r>
      <w:bookmarkEnd w:id="80"/>
      <w:bookmarkEnd w:id="85"/>
    </w:p>
    <w:p>
      <w:pPr>
        <w:pStyle w:val="Heading2"/>
        <w:rPr/>
      </w:pPr>
      <w:r>
        <w:rPr/>
        <w:t>4.2</w:t>
      </w:r>
      <w:bookmarkStart w:id="86" w:name="X20e04cd5fa66908685bd52232bf2610f4fae792"/>
      <w:r>
        <w:rPr/>
        <w:t xml:space="preserve"> for RQ2: Mediation of Audit Committee Independence on NPL Ratios via Financial Reporting Integrity</w:t>
      </w:r>
    </w:p>
    <w:p>
      <w:pPr>
        <w:pStyle w:val="FirstParagraph"/>
        <w:rPr/>
      </w:pPr>
      <w:r>
        <w:rPr/>
        <w:t>This section delineates the empirical outcomes for RQ2, which probes the degree to which audit committee independence (ACI) attenuates 2024 NPL ratios in Nigerian DMBs, and whether this relationship is partially mediated by enhanced financial reporting integrity (FRI) as discerned by bank insiders. Employing a cross-sectional blended design, the analysis harnesses survey data from 234 stakeholders across 10 DMBs, gathered in April 2024, supplemented by secondary NPL indicators from CBN bulletins and NDIC reports. The framework utilises Hayes Process Model 4 with 5,000 bootstrapped resamples to evaluate partial mediation, controlling for bank-specific factors such as size (log-transformed assets) and capital adequacy ratio (CAR), in accordance with the pragmatic paradigm that fuses positivist quantification with interpretivist perceptual nuances (Creswell &amp; Plano Clark, 2018).</w:t>
      </w:r>
    </w:p>
    <w:p>
      <w:pPr>
        <w:pStyle w:val="BodyText"/>
        <w:rPr/>
      </w:pPr>
      <w:r>
        <w:rPr/>
        <w:t xml:space="preserve">The examination begins with the measurement model for construct validation, progressing to the structural model for path assessments. Interpretations are anchored in agency theory, which contends that independent audit committees alleviate agency conflicts through vigilant monitoring and diminished information asymmetries (Jensen &amp; Meckling, 1976), and stewardship theory, which highlights intrinsic drives toward reporting integrity (Donaldson &amp; Davis, 1991). Institutional theory contextualises these processes within Nigeria’s regulatory evolution, where post-2014 reforms under the CBN Code of 2014 and NCCG 2018 prescribe </w:t>
      </w:r>
      <w:r>
        <w:rPr/>
      </w:r>
      <m:oMath xmlns:m="http://schemas.openxmlformats.org/officeDocument/2006/math">
        <m:r>
          <w:rPr>
            <w:rFonts w:ascii="Cambria Math" w:hAnsi="Cambria Math"/>
          </w:rPr>
          <m:t xml:space="preserve">≥</m:t>
        </m:r>
      </m:oMath>
      <w:r>
        <w:rPr/>
        <w:t>50% independent directors on audit committees to fortify credibility (Adegbite, 2014; Olojede et al., 2020). This mediation analysis extends prior studies by incorporating perceptual data, addressing gaps in emerging market literature where formal structures often yield mixed outcomes (Liu &amp; Anandarajan, 2019).</w:t>
      </w:r>
    </w:p>
    <w:p>
      <w:pPr>
        <w:pStyle w:val="Heading3"/>
        <w:numPr>
          <w:ilvl w:val="2"/>
          <w:numId w:val="1"/>
        </w:numPr>
        <w:ind w:hanging="0" w:left="0"/>
        <w:rPr/>
      </w:pPr>
      <w:r>
        <w:rPr/>
        <w:t xml:space="preserve">4.2.1 </w:t>
      </w:r>
      <w:bookmarkStart w:id="87" w:name="measurement-model-assessment"/>
      <w:r>
        <w:rPr/>
        <w:t>Measurement Model Assessment</w:t>
      </w:r>
    </w:p>
    <w:p>
      <w:pPr>
        <w:pStyle w:val="FirstParagraph"/>
        <w:rPr/>
      </w:pPr>
      <w:r>
        <w:rPr/>
        <w:t xml:space="preserve">The congeneric confirmatory factor analysis (CFA), fitted via robust maximum likelihood to accommodate non-normality, achieves acceptable fit: </w:t>
      </w:r>
      <w:r>
        <w:rPr/>
      </w:r>
      <m:oMath xmlns:m="http://schemas.openxmlformats.org/officeDocument/2006/math">
        <m:sSup>
          <m:e>
            <m:r>
              <w:rPr>
                <w:rFonts w:ascii="Cambria Math" w:hAnsi="Cambria Math"/>
              </w:rPr>
              <m:t xml:space="preserve">χ</m:t>
            </m:r>
          </m:e>
          <m:sup>
            <m:r>
              <w:rPr>
                <w:rFonts w:ascii="Cambria Math" w:hAnsi="Cambria Math"/>
              </w:rPr>
              <m:t xml:space="preserve">2</m:t>
            </m:r>
          </m:sup>
        </m:sSup>
        <m:d>
          <m:dPr>
            <m:begChr m:val="("/>
            <m:endChr m:val=")"/>
          </m:dPr>
          <m:e>
            <m:r>
              <w:rPr>
                <w:rFonts w:ascii="Cambria Math" w:hAnsi="Cambria Math"/>
              </w:rPr>
              <m:t xml:space="preserve">149</m:t>
            </m:r>
          </m:e>
        </m:d>
        <m:r>
          <m:rPr>
            <m:lit/>
            <m:nor/>
          </m:rPr>
          <w:rPr>
            <w:rFonts w:ascii="Cambria Math" w:hAnsi="Cambria Math"/>
          </w:rPr>
          <m:t xml:space="preserve">=</m:t>
        </m:r>
        <m:r>
          <w:rPr>
            <w:rFonts w:ascii="Cambria Math" w:hAnsi="Cambria Math"/>
          </w:rPr>
          <m:t xml:space="preserve">286.4</m:t>
        </m:r>
      </m:oMath>
      <w:r>
        <w:rPr/>
        <w:t>, comparative fit index (CFI) = 0.93, root mean square error of approximation (RMSEA) = 0.063 (90% CI [0.052, 0.074]), and standardised root mean square residual (SRMR) = 0.067. These metrics exceed established benchmarks (Hu &amp; Bentler, 1999), validating the model’s congruence with observed covariances.</w:t>
      </w:r>
    </w:p>
    <w:p>
      <w:pPr>
        <w:pStyle w:val="BodyText"/>
        <w:rPr/>
      </w:pPr>
      <w:r>
        <w:rPr/>
        <w:t xml:space="preserve">Standardised factor loadings for latent constructs are substantial, ranging from 0.42 to 0.87 (all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.01</m:t>
        </m:r>
      </m:oMath>
      <w:r>
        <w:rPr/>
        <w:t>). For ACI, loadings (0.76–3.14) encapsulate facets like non-executive predominance and freedom from executive familial ties, aligning with CBN stipulations for genuine independence (CBN, 2023). FRI loadings (0.90–6.97) emphasise whistleblowing safeguards as paramount (</w:t>
      </w:r>
      <w:r>
        <w:rPr/>
      </w:r>
      <m:oMath xmlns:m="http://schemas.openxmlformats.org/officeDocument/2006/math">
        <m:r>
          <w:rPr>
            <w:rFonts w:ascii="Cambria Math" w:hAnsi="Cambria Math"/>
          </w:rPr>
          <m:t xml:space="preserve">λ</m:t>
        </m:r>
        <m:r>
          <m:rPr>
            <m:lit/>
            <m:nor/>
          </m:rPr>
          <w:rPr>
            <w:rFonts w:ascii="Cambria Math" w:hAnsi="Cambria Math"/>
          </w:rPr>
          <m:t xml:space="preserve">=</m:t>
        </m:r>
        <m:r>
          <w:rPr>
            <w:rFonts w:ascii="Cambria Math" w:hAnsi="Cambria Math"/>
          </w:rPr>
          <m:t xml:space="preserve">6.97</m:t>
        </m:r>
      </m:oMath>
      <w:r>
        <w:rPr/>
        <w:t>), reflecting perceptual priorities in emerging contexts where formal audits may succumb to patronage (Liu &amp; Anandarajan, 2019; Natufe &amp; Evbayiro-Osagie, 2023). The NPL construct, manifested through gross and net NPL ratios, loads adequately (</w:t>
      </w:r>
      <w:r>
        <w:rPr/>
      </w:r>
      <m:oMath xmlns:m="http://schemas.openxmlformats.org/officeDocument/2006/math">
        <m:r>
          <w:rPr>
            <w:rFonts w:ascii="Cambria Math" w:hAnsi="Cambria Math"/>
          </w:rPr>
          <m:t xml:space="preserve">λ</m:t>
        </m:r>
        <m:r>
          <m:rPr>
            <m:lit/>
            <m:nor/>
          </m:rPr>
          <w:rPr>
            <w:rFonts w:ascii="Cambria Math" w:hAnsi="Cambria Math"/>
          </w:rPr>
          <m:t xml:space="preserve">=</m:t>
        </m:r>
        <m:r>
          <w:rPr>
            <w:rFonts w:ascii="Cambria Math" w:hAnsi="Cambria Math"/>
          </w:rPr>
          <m:t xml:space="preserve">1.89</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.001</m:t>
        </m:r>
      </m:oMath>
      <w:r>
        <w:rPr/>
        <w:t>), supporting convergent validity.</w:t>
      </w:r>
    </w:p>
    <w:p>
      <w:pPr>
        <w:pStyle w:val="BodyText"/>
        <w:rPr/>
      </w:pPr>
      <w:r>
        <w:rPr/>
        <w:t xml:space="preserve">Composite reliability (CR) surpasses 0.70 for all constructs (ACI: 0.82; FRI: 0.79; NPL: 0.76), while average variance extracted (AVE) exceeds 0.50 (ACI: 0.54; FRI: 0.52; NPL: 0.51), confirming convergent validity. Discriminant validity holds per Fornell and Larcker (1981), with square roots of AVE outstripping inter-construct correlations (e.g., </w:t>
      </w:r>
      <w:r>
        <w:rPr/>
      </w:r>
      <m:oMath xmlns:m="http://schemas.openxmlformats.org/officeDocument/2006/math">
        <m:rad>
          <m:radPr>
            <m:degHide m:val="1"/>
          </m:radPr>
          <m:deg/>
          <m:e>
            <m:sSub>
              <m:e>
                <m:r>
                  <m:rPr>
                    <m:lit/>
                    <m:nor/>
                  </m:rPr>
                  <w:rPr>
                    <w:rFonts w:ascii="Cambria Math" w:hAnsi="Cambria Math"/>
                  </w:rPr>
                  <m:t xml:space="preserve">AVE</m:t>
                </m:r>
              </m:e>
              <m:sub>
                <m:r>
                  <w:rPr>
                    <w:rFonts w:ascii="Cambria Math" w:hAnsi="Cambria Math"/>
                  </w:rPr>
                  <m:t xml:space="preserve">A</m:t>
                </m:r>
                <m:r>
                  <w:rPr>
                    <w:rFonts w:ascii="Cambria Math" w:hAnsi="Cambria Math"/>
                  </w:rPr>
                  <m:t xml:space="preserve">C</m:t>
                </m:r>
                <m:r>
                  <w:rPr>
                    <w:rFonts w:ascii="Cambria Math" w:hAnsi="Cambria Math"/>
                  </w:rPr>
                  <m:t xml:space="preserve">I</m:t>
                </m:r>
              </m:sub>
            </m:sSub>
          </m:e>
        </m:rad>
        <m:r>
          <m:rPr>
            <m:lit/>
            <m:nor/>
          </m:rPr>
          <w:rPr>
            <w:rFonts w:ascii="Cambria Math" w:hAnsi="Cambria Math"/>
          </w:rPr>
          <m:t xml:space="preserve">=</m:t>
        </m:r>
        <m:r>
          <w:rPr>
            <w:rFonts w:ascii="Cambria Math" w:hAnsi="Cambria Math"/>
          </w:rPr>
          <m:t xml:space="preserve">0.73</m:t>
        </m:r>
        <m:r>
          <m:rPr>
            <m:lit/>
            <m:nor/>
          </m:rPr>
          <w:rPr>
            <w:rFonts w:ascii="Cambria Math" w:hAnsi="Cambria Math"/>
          </w:rPr>
          <m:t xml:space="preserve">&gt;</m:t>
        </m:r>
        <m:sSub>
          <m:e>
            <m:r>
              <w:rPr>
                <w:rFonts w:ascii="Cambria Math" w:hAnsi="Cambria Math"/>
              </w:rPr>
              <m:t xml:space="preserve">r</m:t>
            </m:r>
          </m:e>
          <m:sub>
            <m:r>
              <w:rPr>
                <w:rFonts w:ascii="Cambria Math" w:hAnsi="Cambria Math"/>
              </w:rPr>
              <m:t xml:space="preserve">A</m:t>
            </m:r>
            <m:r>
              <w:rPr>
                <w:rFonts w:ascii="Cambria Math" w:hAnsi="Cambria Math"/>
              </w:rPr>
              <m:t xml:space="preserve">C</m:t>
            </m:r>
            <m:r>
              <w:rPr>
                <w:rFonts w:ascii="Cambria Math" w:hAnsi="Cambria Math"/>
              </w:rPr>
              <m:t xml:space="preserve">I</m:t>
            </m:r>
            <m:r>
              <w:rPr>
                <w:rFonts w:ascii="Cambria Math" w:hAnsi="Cambria Math"/>
              </w:rPr>
              <m:t xml:space="preserve">−</m:t>
            </m:r>
            <m:r>
              <w:rPr>
                <w:rFonts w:ascii="Cambria Math" w:hAnsi="Cambria Math"/>
              </w:rPr>
              <m:t xml:space="preserve">F</m:t>
            </m:r>
            <m:r>
              <w:rPr>
                <w:rFonts w:ascii="Cambria Math" w:hAnsi="Cambria Math"/>
              </w:rPr>
              <m:t xml:space="preserve">R</m:t>
            </m:r>
            <m:r>
              <w:rPr>
                <w:rFonts w:ascii="Cambria Math" w:hAnsi="Cambria Math"/>
              </w:rPr>
              <m:t xml:space="preserve">I</m:t>
            </m:r>
          </m:sub>
        </m:sSub>
        <m:r>
          <m:rPr>
            <m:lit/>
            <m:nor/>
          </m:rPr>
          <w:rPr>
            <w:rFonts w:ascii="Cambria Math" w:hAnsi="Cambria Math"/>
          </w:rPr>
          <m:t xml:space="preserve">=</m:t>
        </m:r>
        <m:r>
          <w:rPr>
            <w:rFonts w:ascii="Cambria Math" w:hAnsi="Cambria Math"/>
          </w:rPr>
          <m:t xml:space="preserve">0.41</m:t>
        </m:r>
      </m:oMath>
      <w:r>
        <w:rPr/>
        <w:t xml:space="preserve">; </w:t>
      </w:r>
      <w:r>
        <w:rPr/>
      </w:r>
      <m:oMath xmlns:m="http://schemas.openxmlformats.org/officeDocument/2006/math">
        <m:rad>
          <m:radPr>
            <m:degHide m:val="1"/>
          </m:radPr>
          <m:deg/>
          <m:e>
            <m:sSub>
              <m:e>
                <m:r>
                  <m:rPr>
                    <m:lit/>
                    <m:nor/>
                  </m:rPr>
                  <w:rPr>
                    <w:rFonts w:ascii="Cambria Math" w:hAnsi="Cambria Math"/>
                  </w:rPr>
                  <m:t xml:space="preserve">AVE</m:t>
                </m:r>
              </m:e>
              <m:sub>
                <m:r>
                  <w:rPr>
                    <w:rFonts w:ascii="Cambria Math" w:hAnsi="Cambria Math"/>
                  </w:rPr>
                  <m:t xml:space="preserve">F</m:t>
                </m:r>
                <m:r>
                  <w:rPr>
                    <w:rFonts w:ascii="Cambria Math" w:hAnsi="Cambria Math"/>
                  </w:rPr>
                  <m:t xml:space="preserve">R</m:t>
                </m:r>
                <m:r>
                  <w:rPr>
                    <w:rFonts w:ascii="Cambria Math" w:hAnsi="Cambria Math"/>
                  </w:rPr>
                  <m:t xml:space="preserve">I</m:t>
                </m:r>
              </m:sub>
            </m:sSub>
          </m:e>
        </m:rad>
        <m:r>
          <m:rPr>
            <m:lit/>
            <m:nor/>
          </m:rPr>
          <w:rPr>
            <w:rFonts w:ascii="Cambria Math" w:hAnsi="Cambria Math"/>
          </w:rPr>
          <m:t xml:space="preserve">=</m:t>
        </m:r>
        <m:r>
          <w:rPr>
            <w:rFonts w:ascii="Cambria Math" w:hAnsi="Cambria Math"/>
          </w:rPr>
          <m:t xml:space="preserve">0.72</m:t>
        </m:r>
        <m:r>
          <m:rPr>
            <m:lit/>
            <m:nor/>
          </m:rPr>
          <w:rPr>
            <w:rFonts w:ascii="Cambria Math" w:hAnsi="Cambria Math"/>
          </w:rPr>
          <m:t xml:space="preserve">&gt;</m:t>
        </m:r>
        <m:sSub>
          <m:e>
            <m:r>
              <w:rPr>
                <w:rFonts w:ascii="Cambria Math" w:hAnsi="Cambria Math"/>
              </w:rPr>
              <m:t xml:space="preserve">r</m:t>
            </m:r>
          </m:e>
          <m:sub>
            <m:r>
              <w:rPr>
                <w:rFonts w:ascii="Cambria Math" w:hAnsi="Cambria Math"/>
              </w:rPr>
              <m:t xml:space="preserve">F</m:t>
            </m:r>
            <m:r>
              <w:rPr>
                <w:rFonts w:ascii="Cambria Math" w:hAnsi="Cambria Math"/>
              </w:rPr>
              <m:t xml:space="preserve">R</m:t>
            </m:r>
            <m:r>
              <w:rPr>
                <w:rFonts w:ascii="Cambria Math" w:hAnsi="Cambria Math"/>
              </w:rPr>
              <m:t xml:space="preserve">I</m:t>
            </m:r>
            <m:r>
              <w:rPr>
                <w:rFonts w:ascii="Cambria Math" w:hAnsi="Cambria Math"/>
              </w:rPr>
              <m:t xml:space="preserve">−</m:t>
            </m:r>
            <m:r>
              <w:rPr>
                <w:rFonts w:ascii="Cambria Math" w:hAnsi="Cambria Math"/>
              </w:rPr>
              <m:t xml:space="preserve">N</m:t>
            </m:r>
            <m:r>
              <w:rPr>
                <w:rFonts w:ascii="Cambria Math" w:hAnsi="Cambria Math"/>
              </w:rPr>
              <m:t xml:space="preserve">P</m:t>
            </m:r>
            <m:r>
              <w:rPr>
                <w:rFonts w:ascii="Cambria Math" w:hAnsi="Cambria Math"/>
              </w:rPr>
              <m:t xml:space="preserve">L</m:t>
            </m:r>
          </m:sub>
        </m:sSub>
        <m:r>
          <m:rPr>
            <m:lit/>
            <m:nor/>
          </m:rPr>
          <w:rPr>
            <w:rFonts w:ascii="Cambria Math" w:hAnsi="Cambria Math"/>
          </w:rPr>
          <m:t xml:space="preserve">=</m:t>
        </m:r>
        <m:r>
          <w:rPr>
            <w:rFonts w:ascii="Cambria Math" w:hAnsi="Cambria Math"/>
          </w:rPr>
          <m:t xml:space="preserve">0.38</m:t>
        </m:r>
      </m:oMath>
      <w:r>
        <w:rPr/>
        <w:t>). These safeguards, augmented by procedural controls like anonymous responses and item randomisation, address common method bias (Podsakoff et al., 2003).</w:t>
      </w:r>
      <w:bookmarkEnd w:id="87"/>
    </w:p>
    <w:p>
      <w:pPr>
        <w:pStyle w:val="Heading3"/>
        <w:numPr>
          <w:ilvl w:val="2"/>
          <w:numId w:val="1"/>
        </w:numPr>
        <w:ind w:hanging="0" w:left="0"/>
        <w:rPr/>
      </w:pPr>
      <w:r>
        <w:rPr/>
        <w:t xml:space="preserve">4.2.1 </w:t>
      </w:r>
      <w:bookmarkStart w:id="88" w:name="structural-model-and-mediation-analysis"/>
      <w:r>
        <w:rPr/>
        <w:t>Structural Model and Mediation Analysis</w:t>
      </w:r>
    </w:p>
    <w:p>
      <w:pPr>
        <w:pStyle w:val="FirstParagraph"/>
        <w:rPr/>
      </w:pPr>
      <w:r>
        <w:rPr/>
        <w:t>The structural equation model (SEM), based on 233 complete cases post-listwise deletion, converges after 24 iterations (log pseudolikelihood = –6,948.61). Path estimates, with robust standard errors for heteroskedasticity, are tabulated in Table 4.2.</w:t>
      </w:r>
    </w:p>
    <w:p>
      <w:pPr>
        <w:pStyle w:val="TableCaption"/>
        <w:rPr>
          <w:b/>
          <w:bCs/>
        </w:rPr>
      </w:pPr>
      <w:r>
        <w:rPr>
          <w:b/>
          <w:bCs/>
        </w:rPr>
        <w:t xml:space="preserve">Table </w:t>
      </w:r>
      <w:r>
        <w:rPr>
          <w:b/>
          <w:bCs/>
        </w:rPr>
        <w:t xml:space="preserve">4.4 </w:t>
      </w:r>
      <w:r>
        <w:rPr>
          <w:b/>
          <w:bCs/>
        </w:rPr>
        <w:t>Structural Path Estimates for RQ2 Mediation Model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Path</w:t>
            </w:r>
          </w:p>
        </w:tc>
        <w:tc>
          <w:tcPr>
            <w:tcW w:w="1584" w:type="dxa"/>
            <w:tcBorders>
              <w:bottom w:val="single" w:sz="6" w:space="0" w:color="000000"/>
            </w:tcBorders>
            <w:vAlign w:val="bottom"/>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r>
            <m:oMath xmlns:m="http://schemas.openxmlformats.org/officeDocument/2006/math">
              <m:r>
                <w:rPr>
                  <w:rFonts w:ascii="Cambria Math" w:hAnsi="Cambria Math"/>
                </w:rPr>
                <m:t xml:space="preserve">β</m:t>
              </m:r>
            </m:oMath>
            <w:r>
              <w:rPr>
                <w:rFonts w:eastAsia="Aptos" w:cs="" w:ascii="Aptos" w:hAnsi="Aptos"/>
                <w:kern w:val="0"/>
                <w:sz w:val="24"/>
                <w:szCs w:val="24"/>
                <w:lang w:val="en-US" w:eastAsia="en-US" w:bidi="ar-SA"/>
              </w:rPr>
              <w:t xml:space="preserve"> </w:t>
            </w:r>
            <w:r>
              <w:rPr>
                <w:rFonts w:eastAsia="Aptos" w:cs="" w:ascii="Aptos" w:hAnsi="Aptos"/>
                <w:kern w:val="0"/>
                <w:sz w:val="24"/>
                <w:szCs w:val="24"/>
                <w:lang w:val="en-US" w:eastAsia="en-US" w:bidi="ar-SA"/>
              </w:rPr>
              <w:t>(Standardised)</w:t>
            </w:r>
          </w:p>
        </w:tc>
        <w:tc>
          <w:tcPr>
            <w:tcW w:w="1584" w:type="dxa"/>
            <w:tcBorders>
              <w:bottom w:val="single" w:sz="6" w:space="0" w:color="000000"/>
            </w:tcBorders>
            <w:vAlign w:val="bottom"/>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Robust SE</w:t>
            </w:r>
          </w:p>
        </w:tc>
        <w:tc>
          <w:tcPr>
            <w:tcW w:w="1584" w:type="dxa"/>
            <w:tcBorders>
              <w:bottom w:val="single" w:sz="6" w:space="0" w:color="000000"/>
            </w:tcBorders>
            <w:vAlign w:val="bottom"/>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z</w:t>
            </w:r>
          </w:p>
        </w:tc>
        <w:tc>
          <w:tcPr>
            <w:tcW w:w="1584" w:type="dxa"/>
            <w:tcBorders>
              <w:bottom w:val="single" w:sz="6" w:space="0" w:color="000000"/>
            </w:tcBorders>
            <w:vAlign w:val="bottom"/>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p</w:t>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 xml:space="preserve">ACI </w:t>
            </w:r>
            <w:r>
              <w:rPr>
                <w:rFonts w:eastAsia="Aptos" w:cs="" w:ascii="Aptos" w:hAnsi="Aptos"/>
                <w:kern w:val="0"/>
                <w:sz w:val="24"/>
                <w:szCs w:val="24"/>
                <w:lang w:val="en-US" w:eastAsia="en-US" w:bidi="ar-SA"/>
              </w:rPr>
            </w:r>
            <m:oMath xmlns:m="http://schemas.openxmlformats.org/officeDocument/2006/math">
              <m:r>
                <w:rPr>
                  <w:rFonts w:ascii="Cambria Math" w:hAnsi="Cambria Math"/>
                </w:rPr>
                <m:t xml:space="preserve">→</m:t>
              </m:r>
            </m:oMath>
            <w:r>
              <w:rPr>
                <w:rFonts w:eastAsia="Aptos" w:cs="" w:ascii="Aptos" w:hAnsi="Aptos"/>
                <w:kern w:val="0"/>
                <w:sz w:val="24"/>
                <w:szCs w:val="24"/>
                <w:lang w:val="en-US" w:eastAsia="en-US" w:bidi="ar-SA"/>
              </w:rPr>
              <w:t xml:space="preserve"> FRI (a)</w:t>
            </w:r>
          </w:p>
        </w:tc>
        <w:tc>
          <w:tcPr>
            <w:tcW w:w="158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0.116</w:t>
            </w:r>
          </w:p>
        </w:tc>
        <w:tc>
          <w:tcPr>
            <w:tcW w:w="158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0.152</w:t>
            </w:r>
          </w:p>
        </w:tc>
        <w:tc>
          <w:tcPr>
            <w:tcW w:w="158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0.76</w:t>
            </w:r>
          </w:p>
        </w:tc>
        <w:tc>
          <w:tcPr>
            <w:tcW w:w="158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0.447</w:t>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 xml:space="preserve">FRI </w:t>
            </w:r>
            <w:r>
              <w:rPr>
                <w:rFonts w:eastAsia="Aptos" w:cs="" w:ascii="Aptos" w:hAnsi="Aptos"/>
                <w:kern w:val="0"/>
                <w:sz w:val="24"/>
                <w:szCs w:val="24"/>
                <w:lang w:val="en-US" w:eastAsia="en-US" w:bidi="ar-SA"/>
              </w:rPr>
            </w:r>
            <m:oMath xmlns:m="http://schemas.openxmlformats.org/officeDocument/2006/math">
              <m:r>
                <w:rPr>
                  <w:rFonts w:ascii="Cambria Math" w:hAnsi="Cambria Math"/>
                </w:rPr>
                <m:t xml:space="preserve">→</m:t>
              </m:r>
            </m:oMath>
            <w:r>
              <w:rPr>
                <w:rFonts w:eastAsia="Aptos" w:cs="" w:ascii="Aptos" w:hAnsi="Aptos"/>
                <w:kern w:val="0"/>
                <w:sz w:val="24"/>
                <w:szCs w:val="24"/>
                <w:lang w:val="en-US" w:eastAsia="en-US" w:bidi="ar-SA"/>
              </w:rPr>
              <w:t xml:space="preserve"> NPL (b)</w:t>
            </w:r>
          </w:p>
        </w:tc>
        <w:tc>
          <w:tcPr>
            <w:tcW w:w="158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9.853</w:t>
            </w:r>
          </w:p>
        </w:tc>
        <w:tc>
          <w:tcPr>
            <w:tcW w:w="158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13.883</w:t>
            </w:r>
          </w:p>
        </w:tc>
        <w:tc>
          <w:tcPr>
            <w:tcW w:w="158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0.71</w:t>
            </w:r>
          </w:p>
        </w:tc>
        <w:tc>
          <w:tcPr>
            <w:tcW w:w="158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0.478</w:t>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 xml:space="preserve">ACI </w:t>
            </w:r>
            <w:r>
              <w:rPr>
                <w:rFonts w:eastAsia="Aptos" w:cs="" w:ascii="Aptos" w:hAnsi="Aptos"/>
                <w:kern w:val="0"/>
                <w:sz w:val="24"/>
                <w:szCs w:val="24"/>
                <w:lang w:val="en-US" w:eastAsia="en-US" w:bidi="ar-SA"/>
              </w:rPr>
            </w:r>
            <m:oMath xmlns:m="http://schemas.openxmlformats.org/officeDocument/2006/math">
              <m:r>
                <w:rPr>
                  <w:rFonts w:ascii="Cambria Math" w:hAnsi="Cambria Math"/>
                </w:rPr>
                <m:t xml:space="preserve">→</m:t>
              </m:r>
            </m:oMath>
            <w:r>
              <w:rPr>
                <w:rFonts w:eastAsia="Aptos" w:cs="" w:ascii="Aptos" w:hAnsi="Aptos"/>
                <w:kern w:val="0"/>
                <w:sz w:val="24"/>
                <w:szCs w:val="24"/>
                <w:lang w:val="en-US" w:eastAsia="en-US" w:bidi="ar-SA"/>
              </w:rPr>
              <w:t xml:space="preserve"> NPL (c’)</w:t>
            </w:r>
          </w:p>
        </w:tc>
        <w:tc>
          <w:tcPr>
            <w:tcW w:w="158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-0.102</w:t>
            </w:r>
          </w:p>
        </w:tc>
        <w:tc>
          <w:tcPr>
            <w:tcW w:w="158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0.699</w:t>
            </w:r>
          </w:p>
        </w:tc>
        <w:tc>
          <w:tcPr>
            <w:tcW w:w="158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-0.15</w:t>
            </w:r>
          </w:p>
        </w:tc>
        <w:tc>
          <w:tcPr>
            <w:tcW w:w="158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0.884</w:t>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 xml:space="preserve">Indirect Effect (a </w:t>
            </w:r>
            <w:r>
              <w:rPr>
                <w:rFonts w:eastAsia="Aptos" w:cs="" w:ascii="Aptos" w:hAnsi="Aptos"/>
                <w:kern w:val="0"/>
                <w:sz w:val="24"/>
                <w:szCs w:val="24"/>
                <w:lang w:val="en-US" w:eastAsia="en-US" w:bidi="ar-SA"/>
              </w:rPr>
            </w:r>
            <m:oMath xmlns:m="http://schemas.openxmlformats.org/officeDocument/2006/math">
              <m:r>
                <w:rPr>
                  <w:rFonts w:ascii="Cambria Math" w:hAnsi="Cambria Math"/>
                </w:rPr>
                <m:t xml:space="preserve">×</m:t>
              </m:r>
            </m:oMath>
            <w:r>
              <w:rPr>
                <w:rFonts w:eastAsia="Aptos" w:cs="" w:ascii="Aptos" w:hAnsi="Aptos"/>
                <w:kern w:val="0"/>
                <w:sz w:val="24"/>
                <w:szCs w:val="24"/>
                <w:lang w:val="en-US" w:eastAsia="en-US" w:bidi="ar-SA"/>
              </w:rPr>
              <w:t xml:space="preserve"> b)</w:t>
            </w:r>
          </w:p>
        </w:tc>
        <w:tc>
          <w:tcPr>
            <w:tcW w:w="158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1.14</w:t>
            </w:r>
          </w:p>
        </w:tc>
        <w:tc>
          <w:tcPr>
            <w:tcW w:w="158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w:t>
            </w:r>
          </w:p>
        </w:tc>
        <w:tc>
          <w:tcPr>
            <w:tcW w:w="158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w:t>
            </w:r>
          </w:p>
        </w:tc>
        <w:tc>
          <w:tcPr>
            <w:tcW w:w="158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w:t>
            </w:r>
          </w:p>
        </w:tc>
      </w:tr>
    </w:tbl>
    <w:p>
      <w:pPr>
        <w:pStyle w:val="BodyText"/>
        <w:rPr/>
      </w:pPr>
      <w:r>
        <w:rPr/>
        <w:t xml:space="preserve">Notes: Estimates control for bank size and CAR. Bootstrapped with 5,000 resamples for indirect effect. </w:t>
      </w:r>
      <w:r>
        <w:rPr/>
      </w:r>
      <m:oMath xmlns:m="http://schemas.openxmlformats.org/officeDocument/2006/math">
        <m:r>
          <w:rPr>
            <w:rFonts w:ascii="Cambria Math" w:hAnsi="Cambria Math"/>
          </w:rPr>
          <m:t xml:space="preserve">N</m:t>
        </m:r>
        <m:r>
          <m:rPr>
            <m:lit/>
            <m:nor/>
          </m:rPr>
          <w:rPr>
            <w:rFonts w:ascii="Cambria Math" w:hAnsi="Cambria Math"/>
          </w:rPr>
          <m:t xml:space="preserve">=</m:t>
        </m:r>
        <m:r>
          <w:rPr>
            <w:rFonts w:ascii="Cambria Math" w:hAnsi="Cambria Math"/>
          </w:rPr>
          <m:t xml:space="preserve">233</m:t>
        </m:r>
      </m:oMath>
      <w:r>
        <w:rPr/>
        <w:t xml:space="preserve">. Model fit: </w:t>
      </w:r>
      <w:r>
        <w:rPr/>
      </w:r>
      <m:oMath xmlns:m="http://schemas.openxmlformats.org/officeDocument/2006/math">
        <m:sSup>
          <m:e>
            <m:r>
              <w:rPr>
                <w:rFonts w:ascii="Cambria Math" w:hAnsi="Cambria Math"/>
              </w:rPr>
              <m:t xml:space="preserve">χ</m:t>
            </m:r>
          </m:e>
          <m:sup>
            <m:r>
              <w:rPr>
                <w:rFonts w:ascii="Cambria Math" w:hAnsi="Cambria Math"/>
              </w:rPr>
              <m:t xml:space="preserve">2</m:t>
            </m:r>
          </m:sup>
        </m:sSup>
        <m:d>
          <m:dPr>
            <m:begChr m:val="("/>
            <m:endChr m:val=")"/>
          </m:dPr>
          <m:e>
            <m:r>
              <w:rPr>
                <w:rFonts w:ascii="Cambria Math" w:hAnsi="Cambria Math"/>
              </w:rPr>
              <m:t xml:space="preserve">149</m:t>
            </m:r>
          </m:e>
        </m:d>
        <m:r>
          <m:rPr>
            <m:lit/>
            <m:nor/>
          </m:rPr>
          <w:rPr>
            <w:rFonts w:ascii="Cambria Math" w:hAnsi="Cambria Math"/>
          </w:rPr>
          <m:t xml:space="preserve">=</m:t>
        </m:r>
        <m:r>
          <w:rPr>
            <w:rFonts w:ascii="Cambria Math" w:hAnsi="Cambria Math"/>
          </w:rPr>
          <m:t xml:space="preserve">286.4</m:t>
        </m:r>
      </m:oMath>
      <w:r>
        <w:rPr/>
        <w:t>, CFI = 0.93, RMSEA = 0.063.</w:t>
      </w:r>
    </w:p>
    <w:p>
      <w:pPr>
        <w:pStyle w:val="BodyText"/>
        <w:rPr/>
      </w:pPr>
      <w:r>
        <w:rPr/>
        <w:t>Defying agency-theoretic anticipations, the direct effect of ACI on NPL ratios (c’) is non-significant (</w:t>
      </w:r>
      <w:r>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m:t>
        </m:r>
        <m:r>
          <w:rPr>
            <w:rFonts w:ascii="Cambria Math" w:hAnsi="Cambria Math"/>
          </w:rPr>
          <m:t xml:space="preserve">0.102</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0.884</m:t>
        </m:r>
      </m:oMath>
      <w:r>
        <w:rPr/>
        <w:t>), implying a one-standard-deviation ACI increase yields an inconsequential 0.102 percentage-point NPL reduction—negligible relative to the sample mean of 4.6%. The indirect pathway through FRI similarly dissipates: the ACI-to-FRI link (a) is positive but insignificant (</w:t>
      </w:r>
      <w:r>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0.116</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0.447</m:t>
        </m:r>
      </m:oMath>
      <w:r>
        <w:rPr/>
        <w:t>), and the FRI-to-NPL path (b) lacks significance despite directional positivity (</w:t>
      </w:r>
      <w:r>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9.853</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0.478</m:t>
        </m:r>
      </m:oMath>
      <w:r>
        <w:rPr/>
        <w:t>). The bootstrapped indirect effect (1.14) spans a confidence interval encompassing zero [–18.2, 37.4], obviating mediation evidence.</w:t>
      </w:r>
    </w:p>
    <w:p>
      <w:pPr>
        <w:pStyle w:val="BodyText"/>
        <w:rPr/>
      </w:pPr>
      <w:r>
        <w:rPr/>
        <w:t>Robustness validations—encompassing summated composites for latents, net NPL as an alternative outcome, and expanded bootstraps (10,000 iterations)—replicate these nulls. Sensitivity probes, excluding outliers (NPL &gt; 10%) and incorporating supplementary controls (e.g., oil price volatility), yield no material alterations, affirming estimate stability. These null findings challenge agency theory’s emphasis on independence in emerging markets, where institutional voids may render formal structures ineffective, while stewardship theory’s intrinsic motivations appear unmediated by reporting integrity (Liu &amp; Anandarajan, 2019).</w:t>
      </w:r>
      <w:bookmarkEnd w:id="86"/>
      <w:bookmarkEnd w:id="88"/>
    </w:p>
    <w:p>
      <w:pPr>
        <w:pStyle w:val="Heading2"/>
        <w:rPr/>
      </w:pPr>
      <w:r>
        <w:rPr/>
        <w:t xml:space="preserve">4.3 </w:t>
      </w:r>
      <w:bookmarkStart w:id="89" w:name="X7adf514f3d5f6e185b64a5d90e2bd6ba4c47a7e"/>
      <w:r>
        <w:rPr/>
        <w:t>Findings for RQ3: Shift in Disclosure-NPL Linkage Pre- and Post-Reform</w:t>
      </w:r>
    </w:p>
    <w:p>
      <w:pPr>
        <w:pStyle w:val="FirstParagraph"/>
        <w:rPr/>
      </w:pPr>
      <w:r>
        <w:rPr/>
        <w:t xml:space="preserve">This section articulates the empirical results for RQ3: Does the linkage between corporate governance disclosure and NPL ratios shift from statistically insignificant pre-reform (2009–2014) to significantly negative post-reform (2016–2024), attributable to CBN mandates that enhance disclosure credibility through board tenure limits, </w:t>
      </w:r>
      <w:r>
        <w:rPr/>
      </w:r>
      <m:oMath xmlns:m="http://schemas.openxmlformats.org/officeDocument/2006/math">
        <m:r>
          <w:rPr>
            <w:rFonts w:ascii="Cambria Math" w:hAnsi="Cambria Math"/>
          </w:rPr>
          <m:t xml:space="preserve">≥</m:t>
        </m:r>
      </m:oMath>
      <w:r>
        <w:rPr/>
        <w:t>50% independent directors, and executive vetting? Utilising a difference-in-differences framework embedded in fixed-effects panel regressions, the analysis draws on longitudinal quantitative data from 10 Tier-1 Nigerian DMBs—Zenith, Guaranty Trust, Access, UBA, First Bank Holdings, Fidelity, Stanbic IBTC, FCMB, Union, and Sterling—covering 2009 to 2024, resulting in a balanced panel of 160 bank-year observations. This methodology isolates the reform-activated shift in the disclosure-NPL nexus, conceptualising the CBN’s 2014 Code and ensuing guidelines as a quasi-experimental intervention that invigorates institutional mechanisms for transparency (Pathan, 2009; Gaganis et al., 2018).</w:t>
      </w:r>
    </w:p>
    <w:p>
      <w:pPr>
        <w:pStyle w:val="BodyText"/>
        <w:rPr/>
      </w:pPr>
      <w:r>
        <w:rPr/>
        <w:t>The approach adheres to the pragmatist paradigm from Chapter 3, leveraging positivist precision via panel fixed-effects to control for bank-specific heterogeneity (</w:t>
      </w:r>
      <w:r>
        <w:rPr/>
      </w:r>
      <m:oMath xmlns:m="http://schemas.openxmlformats.org/officeDocument/2006/math">
        <m:sSub>
          <m:e>
            <m:r>
              <w:rPr>
                <w:rFonts w:ascii="Cambria Math" w:hAnsi="Cambria Math"/>
              </w:rPr>
              <m:t xml:space="preserve">α</m:t>
            </m:r>
          </m:e>
          <m:sub>
            <m:r>
              <w:rPr>
                <w:rFonts w:ascii="Cambria Math" w:hAnsi="Cambria Math"/>
              </w:rPr>
              <m:t xml:space="preserve">i</m:t>
            </m:r>
          </m:sub>
        </m:sSub>
      </m:oMath>
      <w:r>
        <w:rPr/>
        <w:t>) and time-invariant shocks through year fixed effects (</w:t>
      </w:r>
      <w:r>
        <w:rPr/>
      </w:r>
      <m:oMath xmlns:m="http://schemas.openxmlformats.org/officeDocument/2006/math">
        <m:sSub>
          <m:e>
            <m:r>
              <w:rPr>
                <w:rFonts w:ascii="Cambria Math" w:hAnsi="Cambria Math"/>
              </w:rPr>
              <m:t xml:space="preserve">δ</m:t>
            </m:r>
          </m:e>
          <m:sub>
            <m:r>
              <w:rPr>
                <w:rFonts w:ascii="Cambria Math" w:hAnsi="Cambria Math"/>
              </w:rPr>
              <m:t xml:space="preserve">t</m:t>
            </m:r>
          </m:sub>
        </m:sSub>
      </m:oMath>
      <w:r>
        <w:rPr/>
        <w:t xml:space="preserve">). Data encompass NPL ratios from CBN Financial Stability Reports, with governance indices manually extracted from annual reports and scored against the CBN 2014 Code. Variables include NPLR (NPL ratio as percentage of gross loans); CGDI (0–100 scale across 45 items on board composition, risk committees, audit, remuneration, and stakeholder engagement); PIND (0–100 scale with 30 implementation metrics like loan-monitoring and digital scoring); COMID (0–100 scale for regulatory adherence); and controls such as Log(Market Cap), Total Capital Adequacy Ratio (TCAR), ROA, Loan-to-GDP ratio, and CPI inflation. The post-reform indicator (Post2015) activates for years </w:t>
      </w:r>
      <w:r>
        <w:rPr/>
      </w:r>
      <m:oMath xmlns:m="http://schemas.openxmlformats.org/officeDocument/2006/math">
        <m:r>
          <w:rPr>
            <w:rFonts w:ascii="Cambria Math" w:hAnsi="Cambria Math"/>
          </w:rPr>
          <m:t xml:space="preserve">≥</m:t>
        </m:r>
      </m:oMath>
      <w:r>
        <w:rPr/>
        <w:t xml:space="preserve">2016, capturing mandates like tenure caps (up to 12 years), </w:t>
      </w:r>
      <w:r>
        <w:rPr/>
      </w:r>
      <m:oMath xmlns:m="http://schemas.openxmlformats.org/officeDocument/2006/math">
        <m:r>
          <w:rPr>
            <w:rFonts w:ascii="Cambria Math" w:hAnsi="Cambria Math"/>
          </w:rPr>
          <m:t xml:space="preserve">≥</m:t>
        </m:r>
      </m:oMath>
      <w:r>
        <w:rPr/>
        <w:t>50% independent directors, and executive vetting, which institutional theory views as antidotes to agency conflicts via credibility enhancement (Adegbite, 2014; Sanusi, 2014).</w:t>
      </w:r>
    </w:p>
    <w:p>
      <w:pPr>
        <w:pStyle w:val="BodyText"/>
        <w:rPr/>
      </w:pPr>
      <w:r>
        <w:rPr/>
        <w:t>Summary statistics (Table 4.3.1) highlight pronounced variability: NPLR averages 7.21% (SD = 6.83), cresting at 35.2% during post-2009 upheavals, while CGDI averages 85.4 (SD = 12.1), signalling untapped potential for disclosure refinement. These figures encapsulate Nigeria’s banking volatility, where governance reforms seek to curb default risks amplified by macroeconomic frailties like oil price swings and inflation.</w:t>
      </w:r>
    </w:p>
    <w:p>
      <w:pPr>
        <w:pStyle w:val="TableCaption"/>
        <w:rPr>
          <w:b/>
          <w:bCs/>
        </w:rPr>
      </w:pPr>
      <w:r>
        <w:rPr>
          <w:b/>
          <w:bCs/>
        </w:rPr>
        <w:t xml:space="preserve">Table </w:t>
      </w:r>
      <w:r>
        <w:rPr>
          <w:b/>
          <w:bCs/>
        </w:rPr>
        <w:t>4.5</w:t>
      </w:r>
      <w:r>
        <w:rPr>
          <w:b/>
          <w:bCs/>
        </w:rPr>
        <w:t xml:space="preserve"> </w:t>
      </w:r>
      <w:r>
        <w:rPr>
          <w:b/>
          <w:bCs/>
        </w:rPr>
        <w:t>Summary Statistics for Key Variables (2009–2024 Panel)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Variable</w:t>
            </w:r>
          </w:p>
        </w:tc>
        <w:tc>
          <w:tcPr>
            <w:tcW w:w="1584" w:type="dxa"/>
            <w:tcBorders>
              <w:bottom w:val="single" w:sz="6" w:space="0" w:color="000000"/>
            </w:tcBorders>
            <w:vAlign w:val="bottom"/>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Mean</w:t>
            </w:r>
          </w:p>
        </w:tc>
        <w:tc>
          <w:tcPr>
            <w:tcW w:w="1584" w:type="dxa"/>
            <w:tcBorders>
              <w:bottom w:val="single" w:sz="6" w:space="0" w:color="000000"/>
            </w:tcBorders>
            <w:vAlign w:val="bottom"/>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SD</w:t>
            </w:r>
          </w:p>
        </w:tc>
        <w:tc>
          <w:tcPr>
            <w:tcW w:w="1584" w:type="dxa"/>
            <w:tcBorders>
              <w:bottom w:val="single" w:sz="6" w:space="0" w:color="000000"/>
            </w:tcBorders>
            <w:vAlign w:val="bottom"/>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Min</w:t>
            </w:r>
          </w:p>
        </w:tc>
        <w:tc>
          <w:tcPr>
            <w:tcW w:w="1584" w:type="dxa"/>
            <w:tcBorders>
              <w:bottom w:val="single" w:sz="6" w:space="0" w:color="000000"/>
            </w:tcBorders>
            <w:vAlign w:val="bottom"/>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Max</w:t>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NPLR (%)</w:t>
            </w:r>
          </w:p>
        </w:tc>
        <w:tc>
          <w:tcPr>
            <w:tcW w:w="158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7.21</w:t>
            </w:r>
          </w:p>
        </w:tc>
        <w:tc>
          <w:tcPr>
            <w:tcW w:w="158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6.83</w:t>
            </w:r>
          </w:p>
        </w:tc>
        <w:tc>
          <w:tcPr>
            <w:tcW w:w="158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0.6</w:t>
            </w:r>
          </w:p>
        </w:tc>
        <w:tc>
          <w:tcPr>
            <w:tcW w:w="158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35.2</w:t>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CGDI</w:t>
            </w:r>
          </w:p>
        </w:tc>
        <w:tc>
          <w:tcPr>
            <w:tcW w:w="158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85.4</w:t>
            </w:r>
          </w:p>
        </w:tc>
        <w:tc>
          <w:tcPr>
            <w:tcW w:w="158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12.1</w:t>
            </w:r>
          </w:p>
        </w:tc>
        <w:tc>
          <w:tcPr>
            <w:tcW w:w="158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58</w:t>
            </w:r>
          </w:p>
        </w:tc>
        <w:tc>
          <w:tcPr>
            <w:tcW w:w="158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98</w:t>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PIND</w:t>
            </w:r>
          </w:p>
        </w:tc>
        <w:tc>
          <w:tcPr>
            <w:tcW w:w="158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75.2</w:t>
            </w:r>
          </w:p>
        </w:tc>
        <w:tc>
          <w:tcPr>
            <w:tcW w:w="158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10.3</w:t>
            </w:r>
          </w:p>
        </w:tc>
        <w:tc>
          <w:tcPr>
            <w:tcW w:w="158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58</w:t>
            </w:r>
          </w:p>
        </w:tc>
        <w:tc>
          <w:tcPr>
            <w:tcW w:w="158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93</w:t>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COMID</w:t>
            </w:r>
          </w:p>
        </w:tc>
        <w:tc>
          <w:tcPr>
            <w:tcW w:w="158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85.1</w:t>
            </w:r>
          </w:p>
        </w:tc>
        <w:tc>
          <w:tcPr>
            <w:tcW w:w="158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8.7</w:t>
            </w:r>
          </w:p>
        </w:tc>
        <w:tc>
          <w:tcPr>
            <w:tcW w:w="158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73</w:t>
            </w:r>
          </w:p>
        </w:tc>
        <w:tc>
          <w:tcPr>
            <w:tcW w:w="158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96</w:t>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Market Cap (bn)</w:t>
            </w:r>
          </w:p>
        </w:tc>
        <w:tc>
          <w:tcPr>
            <w:tcW w:w="158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512</w:t>
            </w:r>
          </w:p>
        </w:tc>
        <w:tc>
          <w:tcPr>
            <w:tcW w:w="158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428</w:t>
            </w:r>
          </w:p>
        </w:tc>
        <w:tc>
          <w:tcPr>
            <w:tcW w:w="158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80</w:t>
            </w:r>
          </w:p>
        </w:tc>
        <w:tc>
          <w:tcPr>
            <w:tcW w:w="158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2,330</w:t>
            </w:r>
          </w:p>
        </w:tc>
      </w:tr>
      <w:tr>
        <w:trPr/>
        <w:tc>
          <w:tcPr>
            <w:tcW w:w="15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TCAR (%)</w:t>
            </w:r>
          </w:p>
        </w:tc>
        <w:tc>
          <w:tcPr>
            <w:tcW w:w="158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19.8</w:t>
            </w:r>
          </w:p>
        </w:tc>
        <w:tc>
          <w:tcPr>
            <w:tcW w:w="158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2.1</w:t>
            </w:r>
          </w:p>
        </w:tc>
        <w:tc>
          <w:tcPr>
            <w:tcW w:w="158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15.8</w:t>
            </w:r>
          </w:p>
        </w:tc>
        <w:tc>
          <w:tcPr>
            <w:tcW w:w="1584"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24.5</w:t>
            </w:r>
          </w:p>
        </w:tc>
      </w:tr>
    </w:tbl>
    <w:p>
      <w:pPr>
        <w:pStyle w:val="BodyText"/>
        <w:rPr/>
      </w:pPr>
      <w:r>
        <w:rPr/>
        <w:t>Note: Based on 160 bank-year observations from 10 Tier-1 DMBs. Sources: CBN Financial Stability Reports, annual bank reports, and World Bank/IMF macroeconomic data.</w:t>
      </w:r>
    </w:p>
    <w:p>
      <w:pPr>
        <w:pStyle w:val="BodyText"/>
        <w:rPr/>
      </w:pPr>
      <w:r>
        <w:rPr/>
        <w:t>The primary model is formulated as:</w:t>
      </w:r>
    </w:p>
    <w:p>
      <w:pPr>
        <w:pStyle w:val="BodyText"/>
        <w:jc w:val="center"/>
        <w:rPr/>
      </w:pPr>
      <w:r>
        <w:rPr/>
      </w:r>
      <m:oMathPara xmlns:m="http://schemas.openxmlformats.org/officeDocument/2006/math">
        <m:oMathParaPr>
          <m:jc m:val="center"/>
        </m:oMathParaPr>
        <m:oMath>
          <m:sSub>
            <m:e>
              <m:r>
                <m:rPr>
                  <m:lit/>
                  <m:nor/>
                </m:rPr>
                <w:rPr>
                  <w:rFonts w:ascii="Cambria Math" w:hAnsi="Cambria Math"/>
                </w:rPr>
                <m:t xml:space="preserve">NPLR</m:t>
              </m:r>
            </m:e>
            <m:sub>
              <m:r>
                <w:rPr>
                  <w:rFonts w:ascii="Cambria Math" w:hAnsi="Cambria Math"/>
                </w:rPr>
                <m:t xml:space="preserve">i</m:t>
              </m:r>
              <m:r>
                <w:rPr>
                  <w:rFonts w:ascii="Cambria Math" w:hAnsi="Cambria Math"/>
                </w:rPr>
                <m:t xml:space="preserve">t</m:t>
              </m:r>
            </m:sub>
          </m:sSub>
          <m:r>
            <m:rPr>
              <m:lit/>
              <m:nor/>
            </m:rPr>
            <w:rPr>
              <w:rFonts w:ascii="Cambria Math" w:hAnsi="Cambria Math"/>
            </w:rPr>
            <m:t xml:space="preserve">=</m:t>
          </m:r>
          <m:sSub>
            <m:e>
              <m:r>
                <w:rPr>
                  <w:rFonts w:ascii="Cambria Math" w:hAnsi="Cambria Math"/>
                </w:rPr>
                <m:t xml:space="preserve">β</m:t>
              </m:r>
            </m:e>
            <m:sub>
              <m:r>
                <w:rPr>
                  <w:rFonts w:ascii="Cambria Math" w:hAnsi="Cambria Math"/>
                </w:rPr>
                <m:t xml:space="preserve">0</m:t>
              </m:r>
            </m:sub>
          </m:sSub>
          <m:r>
            <m:rPr>
              <m:lit/>
              <m:nor/>
            </m:rP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sSub>
            <m:e>
              <m:r>
                <m:rPr>
                  <m:lit/>
                  <m:nor/>
                </m:rPr>
                <w:rPr>
                  <w:rFonts w:ascii="Cambria Math" w:hAnsi="Cambria Math"/>
                </w:rPr>
                <m:t xml:space="preserve">CGDI</m:t>
              </m:r>
            </m:e>
            <m:sub>
              <m:r>
                <w:rPr>
                  <w:rFonts w:ascii="Cambria Math" w:hAnsi="Cambria Math"/>
                </w:rPr>
                <m:t xml:space="preserve">i</m:t>
              </m:r>
              <m:r>
                <w:rPr>
                  <w:rFonts w:ascii="Cambria Math" w:hAnsi="Cambria Math"/>
                </w:rPr>
                <m:t xml:space="preserve">t</m:t>
              </m:r>
            </m:sub>
          </m:sSub>
          <m:r>
            <m:rPr>
              <m:lit/>
              <m:nor/>
            </m:rP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d>
            <m:dPr>
              <m:begChr m:val="("/>
              <m:endChr m:val=")"/>
            </m:dPr>
            <m:e>
              <m:sSub>
                <m:e>
                  <m:r>
                    <m:rPr>
                      <m:lit/>
                      <m:nor/>
                    </m:rPr>
                    <w:rPr>
                      <w:rFonts w:ascii="Cambria Math" w:hAnsi="Cambria Math"/>
                    </w:rPr>
                    <m:t xml:space="preserve">CGDI</m:t>
                  </m:r>
                </m:e>
                <m:sub>
                  <m:r>
                    <w:rPr>
                      <w:rFonts w:ascii="Cambria Math" w:hAnsi="Cambria Math"/>
                    </w:rPr>
                    <m:t xml:space="preserve">i</m:t>
                  </m:r>
                  <m:r>
                    <w:rPr>
                      <w:rFonts w:ascii="Cambria Math" w:hAnsi="Cambria Math"/>
                    </w:rPr>
                    <m:t xml:space="preserve">t</m:t>
                  </m:r>
                </m:sub>
              </m:sSub>
              <m:r>
                <w:rPr>
                  <w:rFonts w:ascii="Cambria Math" w:hAnsi="Cambria Math"/>
                </w:rPr>
                <m:t xml:space="preserve">×</m:t>
              </m:r>
              <m:sSub>
                <m:e>
                  <m:r>
                    <m:rPr>
                      <m:lit/>
                      <m:nor/>
                    </m:rPr>
                    <w:rPr>
                      <w:rFonts w:ascii="Cambria Math" w:hAnsi="Cambria Math"/>
                    </w:rPr>
                    <m:t xml:space="preserve">Post2015</m:t>
                  </m:r>
                </m:e>
                <m:sub>
                  <m:r>
                    <w:rPr>
                      <w:rFonts w:ascii="Cambria Math" w:hAnsi="Cambria Math"/>
                    </w:rPr>
                    <m:t xml:space="preserve">t</m:t>
                  </m:r>
                </m:sub>
              </m:sSub>
            </m:e>
          </m:d>
          <m:r>
            <m:rPr>
              <m:lit/>
              <m:nor/>
            </m:rPr>
            <w:rPr>
              <w:rFonts w:ascii="Cambria Math" w:hAnsi="Cambria Math"/>
            </w:rPr>
            <m:t xml:space="preserve">+</m:t>
          </m:r>
          <m:sSub>
            <m:e>
              <m:r>
                <w:rPr>
                  <w:rFonts w:ascii="Cambria Math" w:hAnsi="Cambria Math"/>
                </w:rPr>
                <m:t xml:space="preserve">β</m:t>
              </m:r>
            </m:e>
            <m:sub>
              <m:r>
                <w:rPr>
                  <w:rFonts w:ascii="Cambria Math" w:hAnsi="Cambria Math"/>
                </w:rPr>
                <m:t xml:space="preserve">3</m:t>
              </m:r>
            </m:sub>
          </m:sSub>
          <m:sSub>
            <m:e>
              <m:r>
                <m:rPr>
                  <m:lit/>
                  <m:nor/>
                </m:rPr>
                <w:rPr>
                  <w:rFonts w:ascii="Cambria Math" w:hAnsi="Cambria Math"/>
                </w:rPr>
                <m:t xml:space="preserve">PIND</m:t>
              </m:r>
            </m:e>
            <m:sub>
              <m:r>
                <w:rPr>
                  <w:rFonts w:ascii="Cambria Math" w:hAnsi="Cambria Math"/>
                </w:rPr>
                <m:t xml:space="preserve">i</m:t>
              </m:r>
              <m:r>
                <w:rPr>
                  <w:rFonts w:ascii="Cambria Math" w:hAnsi="Cambria Math"/>
                </w:rPr>
                <m:t xml:space="preserve">t</m:t>
              </m:r>
            </m:sub>
          </m:sSub>
          <m:r>
            <m:rPr>
              <m:lit/>
              <m:nor/>
            </m:rPr>
            <w:rPr>
              <w:rFonts w:ascii="Cambria Math" w:hAnsi="Cambria Math"/>
            </w:rPr>
            <m:t xml:space="preserve">+</m:t>
          </m:r>
          <m:r>
            <w:rPr>
              <w:rFonts w:ascii="Cambria Math" w:hAnsi="Cambria Math"/>
            </w:rPr>
            <m:t xml:space="preserve">γ</m:t>
          </m:r>
          <m:r>
            <w:rPr>
              <w:rFonts w:ascii="Cambria Math" w:hAnsi="Cambria Math"/>
            </w:rPr>
            <m:t xml:space="preserve">′</m:t>
          </m:r>
          <m:sSub>
            <m:e>
              <m:r>
                <w:rPr>
                  <w:rFonts w:ascii="Cambria Math" w:hAnsi="Cambria Math"/>
                </w:rPr>
                <m:t xml:space="preserve">X</m:t>
              </m:r>
            </m:e>
            <m:sub>
              <m:r>
                <w:rPr>
                  <w:rFonts w:ascii="Cambria Math" w:hAnsi="Cambria Math"/>
                </w:rPr>
                <m:t xml:space="preserve">i</m:t>
              </m:r>
              <m:r>
                <w:rPr>
                  <w:rFonts w:ascii="Cambria Math" w:hAnsi="Cambria Math"/>
                </w:rPr>
                <m:t xml:space="preserve">t</m:t>
              </m:r>
            </m:sub>
          </m:sSub>
          <m:r>
            <m:rPr>
              <m:lit/>
              <m:nor/>
            </m:rPr>
            <w:rPr>
              <w:rFonts w:ascii="Cambria Math" w:hAnsi="Cambria Math"/>
            </w:rPr>
            <m:t xml:space="preserve">+</m:t>
          </m:r>
          <m:sSub>
            <m:e>
              <m:r>
                <w:rPr>
                  <w:rFonts w:ascii="Cambria Math" w:hAnsi="Cambria Math"/>
                </w:rPr>
                <m:t xml:space="preserve">α</m:t>
              </m:r>
            </m:e>
            <m:sub>
              <m:r>
                <w:rPr>
                  <w:rFonts w:ascii="Cambria Math" w:hAnsi="Cambria Math"/>
                </w:rPr>
                <m:t xml:space="preserve">i</m:t>
              </m:r>
            </m:sub>
          </m:sSub>
          <m:r>
            <m:rPr>
              <m:lit/>
              <m:nor/>
            </m:rPr>
            <w:rPr>
              <w:rFonts w:ascii="Cambria Math" w:hAnsi="Cambria Math"/>
            </w:rPr>
            <m:t xml:space="preserve">+</m:t>
          </m:r>
          <m:sSub>
            <m:e>
              <m:r>
                <w:rPr>
                  <w:rFonts w:ascii="Cambria Math" w:hAnsi="Cambria Math"/>
                </w:rPr>
                <m:t xml:space="preserve">δ</m:t>
              </m:r>
            </m:e>
            <m:sub>
              <m:r>
                <w:rPr>
                  <w:rFonts w:ascii="Cambria Math" w:hAnsi="Cambria Math"/>
                </w:rPr>
                <m:t xml:space="preserve">t</m:t>
              </m:r>
            </m:sub>
          </m:sSub>
          <m:r>
            <m:rPr>
              <m:lit/>
              <m:nor/>
            </m:rPr>
            <w:rPr>
              <w:rFonts w:ascii="Cambria Math" w:hAnsi="Cambria Math"/>
            </w:rPr>
            <m:t xml:space="preserve">+</m:t>
          </m:r>
          <m:sSub>
            <m:e>
              <m:r>
                <w:rPr>
                  <w:rFonts w:ascii="Cambria Math" w:hAnsi="Cambria Math"/>
                </w:rPr>
                <m:t xml:space="preserve">ϵ</m:t>
              </m:r>
            </m:e>
            <m:sub>
              <m:r>
                <w:rPr>
                  <w:rFonts w:ascii="Cambria Math" w:hAnsi="Cambria Math"/>
                </w:rPr>
                <m:t xml:space="preserve">i</m:t>
              </m:r>
              <m:r>
                <w:rPr>
                  <w:rFonts w:ascii="Cambria Math" w:hAnsi="Cambria Math"/>
                </w:rPr>
                <m:t xml:space="preserve">t</m:t>
              </m:r>
            </m:sub>
          </m:sSub>
        </m:oMath>
      </m:oMathPara>
    </w:p>
    <w:p>
      <w:pPr>
        <w:pStyle w:val="FirstParagraph"/>
        <w:rPr/>
      </w:pPr>
      <w:r>
        <w:rPr/>
        <w:t>with bank-clustered standard errors mitigating heteroskedasticity and autocorrelation. The interaction coefficient (</w:t>
      </w:r>
      <w:r>
        <w:rPr/>
      </w:r>
      <m:oMath xmlns:m="http://schemas.openxmlformats.org/officeDocument/2006/math">
        <m:sSub>
          <m:e>
            <m:r>
              <w:rPr>
                <w:rFonts w:ascii="Cambria Math" w:hAnsi="Cambria Math"/>
              </w:rPr>
              <m:t xml:space="preserve">β</m:t>
            </m:r>
          </m:e>
          <m:sub>
            <m:r>
              <w:rPr>
                <w:rFonts w:ascii="Cambria Math" w:hAnsi="Cambria Math"/>
              </w:rPr>
              <m:t xml:space="preserve">2</m:t>
            </m:r>
          </m:sub>
        </m:sSub>
      </m:oMath>
      <w:r>
        <w:rPr/>
        <w:t>) captures the post-reform modulation, predicated on the exogenous reform chronology, akin to institutional activations in developing economies (Olojede et al., 2020; OECD, 2023).</w:t>
      </w:r>
    </w:p>
    <w:p>
      <w:pPr>
        <w:pStyle w:val="BodyText"/>
        <w:rPr/>
      </w:pPr>
      <w:r>
        <w:rPr/>
        <w:t>Baseline estimates (Table 4.3.2) corroborate the anticipated shift. In Column (1), the pre-reform CGDI effect is insignificant (</w:t>
      </w:r>
      <w:r>
        <w:rPr/>
      </w:r>
      <m:oMath xmlns:m="http://schemas.openxmlformats.org/officeDocument/2006/math">
        <m:sSub>
          <m:e>
            <m:r>
              <w:rPr>
                <w:rFonts w:ascii="Cambria Math" w:hAnsi="Cambria Math"/>
              </w:rPr>
              <m:t xml:space="preserve">β</m:t>
            </m:r>
          </m:e>
          <m:sub>
            <m:r>
              <w:rPr>
                <w:rFonts w:ascii="Cambria Math" w:hAnsi="Cambria Math"/>
              </w:rPr>
              <m:t xml:space="preserve">1</m:t>
            </m:r>
          </m:sub>
        </m:sSub>
        <m:r>
          <m:rPr>
            <m:lit/>
            <m:nor/>
          </m:rPr>
          <w:rPr>
            <w:rFonts w:ascii="Cambria Math" w:hAnsi="Cambria Math"/>
          </w:rPr>
          <m:t xml:space="preserve">=</m:t>
        </m:r>
        <m:r>
          <w:rPr>
            <w:rFonts w:ascii="Cambria Math" w:hAnsi="Cambria Math"/>
          </w:rPr>
          <m:t xml:space="preserve">0.046</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0.535</m:t>
        </m:r>
      </m:oMath>
      <w:r>
        <w:rPr/>
        <w:t>), emblematic of pre-2014 “box-ticking” disclosures undermined by agency issues like insider lending and risk opacity (Sanusi, 2009). The interaction is markedly negative (</w:t>
      </w:r>
      <w:r>
        <w:rPr/>
      </w:r>
      <m:oMath xmlns:m="http://schemas.openxmlformats.org/officeDocument/2006/math">
        <m:sSub>
          <m:e>
            <m:r>
              <w:rPr>
                <w:rFonts w:ascii="Cambria Math" w:hAnsi="Cambria Math"/>
              </w:rPr>
              <m:t xml:space="preserve">β</m:t>
            </m:r>
          </m:e>
          <m:sub>
            <m:r>
              <w:rPr>
                <w:rFonts w:ascii="Cambria Math" w:hAnsi="Cambria Math"/>
              </w:rPr>
              <m:t xml:space="preserve">2</m:t>
            </m:r>
          </m:sub>
        </m:sSub>
        <m:r>
          <m:rPr>
            <m:lit/>
            <m:nor/>
          </m:rPr>
          <w:rPr>
            <w:rFonts w:ascii="Cambria Math" w:hAnsi="Cambria Math"/>
          </w:rPr>
          <m:t xml:space="preserve">=</m:t>
        </m:r>
        <m:r>
          <w:rPr>
            <w:rFonts w:ascii="Cambria Math" w:hAnsi="Cambria Math"/>
          </w:rPr>
          <m:t xml:space="preserve">−</m:t>
        </m:r>
        <m:r>
          <w:rPr>
            <w:rFonts w:ascii="Cambria Math" w:hAnsi="Cambria Math"/>
          </w:rPr>
          <m:t xml:space="preserve">0.259</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0.010</m:t>
        </m:r>
      </m:oMath>
      <w:r>
        <w:rPr/>
        <w:t>), producing a post-reform net effect of -0.213. Thus, a 10-point CGDI increment post-reform abates NPLR by 2.1 percentage points, roughly 30% of the sample mean (7.21%). Column (2) integrates additional indices, underscoring PIND’s pronounced negative influence (</w:t>
      </w:r>
      <w:r>
        <w:rPr/>
      </w:r>
      <m:oMath xmlns:m="http://schemas.openxmlformats.org/officeDocument/2006/math">
        <m:sSub>
          <m:e>
            <m:r>
              <w:rPr>
                <w:rFonts w:ascii="Cambria Math" w:hAnsi="Cambria Math"/>
              </w:rPr>
              <m:t xml:space="preserve">β</m:t>
            </m:r>
          </m:e>
          <m:sub>
            <m:r>
              <w:rPr>
                <w:rFonts w:ascii="Cambria Math" w:hAnsi="Cambria Math"/>
              </w:rPr>
              <m:t xml:space="preserve">3</m:t>
            </m:r>
          </m:sub>
        </m:sSub>
        <m:r>
          <m:rPr>
            <m:lit/>
            <m:nor/>
          </m:rPr>
          <w:rPr>
            <w:rFonts w:ascii="Cambria Math" w:hAnsi="Cambria Math"/>
          </w:rPr>
          <m:t xml:space="preserve">=</m:t>
        </m:r>
        <m:r>
          <w:rPr>
            <w:rFonts w:ascii="Cambria Math" w:hAnsi="Cambria Math"/>
          </w:rPr>
          <m:t xml:space="preserve">−</m:t>
        </m:r>
        <m:r>
          <w:rPr>
            <w:rFonts w:ascii="Cambria Math" w:hAnsi="Cambria Math"/>
          </w:rPr>
          <m:t xml:space="preserve">0.582</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0.001</m:t>
        </m:r>
      </m:oMath>
      <w:r>
        <w:rPr/>
        <w:t>), implying practice complements disclosure in default mitigation, while COMID proves inert (</w:t>
      </w:r>
      <w:r>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0.258</m:t>
        </m:r>
      </m:oMath>
      <w:r>
        <w:rPr/>
        <w:t>), revealing compliance’s constrained utility without rigorous enforcement. Controls conform to expectations: elevated market capitalisation (</w:t>
      </w:r>
      <w:r>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0.003</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0.05</m:t>
        </m:r>
      </m:oMath>
      <w:r>
        <w:rPr/>
        <w:t>) associates with heightened NPLs, possibly from aggressive expansion, whereas TCAR mitigates risks (</w:t>
      </w:r>
      <w:r>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m:t>
        </m:r>
        <m:r>
          <w:rPr>
            <w:rFonts w:ascii="Cambria Math" w:hAnsi="Cambria Math"/>
          </w:rPr>
          <m:t xml:space="preserve">0.235</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0.05</m:t>
        </m:r>
      </m:oMath>
      <w:r>
        <w:rPr/>
        <w:t>), echoing Basel III imperatives (BCBS, 2010).</w:t>
      </w:r>
    </w:p>
    <w:p>
      <w:pPr>
        <w:pStyle w:val="TableCaption"/>
        <w:rPr/>
      </w:pPr>
      <w:r>
        <w:rPr>
          <w:b/>
          <w:bCs/>
        </w:rPr>
        <w:t xml:space="preserve">Table </w:t>
      </w:r>
      <w:r>
        <w:rPr>
          <w:b/>
          <w:bCs/>
        </w:rPr>
        <w:t>4.6</w:t>
      </w:r>
      <w:r>
        <w:rPr>
          <w:b/>
          <w:bCs/>
        </w:rPr>
        <w:t xml:space="preserve"> </w:t>
      </w:r>
      <w:r>
        <w:rPr>
          <w:b/>
          <w:bCs/>
        </w:rPr>
        <w:t>Fixed-Effects Panel Regression Estimates for RQ3</w:t>
      </w:r>
    </w:p>
    <w:tbl>
      <w:tblPr>
        <w:tblW w:w="9450" w:type="dxa"/>
        <w:jc w:val="left"/>
        <w:tblInd w:w="28" w:type="dxa"/>
        <w:tblLayout w:type="fixed"/>
        <w:tblCellMar>
          <w:top w:w="28" w:type="dxa"/>
          <w:left w:w="28" w:type="dxa"/>
          <w:bottom w:w="28" w:type="dxa"/>
          <w:right w:w="28" w:type="dxa"/>
        </w:tblCellMar>
      </w:tblPr>
      <w:tblGrid>
        <w:gridCol w:w="2973"/>
        <w:gridCol w:w="3232"/>
        <w:gridCol w:w="3245"/>
      </w:tblGrid>
      <w:tr>
        <w:trPr>
          <w:tblHeader w:val="true"/>
        </w:trPr>
        <w:tc>
          <w:tcPr>
            <w:tcW w:w="2973" w:type="dxa"/>
            <w:tcBorders/>
            <w:vAlign w:val="center"/>
          </w:tcPr>
          <w:p>
            <w:pPr>
              <w:pStyle w:val="TableHeading"/>
              <w:rPr/>
            </w:pPr>
            <w:r>
              <w:rPr>
                <w:rStyle w:val="Strong"/>
                <w:b/>
                <w:bCs/>
              </w:rPr>
              <w:t>Variable</w:t>
            </w:r>
          </w:p>
        </w:tc>
        <w:tc>
          <w:tcPr>
            <w:tcW w:w="3232" w:type="dxa"/>
            <w:tcBorders/>
            <w:vAlign w:val="center"/>
          </w:tcPr>
          <w:p>
            <w:pPr>
              <w:pStyle w:val="TableHeading"/>
              <w:rPr/>
            </w:pPr>
            <w:r>
              <w:rPr>
                <w:rStyle w:val="Strong"/>
                <w:b/>
                <w:bCs/>
              </w:rPr>
              <w:t>(1)</w:t>
            </w:r>
          </w:p>
        </w:tc>
        <w:tc>
          <w:tcPr>
            <w:tcW w:w="3245" w:type="dxa"/>
            <w:tcBorders/>
            <w:vAlign w:val="center"/>
          </w:tcPr>
          <w:p>
            <w:pPr>
              <w:pStyle w:val="TableHeading"/>
              <w:rPr/>
            </w:pPr>
            <w:r>
              <w:rPr>
                <w:rStyle w:val="Strong"/>
                <w:b/>
                <w:bCs/>
              </w:rPr>
              <w:t>(2)</w:t>
            </w:r>
          </w:p>
        </w:tc>
      </w:tr>
      <w:tr>
        <w:trPr/>
        <w:tc>
          <w:tcPr>
            <w:tcW w:w="2973" w:type="dxa"/>
            <w:tcBorders/>
            <w:vAlign w:val="center"/>
          </w:tcPr>
          <w:p>
            <w:pPr>
              <w:pStyle w:val="TableContents"/>
              <w:rPr/>
            </w:pPr>
            <w:r>
              <w:rPr>
                <w:rStyle w:val="Strong"/>
              </w:rPr>
              <w:t>CGDI</w:t>
            </w:r>
          </w:p>
        </w:tc>
        <w:tc>
          <w:tcPr>
            <w:tcW w:w="3232" w:type="dxa"/>
            <w:tcBorders/>
            <w:vAlign w:val="center"/>
          </w:tcPr>
          <w:p>
            <w:pPr>
              <w:pStyle w:val="TableContents"/>
              <w:rPr/>
            </w:pPr>
            <w:r>
              <w:rPr/>
              <w:t>0.046 (0.074)</w:t>
            </w:r>
          </w:p>
        </w:tc>
        <w:tc>
          <w:tcPr>
            <w:tcW w:w="3245" w:type="dxa"/>
            <w:tcBorders/>
            <w:vAlign w:val="center"/>
          </w:tcPr>
          <w:p>
            <w:pPr>
              <w:pStyle w:val="TableContents"/>
              <w:rPr/>
            </w:pPr>
            <w:r>
              <w:rPr/>
              <w:t>0.042 (0.072)</w:t>
            </w:r>
          </w:p>
        </w:tc>
      </w:tr>
      <w:tr>
        <w:trPr/>
        <w:tc>
          <w:tcPr>
            <w:tcW w:w="2973" w:type="dxa"/>
            <w:tcBorders/>
            <w:vAlign w:val="center"/>
          </w:tcPr>
          <w:p>
            <w:pPr>
              <w:pStyle w:val="TableContents"/>
              <w:rPr/>
            </w:pPr>
            <w:r>
              <w:rPr>
                <w:rStyle w:val="Strong"/>
              </w:rPr>
              <w:t>CGDI × Post2015</w:t>
            </w:r>
          </w:p>
        </w:tc>
        <w:tc>
          <w:tcPr>
            <w:tcW w:w="3232" w:type="dxa"/>
            <w:tcBorders/>
            <w:vAlign w:val="center"/>
          </w:tcPr>
          <w:p>
            <w:pPr>
              <w:pStyle w:val="TableContents"/>
              <w:rPr/>
            </w:pPr>
            <w:r>
              <w:rPr/>
              <w:t>−</w:t>
            </w:r>
            <w:r>
              <w:rPr/>
              <w:t>0.259*** (0.099)</w:t>
            </w:r>
          </w:p>
        </w:tc>
        <w:tc>
          <w:tcPr>
            <w:tcW w:w="3245" w:type="dxa"/>
            <w:tcBorders/>
            <w:vAlign w:val="center"/>
          </w:tcPr>
          <w:p>
            <w:pPr>
              <w:pStyle w:val="TableContents"/>
              <w:rPr/>
            </w:pPr>
            <w:r>
              <w:rPr/>
              <w:t>−</w:t>
            </w:r>
            <w:r>
              <w:rPr/>
              <w:t>0.261*** (0.098)</w:t>
            </w:r>
          </w:p>
        </w:tc>
      </w:tr>
      <w:tr>
        <w:trPr/>
        <w:tc>
          <w:tcPr>
            <w:tcW w:w="2973" w:type="dxa"/>
            <w:tcBorders/>
            <w:vAlign w:val="center"/>
          </w:tcPr>
          <w:p>
            <w:pPr>
              <w:pStyle w:val="TableContents"/>
              <w:rPr/>
            </w:pPr>
            <w:r>
              <w:rPr>
                <w:rStyle w:val="Strong"/>
              </w:rPr>
              <w:t>PIND</w:t>
            </w:r>
          </w:p>
        </w:tc>
        <w:tc>
          <w:tcPr>
            <w:tcW w:w="3232" w:type="dxa"/>
            <w:tcBorders/>
            <w:vAlign w:val="center"/>
          </w:tcPr>
          <w:p>
            <w:pPr>
              <w:pStyle w:val="TableContents"/>
              <w:rPr/>
            </w:pPr>
            <w:r>
              <w:rPr/>
              <w:t>−</w:t>
            </w:r>
            <w:r>
              <w:rPr/>
              <w:t>0.582*** (0.149)</w:t>
            </w:r>
          </w:p>
        </w:tc>
        <w:tc>
          <w:tcPr>
            <w:tcW w:w="3245" w:type="dxa"/>
            <w:tcBorders/>
            <w:vAlign w:val="center"/>
          </w:tcPr>
          <w:p>
            <w:pPr>
              <w:pStyle w:val="TableContents"/>
              <w:rPr/>
            </w:pPr>
            <w:r>
              <w:rPr/>
              <w:t>—</w:t>
            </w:r>
          </w:p>
        </w:tc>
      </w:tr>
      <w:tr>
        <w:trPr/>
        <w:tc>
          <w:tcPr>
            <w:tcW w:w="2973" w:type="dxa"/>
            <w:tcBorders/>
            <w:vAlign w:val="center"/>
          </w:tcPr>
          <w:p>
            <w:pPr>
              <w:pStyle w:val="TableContents"/>
              <w:rPr/>
            </w:pPr>
            <w:r>
              <w:rPr>
                <w:rStyle w:val="Strong"/>
              </w:rPr>
              <w:t>COMID</w:t>
            </w:r>
          </w:p>
        </w:tc>
        <w:tc>
          <w:tcPr>
            <w:tcW w:w="3232" w:type="dxa"/>
            <w:tcBorders/>
            <w:vAlign w:val="center"/>
          </w:tcPr>
          <w:p>
            <w:pPr>
              <w:pStyle w:val="TableContents"/>
              <w:rPr/>
            </w:pPr>
            <w:r>
              <w:rPr/>
              <w:t>—</w:t>
            </w:r>
          </w:p>
        </w:tc>
        <w:tc>
          <w:tcPr>
            <w:tcW w:w="3245" w:type="dxa"/>
            <w:tcBorders/>
            <w:vAlign w:val="center"/>
          </w:tcPr>
          <w:p>
            <w:pPr>
              <w:pStyle w:val="TableContents"/>
              <w:rPr/>
            </w:pPr>
            <w:r>
              <w:rPr/>
              <w:t>0.175 (0.154)</w:t>
            </w:r>
          </w:p>
        </w:tc>
      </w:tr>
      <w:tr>
        <w:trPr/>
        <w:tc>
          <w:tcPr>
            <w:tcW w:w="2973" w:type="dxa"/>
            <w:tcBorders/>
            <w:vAlign w:val="center"/>
          </w:tcPr>
          <w:p>
            <w:pPr>
              <w:pStyle w:val="TableContents"/>
              <w:rPr/>
            </w:pPr>
            <w:r>
              <w:rPr>
                <w:rStyle w:val="Strong"/>
              </w:rPr>
              <w:t>Market Cap</w:t>
            </w:r>
          </w:p>
        </w:tc>
        <w:tc>
          <w:tcPr>
            <w:tcW w:w="3232" w:type="dxa"/>
            <w:tcBorders/>
            <w:vAlign w:val="center"/>
          </w:tcPr>
          <w:p>
            <w:pPr>
              <w:pStyle w:val="TableContents"/>
              <w:rPr/>
            </w:pPr>
            <w:r>
              <w:rPr/>
              <w:t>0.003*** (0.001)</w:t>
            </w:r>
          </w:p>
        </w:tc>
        <w:tc>
          <w:tcPr>
            <w:tcW w:w="3245" w:type="dxa"/>
            <w:tcBorders/>
            <w:vAlign w:val="center"/>
          </w:tcPr>
          <w:p>
            <w:pPr>
              <w:pStyle w:val="TableContents"/>
              <w:rPr/>
            </w:pPr>
            <w:r>
              <w:rPr/>
              <w:t>0.003*** (0.001)</w:t>
            </w:r>
          </w:p>
        </w:tc>
      </w:tr>
      <w:tr>
        <w:trPr/>
        <w:tc>
          <w:tcPr>
            <w:tcW w:w="2973" w:type="dxa"/>
            <w:tcBorders/>
            <w:vAlign w:val="center"/>
          </w:tcPr>
          <w:p>
            <w:pPr>
              <w:pStyle w:val="TableContents"/>
              <w:rPr/>
            </w:pPr>
            <w:r>
              <w:rPr>
                <w:rStyle w:val="Strong"/>
              </w:rPr>
              <w:t>TCAR</w:t>
            </w:r>
          </w:p>
        </w:tc>
        <w:tc>
          <w:tcPr>
            <w:tcW w:w="3232" w:type="dxa"/>
            <w:tcBorders/>
            <w:vAlign w:val="center"/>
          </w:tcPr>
          <w:p>
            <w:pPr>
              <w:pStyle w:val="TableContents"/>
              <w:rPr/>
            </w:pPr>
            <w:r>
              <w:rPr/>
              <w:t>−</w:t>
            </w:r>
            <w:r>
              <w:rPr/>
              <w:t>0.232** (0.093)</w:t>
            </w:r>
          </w:p>
        </w:tc>
        <w:tc>
          <w:tcPr>
            <w:tcW w:w="3245" w:type="dxa"/>
            <w:tcBorders/>
            <w:vAlign w:val="center"/>
          </w:tcPr>
          <w:p>
            <w:pPr>
              <w:pStyle w:val="TableContents"/>
              <w:rPr/>
            </w:pPr>
            <w:r>
              <w:rPr/>
              <w:t>−</w:t>
            </w:r>
            <w:r>
              <w:rPr/>
              <w:t>0.235** (0.092)</w:t>
            </w:r>
          </w:p>
        </w:tc>
      </w:tr>
      <w:tr>
        <w:trPr/>
        <w:tc>
          <w:tcPr>
            <w:tcW w:w="2973" w:type="dxa"/>
            <w:tcBorders/>
            <w:vAlign w:val="center"/>
          </w:tcPr>
          <w:p>
            <w:pPr>
              <w:pStyle w:val="TableContents"/>
              <w:rPr/>
            </w:pPr>
            <w:r>
              <w:rPr>
                <w:rStyle w:val="Strong"/>
              </w:rPr>
              <w:t>Observations</w:t>
            </w:r>
          </w:p>
        </w:tc>
        <w:tc>
          <w:tcPr>
            <w:tcW w:w="3232" w:type="dxa"/>
            <w:tcBorders/>
            <w:vAlign w:val="center"/>
          </w:tcPr>
          <w:p>
            <w:pPr>
              <w:pStyle w:val="TableContents"/>
              <w:rPr/>
            </w:pPr>
            <w:r>
              <w:rPr/>
              <w:t>160</w:t>
            </w:r>
          </w:p>
        </w:tc>
        <w:tc>
          <w:tcPr>
            <w:tcW w:w="3245" w:type="dxa"/>
            <w:tcBorders/>
            <w:vAlign w:val="center"/>
          </w:tcPr>
          <w:p>
            <w:pPr>
              <w:pStyle w:val="TableContents"/>
              <w:rPr/>
            </w:pPr>
            <w:r>
              <w:rPr/>
              <w:t>160</w:t>
            </w:r>
          </w:p>
        </w:tc>
      </w:tr>
      <w:tr>
        <w:trPr/>
        <w:tc>
          <w:tcPr>
            <w:tcW w:w="2973" w:type="dxa"/>
            <w:tcBorders/>
            <w:vAlign w:val="center"/>
          </w:tcPr>
          <w:p>
            <w:pPr>
              <w:pStyle w:val="TableContents"/>
              <w:rPr/>
            </w:pPr>
            <w:r>
              <w:rPr>
                <w:rStyle w:val="Strong"/>
              </w:rPr>
              <w:t>Within R²</w:t>
            </w:r>
          </w:p>
        </w:tc>
        <w:tc>
          <w:tcPr>
            <w:tcW w:w="3232" w:type="dxa"/>
            <w:tcBorders/>
            <w:vAlign w:val="center"/>
          </w:tcPr>
          <w:p>
            <w:pPr>
              <w:pStyle w:val="TableContents"/>
              <w:rPr/>
            </w:pPr>
            <w:r>
              <w:rPr/>
              <w:t>0.341</w:t>
            </w:r>
          </w:p>
        </w:tc>
        <w:tc>
          <w:tcPr>
            <w:tcW w:w="3245" w:type="dxa"/>
            <w:tcBorders/>
            <w:vAlign w:val="center"/>
          </w:tcPr>
          <w:p>
            <w:pPr>
              <w:pStyle w:val="TableContents"/>
              <w:rPr/>
            </w:pPr>
            <w:r>
              <w:rPr/>
              <w:t>0.339</w:t>
            </w:r>
          </w:p>
        </w:tc>
      </w:tr>
      <w:tr>
        <w:trPr/>
        <w:tc>
          <w:tcPr>
            <w:tcW w:w="2973" w:type="dxa"/>
            <w:tcBorders/>
            <w:vAlign w:val="center"/>
          </w:tcPr>
          <w:p>
            <w:pPr>
              <w:pStyle w:val="TableContents"/>
              <w:rPr/>
            </w:pPr>
            <w:r>
              <w:rPr>
                <w:rStyle w:val="Strong"/>
              </w:rPr>
              <w:t>Bank FE</w:t>
            </w:r>
          </w:p>
        </w:tc>
        <w:tc>
          <w:tcPr>
            <w:tcW w:w="3232" w:type="dxa"/>
            <w:tcBorders/>
            <w:vAlign w:val="center"/>
          </w:tcPr>
          <w:p>
            <w:pPr>
              <w:pStyle w:val="TableContents"/>
              <w:rPr/>
            </w:pPr>
            <w:r>
              <w:rPr/>
              <w:t>Yes</w:t>
            </w:r>
          </w:p>
        </w:tc>
        <w:tc>
          <w:tcPr>
            <w:tcW w:w="3245" w:type="dxa"/>
            <w:tcBorders/>
            <w:vAlign w:val="center"/>
          </w:tcPr>
          <w:p>
            <w:pPr>
              <w:pStyle w:val="TableContents"/>
              <w:rPr/>
            </w:pPr>
            <w:r>
              <w:rPr/>
              <w:t>Yes</w:t>
            </w:r>
          </w:p>
        </w:tc>
      </w:tr>
      <w:tr>
        <w:trPr/>
        <w:tc>
          <w:tcPr>
            <w:tcW w:w="2973" w:type="dxa"/>
            <w:tcBorders/>
            <w:vAlign w:val="center"/>
          </w:tcPr>
          <w:p>
            <w:pPr>
              <w:pStyle w:val="TableContents"/>
              <w:rPr/>
            </w:pPr>
            <w:r>
              <w:rPr>
                <w:rStyle w:val="Strong"/>
              </w:rPr>
              <w:t>Year FE</w:t>
            </w:r>
          </w:p>
        </w:tc>
        <w:tc>
          <w:tcPr>
            <w:tcW w:w="3232" w:type="dxa"/>
            <w:tcBorders/>
            <w:vAlign w:val="center"/>
          </w:tcPr>
          <w:p>
            <w:pPr>
              <w:pStyle w:val="TableContents"/>
              <w:rPr/>
            </w:pPr>
            <w:r>
              <w:rPr/>
              <w:t>Yes</w:t>
            </w:r>
          </w:p>
        </w:tc>
        <w:tc>
          <w:tcPr>
            <w:tcW w:w="3245" w:type="dxa"/>
            <w:tcBorders/>
            <w:vAlign w:val="center"/>
          </w:tcPr>
          <w:p>
            <w:pPr>
              <w:pStyle w:val="TableContents"/>
              <w:rPr/>
            </w:pPr>
            <w:r>
              <w:rPr/>
              <w:t>Yes</w:t>
            </w:r>
          </w:p>
        </w:tc>
      </w:tr>
    </w:tbl>
    <w:p>
      <w:pPr>
        <w:pStyle w:val="TableCaption"/>
        <w:rPr/>
      </w:pPr>
      <w:r>
        <w:rPr/>
        <w:t xml:space="preserve">Note: Standard errors (clustered by bank) in parentheses. </w:t>
      </w:r>
      <w:r>
        <w:rPr/>
      </w:r>
      <m:oMath xmlns:m="http://schemas.openxmlformats.org/officeDocument/2006/math">
        <m:sSup>
          <m:e/>
          <m:sup>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sup>
        </m:sSup>
        <m:r>
          <w:rPr>
            <w:rFonts w:ascii="Cambria Math" w:hAnsi="Cambria Math"/>
          </w:rPr>
          <m:t xml:space="preserve">p</m:t>
        </m:r>
        <m:r>
          <m:rPr>
            <m:lit/>
            <m:nor/>
          </m:rPr>
          <w:rPr>
            <w:rFonts w:ascii="Cambria Math" w:hAnsi="Cambria Math"/>
          </w:rPr>
          <m:t xml:space="preserve">&lt;</m:t>
        </m:r>
        <m:r>
          <w:rPr>
            <w:rFonts w:ascii="Cambria Math" w:hAnsi="Cambria Math"/>
          </w:rPr>
          <m:t xml:space="preserve">0.01</m:t>
        </m:r>
      </m:oMath>
      <w:r>
        <w:rPr/>
        <w:t xml:space="preserve">, </w:t>
      </w:r>
      <w:r>
        <w:rPr/>
      </w:r>
      <m:oMath xmlns:m="http://schemas.openxmlformats.org/officeDocument/2006/math">
        <m:sSup>
          <m:e/>
          <m:sup>
            <m:r>
              <m:rPr>
                <m:lit/>
                <m:nor/>
              </m:rPr>
              <w:rPr>
                <w:rFonts w:ascii="Cambria Math" w:hAnsi="Cambria Math"/>
              </w:rPr>
              <m:t xml:space="preserve">*</m:t>
            </m:r>
            <m:r>
              <m:rPr>
                <m:lit/>
                <m:nor/>
              </m:rPr>
              <w:rPr>
                <w:rFonts w:ascii="Cambria Math" w:hAnsi="Cambria Math"/>
              </w:rPr>
              <m:t xml:space="preserve">*</m:t>
            </m:r>
          </m:sup>
        </m:sSup>
        <m:r>
          <w:rPr>
            <w:rFonts w:ascii="Cambria Math" w:hAnsi="Cambria Math"/>
          </w:rPr>
          <m:t xml:space="preserve">p</m:t>
        </m:r>
        <m:r>
          <m:rPr>
            <m:lit/>
            <m:nor/>
          </m:rPr>
          <w:rPr>
            <w:rFonts w:ascii="Cambria Math" w:hAnsi="Cambria Math"/>
          </w:rPr>
          <m:t xml:space="preserve">&lt;</m:t>
        </m:r>
        <m:r>
          <w:rPr>
            <w:rFonts w:ascii="Cambria Math" w:hAnsi="Cambria Math"/>
          </w:rPr>
          <m:t xml:space="preserve">0.05</m:t>
        </m:r>
      </m:oMath>
      <w:r>
        <w:rPr/>
        <w:t xml:space="preserve">, </w:t>
      </w:r>
      <w:r>
        <w:rPr/>
      </w:r>
      <m:oMath xmlns:m="http://schemas.openxmlformats.org/officeDocument/2006/math">
        <m:sSup>
          <m:e/>
          <m:sup>
            <m:r>
              <m:rPr>
                <m:lit/>
                <m:nor/>
              </m:rPr>
              <w:rPr>
                <w:rFonts w:ascii="Cambria Math" w:hAnsi="Cambria Math"/>
              </w:rPr>
              <m:t xml:space="preserve">*</m:t>
            </m:r>
          </m:sup>
        </m:sSup>
        <m:r>
          <w:rPr>
            <w:rFonts w:ascii="Cambria Math" w:hAnsi="Cambria Math"/>
          </w:rPr>
          <m:t xml:space="preserve">p</m:t>
        </m:r>
        <m:r>
          <m:rPr>
            <m:lit/>
            <m:nor/>
          </m:rPr>
          <w:rPr>
            <w:rFonts w:ascii="Cambria Math" w:hAnsi="Cambria Math"/>
          </w:rPr>
          <m:t xml:space="preserve">&lt;</m:t>
        </m:r>
        <m:r>
          <w:rPr>
            <w:rFonts w:ascii="Cambria Math" w:hAnsi="Cambria Math"/>
          </w:rPr>
          <m:t xml:space="preserve">0.1</m:t>
        </m:r>
      </m:oMath>
      <w:r>
        <w:rPr/>
        <w:t>. Additional controls (ROA, Loan-to-GDP, CPI) included but not reported for brevity.</w:t>
      </w:r>
    </w:p>
    <w:p>
      <w:pPr>
        <w:pStyle w:val="BodyText"/>
        <w:rPr/>
      </w:pPr>
      <w:r>
        <w:rPr/>
        <w:t>Economically, the post-reform gradient indicates a one-standard-deviation CGDI rise (12.1 points) lowers NPLR by 2.58 percentage points, a 36% decrement from the pre-reform mean. This underscores disclosure’s institutional activation: pre-reform, signalling theory’s transparency-asymmetry reduction faltered amid agency entrenchments (Jensen &amp; Meckling, 1976). Post-reform, CBN mandates—tenure limits curbing inertia, independent directors nurturing stewardship, and vetting bolstering accountability—render disclosure substantive, tempering stewardship theory’s idealism by exposing contextual dependencies in regulatory fragmentation (Donaldson &amp; Davis, 1991; Natufe &amp; Evbayiro-Osagie, 2023).</w:t>
      </w:r>
    </w:p>
    <w:p>
      <w:pPr>
        <w:sectPr>
          <w:type w:val="nextPage"/>
          <w:pgSz w:w="12240" w:h="15840"/>
          <w:pgMar w:left="1134" w:right="1134" w:gutter="0" w:header="0" w:top="1134" w:footer="0" w:bottom="1134"/>
          <w:pgNumType w:fmt="decimal"/>
          <w:formProt w:val="false"/>
          <w:textDirection w:val="lrTb"/>
          <w:docGrid w:type="default" w:linePitch="312" w:charSpace="0"/>
        </w:sectPr>
        <w:pStyle w:val="BodyText"/>
        <w:rPr/>
      </w:pPr>
      <w:r>
        <w:rPr/>
      </w:r>
    </w:p>
    <w:p>
      <w:pPr>
        <w:pStyle w:val="BodyText"/>
        <w:rPr/>
      </w:pPr>
      <w:r>
        <w:rPr/>
        <w:t>Figure 4: Impact of Reforms on Non-Performing Loan Ratio (NPLR) by Credit-to-GDP Deviation Index (CGDI)</w:t>
      </w:r>
    </w:p>
    <w:p>
      <w:pPr>
        <w:pStyle w:val="BodyText"/>
        <w:rPr/>
      </w:pPr>
      <w:r>
        <w:rPr/>
        <w:drawing>
          <wp:anchor behindDoc="0" distT="0" distB="0" distL="0" distR="0" simplePos="0" locked="0" layoutInCell="0" allowOverlap="1" relativeHeight="282">
            <wp:simplePos x="0" y="0"/>
            <wp:positionH relativeFrom="column">
              <wp:posOffset>336550</wp:posOffset>
            </wp:positionH>
            <wp:positionV relativeFrom="paragraph">
              <wp:posOffset>635</wp:posOffset>
            </wp:positionV>
            <wp:extent cx="8129270" cy="5172710"/>
            <wp:effectExtent l="0" t="0" r="0" b="0"/>
            <wp:wrapSquare wrapText="largest"/>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11"/>
                    <a:stretch>
                      <a:fillRect/>
                    </a:stretch>
                  </pic:blipFill>
                  <pic:spPr bwMode="auto">
                    <a:xfrm>
                      <a:off x="0" y="0"/>
                      <a:ext cx="8129270" cy="5172710"/>
                    </a:xfrm>
                    <a:prstGeom prst="rect">
                      <a:avLst/>
                    </a:prstGeom>
                    <a:noFill/>
                  </pic:spPr>
                </pic:pic>
              </a:graphicData>
            </a:graphic>
          </wp:anchor>
        </w:drawing>
      </w:r>
    </w:p>
    <w:p>
      <w:pPr>
        <w:pStyle w:val="BodyText"/>
        <w:rPr>
          <w:i/>
          <w:i/>
          <w:iCs/>
        </w:rPr>
      </w:pPr>
      <w:r>
        <w:rPr>
          <w:rStyle w:val="Emphasis"/>
        </w:rPr>
        <w:t>Scatter plot with fitted regression lines showing pre-reform (blue, flat slope) and post-reform (red, negative slope) relationships. Pre-reform data points cluster at higher NPLR levels, consistent with crisis-period peaks.</w:t>
      </w:r>
    </w:p>
    <w:p>
      <w:pPr>
        <w:sectPr>
          <w:type w:val="nextPage"/>
          <w:pgSz w:orient="landscape" w:w="15840" w:h="12240"/>
          <w:pgMar w:left="1134" w:right="1134" w:gutter="0" w:header="0" w:top="1134" w:footer="0" w:bottom="1134"/>
          <w:pgNumType w:fmt="decimal"/>
          <w:formProt w:val="false"/>
          <w:textDirection w:val="lrTb"/>
        </w:sectPr>
        <w:pStyle w:val="ImageCaption"/>
        <w:rPr/>
      </w:pPr>
      <w:r>
        <w:rPr/>
      </w:r>
      <w:bookmarkStart w:id="90" w:name="fig%3A4.3.1"/>
      <w:bookmarkStart w:id="91" w:name="fig%3A4.3.1"/>
    </w:p>
    <w:p>
      <w:pPr>
        <w:pStyle w:val="ImageCaption"/>
        <w:rPr/>
      </w:pPr>
      <w:bookmarkStart w:id="92" w:name="fig%3A4.3.1"/>
      <w:r>
        <w:rPr/>
        <w:t>NPL Ratio vs. CGDI – Pre-Reform (2009–2014, Blue, Flat Slope) vs. Post-Reform (2016–2024, Red, Negative Slope)</w:t>
      </w:r>
      <w:bookmarkEnd w:id="92"/>
    </w:p>
    <w:p>
      <w:pPr>
        <w:pStyle w:val="BodyText"/>
        <w:rPr/>
      </w:pPr>
      <w:r>
        <w:rPr/>
        <w:t>These insights challenge agency theory’s universality in emerging markets, where institutional voids—overlaps among CBN, SEC, and NDIC—initially erode disclosure’s potency (Adegbite, 2014). Yet, they endorse institutional theory’s reform-as-catalyst view, paralleling Ghana’s post-2010 NPL reductions (15–20%) via board independence and South Africa’s King IV enhancements (OECD, 2023). Practically, they advocate consolidated governance under CBN/SEC harmonisation, extending tenure and vetting to counter NPL surges from shocks like 2020–2023 devaluation. This bridges to RQ4’s regulatory clarity perceptions, enriching theoretical contributions to Basel III adaptation and mixed-methods expansions post-2025, with implications for managerial training in disclosure efficacy.</w:t>
      </w:r>
      <w:bookmarkEnd w:id="89"/>
    </w:p>
    <w:p>
      <w:pPr>
        <w:pStyle w:val="Heading2"/>
        <w:rPr/>
      </w:pPr>
      <w:r>
        <w:rPr/>
        <w:t xml:space="preserve">4.4 </w:t>
      </w:r>
      <w:bookmarkStart w:id="93" w:name="Xc40202561283dc4c75337d3e06f24fe9d082fda"/>
      <w:r>
        <w:rPr/>
        <w:t>Findings for RQ4: Perceived Regulatory Clarity Improvements and NPL Ratio Declines</w:t>
      </w:r>
    </w:p>
    <w:p>
      <w:pPr>
        <w:pStyle w:val="FirstParagraph"/>
        <w:rPr/>
      </w:pPr>
      <w:r>
        <w:rPr/>
        <w:t>This section expounds the empirical results for RQ4, assessing the extent to which perceived regulatory clarity enhancements from CBN and SEC harmonisation (2020–2025) engender NPL ratio declines (</w:t>
      </w:r>
      <w:r>
        <w:rPr/>
      </w:r>
      <m:oMath xmlns:m="http://schemas.openxmlformats.org/officeDocument/2006/math">
        <m:r>
          <w:rPr>
            <w:rFonts w:ascii="Cambria Math" w:hAnsi="Cambria Math"/>
          </w:rPr>
          <m:t xml:space="preserve">β</m:t>
        </m:r>
        <m:r>
          <m:rPr>
            <m:lit/>
            <m:nor/>
          </m:rPr>
          <w:rPr>
            <w:rFonts w:ascii="Cambria Math" w:hAnsi="Cambria Math"/>
          </w:rPr>
          <m:t xml:space="preserve">&lt;</m:t>
        </m:r>
        <m:r>
          <w:rPr>
            <w:rFonts w:ascii="Cambria Math" w:hAnsi="Cambria Math"/>
          </w:rPr>
          <m:t xml:space="preserve">0</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.05</m:t>
        </m:r>
      </m:oMath>
      <w:r>
        <w:rPr/>
        <w:t>), controlling for economic shocks such as devaluation and inflation. Anchored in the cross-sectional blended design from Chapter 3—integrating a Qualtrics-administered stakeholder survey (</w:t>
      </w:r>
      <w:r>
        <w:rPr/>
      </w:r>
      <m:oMath xmlns:m="http://schemas.openxmlformats.org/officeDocument/2006/math">
        <m:r>
          <w:rPr>
            <w:rFonts w:ascii="Cambria Math" w:hAnsi="Cambria Math"/>
          </w:rPr>
          <m:t xml:space="preserve">n</m:t>
        </m:r>
        <m:r>
          <m:rPr>
            <m:lit/>
            <m:nor/>
          </m:rPr>
          <w:rPr>
            <w:rFonts w:ascii="Cambria Math" w:hAnsi="Cambria Math"/>
          </w:rPr>
          <m:t xml:space="preserve">=</m:t>
        </m:r>
        <m:r>
          <w:rPr>
            <w:rFonts w:ascii="Cambria Math" w:hAnsi="Cambria Math"/>
          </w:rPr>
          <m:t xml:space="preserve">234</m:t>
        </m:r>
      </m:oMath>
      <w:r>
        <w:rPr/>
        <w:t>) in Q1 2024, three semi-structured executive interviews, and secondary CBN/audited data—the analysis deploys bootstrapped mediation (1,000 resamples) in R (v4.5.1) to parse direct and indirect effects. Institutional theory frames harmonisation as a remedy to fragmentation, promoting compliance and default risk abatement in emerging markets (North, 1990; Natufe &amp; Evbayiro-Osagie, 2023). Stewardship theory complements this by positing perceptual clarity as a facilitator of managerial fiduciary alignment, potentially curbing NPLs amid volatility (Donaldson &amp; Davis, 1991). This inquiry extends prior work by incorporating perceptual data, addressing gaps in African literature where multiplicity persists despite reforms (Agyemang &amp; Castellini, 2015).</w:t>
      </w:r>
    </w:p>
    <w:p>
      <w:pPr>
        <w:pStyle w:val="BodyText"/>
        <w:rPr/>
      </w:pPr>
      <w:r>
        <w:rPr/>
        <w:t>The sample spans 10 purposively selected DMBs, stratified for systemic representation with emphasis on compliance/risk roles. Non-response bias checks via t-tests on demographics (</w:t>
      </w:r>
      <w:r>
        <w:rPr/>
      </w:r>
      <m:oMath xmlns:m="http://schemas.openxmlformats.org/officeDocument/2006/math">
        <m:r>
          <w:rPr>
            <w:rFonts w:ascii="Cambria Math" w:hAnsi="Cambria Math"/>
          </w:rPr>
          <m:t xml:space="preserve">p</m:t>
        </m:r>
        <m:r>
          <m:rPr>
            <m:lit/>
            <m:nor/>
          </m:rPr>
          <w:rPr>
            <w:rFonts w:ascii="Cambria Math" w:hAnsi="Cambria Math"/>
          </w:rPr>
          <m:t xml:space="preserve">&gt;</m:t>
        </m:r>
        <m:r>
          <w:rPr>
            <w:rFonts w:ascii="Cambria Math" w:hAnsi="Cambria Math"/>
          </w:rPr>
          <m:t xml:space="preserve">.10</m:t>
        </m:r>
      </m:oMath>
      <w:r>
        <w:rPr/>
        <w:t xml:space="preserve">) confirm representativeness. Preprocessing entailed Likert reverse-coding, bank-level aggregation, and mean imputation for sparse regulatory clarity gaps (e.g., Access Bank Plc, Stanbic IBTC), with sensitivity tests verifying minimal distortion. Constructs include the Regulatory Clarity Index (independent; M = 4.40, SD = 0.42, </w:t>
      </w:r>
      <w:r>
        <w:rPr/>
      </w:r>
      <m:oMath xmlns:m="http://schemas.openxmlformats.org/officeDocument/2006/math">
        <m:r>
          <w:rPr>
            <w:rFonts w:ascii="Cambria Math" w:hAnsi="Cambria Math"/>
          </w:rPr>
          <m:t xml:space="preserve">α</m:t>
        </m:r>
        <m:r>
          <m:rPr>
            <m:lit/>
            <m:nor/>
          </m:rPr>
          <w:rPr>
            <w:rFonts w:ascii="Cambria Math" w:hAnsi="Cambria Math"/>
          </w:rPr>
          <m:t xml:space="preserve">=</m:t>
        </m:r>
        <m:r>
          <w:rPr>
            <w:rFonts w:ascii="Cambria Math" w:hAnsi="Cambria Math"/>
          </w:rPr>
          <m:t xml:space="preserve">0.82</m:t>
        </m:r>
      </m:oMath>
      <w:r>
        <w:rPr/>
        <w:t xml:space="preserve">), Compliance Index (mediator; M = 85.20, SD = 4.76), NPL Ratio (dependent; M = 4.31, SD = 1.30, winsorised at 1%), and binary Bank Size (1 for </w:t>
      </w:r>
      <w:r>
        <w:rPr/>
      </w:r>
      <m:oMath xmlns:m="http://schemas.openxmlformats.org/officeDocument/2006/math">
        <m:r>
          <m:rPr>
            <m:lit/>
            <m:nor/>
          </m:rPr>
          <w:rPr>
            <w:rFonts w:ascii="Cambria Math" w:hAnsi="Cambria Math"/>
          </w:rPr>
          <m:t xml:space="preserve">&gt;</m:t>
        </m:r>
      </m:oMath>
      <w:r>
        <w:rPr/>
        <w:t xml:space="preserve"> ,000 billion capitalisation; n = 6). These draw from validated scales (United Nations–ESCWA, 2022) and CBN benchmarks, ensuring alignment with post-2020 reforms under NCCG 2018 and CBN Guidelines 2023.</w:t>
      </w:r>
    </w:p>
    <w:p>
      <w:pPr>
        <w:pStyle w:val="Heading3"/>
        <w:numPr>
          <w:ilvl w:val="2"/>
          <w:numId w:val="1"/>
        </w:numPr>
        <w:ind w:hanging="0" w:left="0"/>
        <w:rPr/>
      </w:pPr>
      <w:r>
        <w:rPr/>
        <w:t xml:space="preserve">4.4.1 </w:t>
      </w:r>
      <w:bookmarkStart w:id="94" w:name="descriptive-statistics-and-correlations"/>
      <w:r>
        <w:rPr/>
        <w:t>Descriptive Statistics and Correlations</w:t>
      </w:r>
    </w:p>
    <w:p>
      <w:pPr>
        <w:pStyle w:val="FirstParagraph"/>
        <w:rPr/>
      </w:pPr>
      <w:r>
        <w:rPr/>
        <w:t>Descriptive metrics exhibit variability in NPL ratios (3.00–6.60%), compliance (78.00–92.00%), and clarity perceptions (3.77–5.00), mirroring Nigeria’s post-CAMA 2020 regulatory inconsistencies. Pearson correlations (Table 4.7) reveal a moderate negative clarity-NPL association (</w:t>
      </w:r>
      <w:r>
        <w:rPr/>
      </w:r>
      <m:oMath xmlns:m="http://schemas.openxmlformats.org/officeDocument/2006/math">
        <m:r>
          <w:rPr>
            <w:rFonts w:ascii="Cambria Math" w:hAnsi="Cambria Math"/>
          </w:rPr>
          <m:t xml:space="preserve">r</m:t>
        </m:r>
        <m:r>
          <m:rPr>
            <m:lit/>
            <m:nor/>
          </m:rPr>
          <w:rPr>
            <w:rFonts w:ascii="Cambria Math" w:hAnsi="Cambria Math"/>
          </w:rPr>
          <m:t xml:space="preserve">=</m:t>
        </m:r>
        <m:r>
          <w:rPr>
            <w:rFonts w:ascii="Cambria Math" w:hAnsi="Cambria Math"/>
          </w:rPr>
          <m:t xml:space="preserve">−</m:t>
        </m:r>
        <m:r>
          <w:rPr>
            <w:rFonts w:ascii="Cambria Math" w:hAnsi="Cambria Math"/>
          </w:rPr>
          <m:t xml:space="preserve">0.52</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.10</m:t>
        </m:r>
      </m:oMath>
      <w:r>
        <w:rPr/>
        <w:t>), hinting at harmonisation’s risk-mitigating potential. Yet, clarity-compliance linkage is feeble and insignificant (</w:t>
      </w:r>
      <w:r>
        <w:rPr/>
      </w:r>
      <m:oMath xmlns:m="http://schemas.openxmlformats.org/officeDocument/2006/math">
        <m:r>
          <w:rPr>
            <w:rFonts w:ascii="Cambria Math" w:hAnsi="Cambria Math"/>
          </w:rPr>
          <m:t xml:space="preserve">r</m:t>
        </m:r>
        <m:r>
          <m:rPr>
            <m:lit/>
            <m:nor/>
          </m:rPr>
          <w:rPr>
            <w:rFonts w:ascii="Cambria Math" w:hAnsi="Cambria Math"/>
          </w:rPr>
          <m:t xml:space="preserve">=</m:t>
        </m:r>
        <m:r>
          <w:rPr>
            <w:rFonts w:ascii="Cambria Math" w:hAnsi="Cambria Math"/>
          </w:rPr>
          <m:t xml:space="preserve">−</m:t>
        </m:r>
        <m:r>
          <w:rPr>
            <w:rFonts w:ascii="Cambria Math" w:hAnsi="Cambria Math"/>
          </w:rPr>
          <m:t xml:space="preserve">0.19</m:t>
        </m:r>
      </m:oMath>
      <w:r>
        <w:rPr/>
        <w:t>, ns), suggesting scant mediation. Bank size positively correlates with NPLs (</w:t>
      </w:r>
      <w:r>
        <w:rPr/>
      </w:r>
      <m:oMath xmlns:m="http://schemas.openxmlformats.org/officeDocument/2006/math">
        <m:r>
          <w:rPr>
            <w:rFonts w:ascii="Cambria Math" w:hAnsi="Cambria Math"/>
          </w:rPr>
          <m:t xml:space="preserve">r</m:t>
        </m:r>
        <m:r>
          <m:rPr>
            <m:lit/>
            <m:nor/>
          </m:rPr>
          <w:rPr>
            <w:rFonts w:ascii="Cambria Math" w:hAnsi="Cambria Math"/>
          </w:rPr>
          <m:t xml:space="preserve">=</m:t>
        </m:r>
        <m:r>
          <w:rPr>
            <w:rFonts w:ascii="Cambria Math" w:hAnsi="Cambria Math"/>
          </w:rPr>
          <m:t xml:space="preserve">0.47</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.10</m:t>
        </m:r>
      </m:oMath>
      <w:r>
        <w:rPr/>
        <w:t>), aligning with heightened institutional exposures to shocks (e.g., 24.1% 2024 inflation; CBN, 2024a). These patterns echo African reform studies, where multiplicity fuels NPL instability, as in Ghana’s post-2010 cleanup (Agyemang &amp; Castellini, 2015).</w:t>
      </w:r>
    </w:p>
    <w:p>
      <w:pPr>
        <w:pStyle w:val="BodyText"/>
        <w:rPr/>
      </w:pPr>
      <w:r>
        <w:rPr/>
        <w:t>Table 4.7: Descriptive Statistics and Correlation Matrix of Key Variables</w:t>
      </w:r>
    </w:p>
    <w:p>
      <w:pPr>
        <w:pStyle w:val="BodyText"/>
        <w:rPr/>
      </w:pPr>
      <w:r>
        <w:rPr/>
      </w:r>
    </w:p>
    <w:tbl>
      <w:tblPr>
        <w:tblW w:w="9995" w:type="dxa"/>
        <w:jc w:val="left"/>
        <w:tblInd w:w="28" w:type="dxa"/>
        <w:tblLayout w:type="fixed"/>
        <w:tblCellMar>
          <w:top w:w="28" w:type="dxa"/>
          <w:left w:w="28" w:type="dxa"/>
          <w:bottom w:w="28" w:type="dxa"/>
          <w:right w:w="28" w:type="dxa"/>
        </w:tblCellMar>
      </w:tblPr>
      <w:tblGrid>
        <w:gridCol w:w="2113"/>
        <w:gridCol w:w="942"/>
        <w:gridCol w:w="995"/>
        <w:gridCol w:w="1255"/>
        <w:gridCol w:w="1350"/>
        <w:gridCol w:w="1540"/>
        <w:gridCol w:w="1800"/>
      </w:tblGrid>
      <w:tr>
        <w:trPr>
          <w:tblHeader w:val="true"/>
        </w:trPr>
        <w:tc>
          <w:tcPr>
            <w:tcW w:w="2113" w:type="dxa"/>
            <w:tcBorders/>
            <w:vAlign w:val="center"/>
          </w:tcPr>
          <w:p>
            <w:pPr>
              <w:pStyle w:val="TableHeading"/>
              <w:rPr/>
            </w:pPr>
            <w:r>
              <w:rPr/>
              <w:t>Variable</w:t>
            </w:r>
          </w:p>
        </w:tc>
        <w:tc>
          <w:tcPr>
            <w:tcW w:w="942" w:type="dxa"/>
            <w:tcBorders/>
            <w:vAlign w:val="center"/>
          </w:tcPr>
          <w:p>
            <w:pPr>
              <w:pStyle w:val="TableHeading"/>
              <w:rPr/>
            </w:pPr>
            <w:r>
              <w:rPr/>
              <w:t>Mean</w:t>
            </w:r>
          </w:p>
        </w:tc>
        <w:tc>
          <w:tcPr>
            <w:tcW w:w="995" w:type="dxa"/>
            <w:tcBorders/>
            <w:vAlign w:val="center"/>
          </w:tcPr>
          <w:p>
            <w:pPr>
              <w:pStyle w:val="TableHeading"/>
              <w:rPr/>
            </w:pPr>
            <w:r>
              <w:rPr/>
              <w:t>SD</w:t>
            </w:r>
          </w:p>
        </w:tc>
        <w:tc>
          <w:tcPr>
            <w:tcW w:w="1255" w:type="dxa"/>
            <w:tcBorders/>
            <w:vAlign w:val="center"/>
          </w:tcPr>
          <w:p>
            <w:pPr>
              <w:pStyle w:val="TableHeading"/>
              <w:rPr/>
            </w:pPr>
            <w:r>
              <w:rPr/>
              <w:t>1</w:t>
            </w:r>
          </w:p>
        </w:tc>
        <w:tc>
          <w:tcPr>
            <w:tcW w:w="1350" w:type="dxa"/>
            <w:tcBorders/>
            <w:vAlign w:val="center"/>
          </w:tcPr>
          <w:p>
            <w:pPr>
              <w:pStyle w:val="TableHeading"/>
              <w:rPr/>
            </w:pPr>
            <w:r>
              <w:rPr/>
              <w:t>2</w:t>
            </w:r>
          </w:p>
        </w:tc>
        <w:tc>
          <w:tcPr>
            <w:tcW w:w="1540" w:type="dxa"/>
            <w:tcBorders/>
            <w:vAlign w:val="center"/>
          </w:tcPr>
          <w:p>
            <w:pPr>
              <w:pStyle w:val="TableHeading"/>
              <w:rPr/>
            </w:pPr>
            <w:r>
              <w:rPr/>
              <w:t>3</w:t>
            </w:r>
          </w:p>
        </w:tc>
        <w:tc>
          <w:tcPr>
            <w:tcW w:w="1800" w:type="dxa"/>
            <w:tcBorders/>
            <w:vAlign w:val="center"/>
          </w:tcPr>
          <w:p>
            <w:pPr>
              <w:pStyle w:val="TableHeading"/>
              <w:rPr/>
            </w:pPr>
            <w:r>
              <w:rPr/>
              <w:t>4</w:t>
            </w:r>
          </w:p>
        </w:tc>
      </w:tr>
      <w:tr>
        <w:trPr/>
        <w:tc>
          <w:tcPr>
            <w:tcW w:w="2113" w:type="dxa"/>
            <w:tcBorders/>
            <w:vAlign w:val="center"/>
          </w:tcPr>
          <w:p>
            <w:pPr>
              <w:pStyle w:val="TableContents"/>
              <w:rPr/>
            </w:pPr>
            <w:r>
              <w:rPr/>
              <w:t>1. Clarity Index</w:t>
            </w:r>
          </w:p>
        </w:tc>
        <w:tc>
          <w:tcPr>
            <w:tcW w:w="942" w:type="dxa"/>
            <w:tcBorders/>
            <w:vAlign w:val="center"/>
          </w:tcPr>
          <w:p>
            <w:pPr>
              <w:pStyle w:val="TableContents"/>
              <w:rPr/>
            </w:pPr>
            <w:r>
              <w:rPr/>
              <w:t>4.40</w:t>
            </w:r>
          </w:p>
        </w:tc>
        <w:tc>
          <w:tcPr>
            <w:tcW w:w="995" w:type="dxa"/>
            <w:tcBorders/>
            <w:vAlign w:val="center"/>
          </w:tcPr>
          <w:p>
            <w:pPr>
              <w:pStyle w:val="TableContents"/>
              <w:rPr/>
            </w:pPr>
            <w:r>
              <w:rPr/>
              <w:t>0.42</w:t>
            </w:r>
          </w:p>
        </w:tc>
        <w:tc>
          <w:tcPr>
            <w:tcW w:w="1255" w:type="dxa"/>
            <w:tcBorders/>
            <w:vAlign w:val="center"/>
          </w:tcPr>
          <w:p>
            <w:pPr>
              <w:pStyle w:val="TableContents"/>
              <w:rPr/>
            </w:pPr>
            <w:r>
              <w:rPr/>
              <w:t>1.00</w:t>
            </w:r>
          </w:p>
        </w:tc>
        <w:tc>
          <w:tcPr>
            <w:tcW w:w="1350" w:type="dxa"/>
            <w:tcBorders/>
            <w:vAlign w:val="center"/>
          </w:tcPr>
          <w:p>
            <w:pPr>
              <w:pStyle w:val="TableContents"/>
              <w:rPr>
                <w:sz w:val="4"/>
                <w:szCs w:val="4"/>
              </w:rPr>
            </w:pPr>
            <w:r>
              <w:rPr>
                <w:sz w:val="4"/>
                <w:szCs w:val="4"/>
              </w:rPr>
            </w:r>
          </w:p>
        </w:tc>
        <w:tc>
          <w:tcPr>
            <w:tcW w:w="1540" w:type="dxa"/>
            <w:tcBorders/>
            <w:vAlign w:val="center"/>
          </w:tcPr>
          <w:p>
            <w:pPr>
              <w:pStyle w:val="TableContents"/>
              <w:rPr>
                <w:sz w:val="4"/>
                <w:szCs w:val="4"/>
              </w:rPr>
            </w:pPr>
            <w:r>
              <w:rPr>
                <w:sz w:val="4"/>
                <w:szCs w:val="4"/>
              </w:rPr>
            </w:r>
          </w:p>
        </w:tc>
        <w:tc>
          <w:tcPr>
            <w:tcW w:w="1800" w:type="dxa"/>
            <w:tcBorders/>
            <w:vAlign w:val="center"/>
          </w:tcPr>
          <w:p>
            <w:pPr>
              <w:pStyle w:val="TableContents"/>
              <w:rPr>
                <w:sz w:val="4"/>
                <w:szCs w:val="4"/>
              </w:rPr>
            </w:pPr>
            <w:r>
              <w:rPr>
                <w:sz w:val="4"/>
                <w:szCs w:val="4"/>
              </w:rPr>
            </w:r>
          </w:p>
        </w:tc>
      </w:tr>
      <w:tr>
        <w:trPr/>
        <w:tc>
          <w:tcPr>
            <w:tcW w:w="2113" w:type="dxa"/>
            <w:tcBorders/>
            <w:vAlign w:val="center"/>
          </w:tcPr>
          <w:p>
            <w:pPr>
              <w:pStyle w:val="TableContents"/>
              <w:rPr/>
            </w:pPr>
            <w:r>
              <w:rPr/>
              <w:t>2. Compliance Index</w:t>
            </w:r>
          </w:p>
        </w:tc>
        <w:tc>
          <w:tcPr>
            <w:tcW w:w="942" w:type="dxa"/>
            <w:tcBorders/>
            <w:vAlign w:val="center"/>
          </w:tcPr>
          <w:p>
            <w:pPr>
              <w:pStyle w:val="TableContents"/>
              <w:rPr/>
            </w:pPr>
            <w:r>
              <w:rPr/>
              <w:t>85.20</w:t>
            </w:r>
          </w:p>
        </w:tc>
        <w:tc>
          <w:tcPr>
            <w:tcW w:w="995" w:type="dxa"/>
            <w:tcBorders/>
            <w:vAlign w:val="center"/>
          </w:tcPr>
          <w:p>
            <w:pPr>
              <w:pStyle w:val="TableContents"/>
              <w:rPr/>
            </w:pPr>
            <w:r>
              <w:rPr/>
              <w:t>4.76</w:t>
            </w:r>
          </w:p>
        </w:tc>
        <w:tc>
          <w:tcPr>
            <w:tcW w:w="1255" w:type="dxa"/>
            <w:tcBorders/>
            <w:vAlign w:val="center"/>
          </w:tcPr>
          <w:p>
            <w:pPr>
              <w:pStyle w:val="TableContents"/>
              <w:rPr/>
            </w:pPr>
            <w:r>
              <w:rPr/>
              <w:t>–</w:t>
            </w:r>
            <w:r>
              <w:rPr/>
              <w:t>0.19</w:t>
            </w:r>
          </w:p>
        </w:tc>
        <w:tc>
          <w:tcPr>
            <w:tcW w:w="1350" w:type="dxa"/>
            <w:tcBorders/>
            <w:vAlign w:val="center"/>
          </w:tcPr>
          <w:p>
            <w:pPr>
              <w:pStyle w:val="TableContents"/>
              <w:rPr/>
            </w:pPr>
            <w:r>
              <w:rPr/>
              <w:t>1.00</w:t>
            </w:r>
          </w:p>
        </w:tc>
        <w:tc>
          <w:tcPr>
            <w:tcW w:w="1540" w:type="dxa"/>
            <w:tcBorders/>
            <w:vAlign w:val="center"/>
          </w:tcPr>
          <w:p>
            <w:pPr>
              <w:pStyle w:val="TableContents"/>
              <w:rPr>
                <w:sz w:val="4"/>
                <w:szCs w:val="4"/>
              </w:rPr>
            </w:pPr>
            <w:r>
              <w:rPr>
                <w:sz w:val="4"/>
                <w:szCs w:val="4"/>
              </w:rPr>
            </w:r>
          </w:p>
        </w:tc>
        <w:tc>
          <w:tcPr>
            <w:tcW w:w="1800" w:type="dxa"/>
            <w:tcBorders/>
            <w:vAlign w:val="center"/>
          </w:tcPr>
          <w:p>
            <w:pPr>
              <w:pStyle w:val="TableContents"/>
              <w:rPr>
                <w:sz w:val="4"/>
                <w:szCs w:val="4"/>
              </w:rPr>
            </w:pPr>
            <w:r>
              <w:rPr>
                <w:sz w:val="4"/>
                <w:szCs w:val="4"/>
              </w:rPr>
            </w:r>
          </w:p>
        </w:tc>
      </w:tr>
      <w:tr>
        <w:trPr/>
        <w:tc>
          <w:tcPr>
            <w:tcW w:w="2113" w:type="dxa"/>
            <w:tcBorders/>
            <w:vAlign w:val="center"/>
          </w:tcPr>
          <w:p>
            <w:pPr>
              <w:pStyle w:val="TableContents"/>
              <w:rPr/>
            </w:pPr>
            <w:r>
              <w:rPr/>
              <w:t>3. NPL Ratio (%)</w:t>
            </w:r>
          </w:p>
        </w:tc>
        <w:tc>
          <w:tcPr>
            <w:tcW w:w="942" w:type="dxa"/>
            <w:tcBorders/>
            <w:vAlign w:val="center"/>
          </w:tcPr>
          <w:p>
            <w:pPr>
              <w:pStyle w:val="TableContents"/>
              <w:rPr/>
            </w:pPr>
            <w:r>
              <w:rPr/>
              <w:t>4.31</w:t>
            </w:r>
          </w:p>
        </w:tc>
        <w:tc>
          <w:tcPr>
            <w:tcW w:w="995" w:type="dxa"/>
            <w:tcBorders/>
            <w:vAlign w:val="center"/>
          </w:tcPr>
          <w:p>
            <w:pPr>
              <w:pStyle w:val="TableContents"/>
              <w:rPr/>
            </w:pPr>
            <w:r>
              <w:rPr/>
              <w:t>1.30</w:t>
            </w:r>
          </w:p>
        </w:tc>
        <w:tc>
          <w:tcPr>
            <w:tcW w:w="1255" w:type="dxa"/>
            <w:tcBorders/>
            <w:vAlign w:val="center"/>
          </w:tcPr>
          <w:p>
            <w:pPr>
              <w:pStyle w:val="TableContents"/>
              <w:rPr/>
            </w:pPr>
            <w:r>
              <w:rPr/>
              <w:t>–</w:t>
            </w:r>
            <w:r>
              <w:rPr/>
              <w:t>0.52**</w:t>
            </w:r>
          </w:p>
        </w:tc>
        <w:tc>
          <w:tcPr>
            <w:tcW w:w="1350" w:type="dxa"/>
            <w:tcBorders/>
            <w:vAlign w:val="center"/>
          </w:tcPr>
          <w:p>
            <w:pPr>
              <w:pStyle w:val="TableContents"/>
              <w:rPr/>
            </w:pPr>
            <w:r>
              <w:rPr/>
              <w:t>0.12</w:t>
            </w:r>
          </w:p>
        </w:tc>
        <w:tc>
          <w:tcPr>
            <w:tcW w:w="1540" w:type="dxa"/>
            <w:tcBorders/>
            <w:vAlign w:val="center"/>
          </w:tcPr>
          <w:p>
            <w:pPr>
              <w:pStyle w:val="TableContents"/>
              <w:rPr/>
            </w:pPr>
            <w:r>
              <w:rPr/>
              <w:t>1.00</w:t>
            </w:r>
          </w:p>
        </w:tc>
        <w:tc>
          <w:tcPr>
            <w:tcW w:w="1800" w:type="dxa"/>
            <w:tcBorders/>
            <w:vAlign w:val="center"/>
          </w:tcPr>
          <w:p>
            <w:pPr>
              <w:pStyle w:val="TableContents"/>
              <w:rPr>
                <w:sz w:val="4"/>
                <w:szCs w:val="4"/>
              </w:rPr>
            </w:pPr>
            <w:r>
              <w:rPr>
                <w:sz w:val="4"/>
                <w:szCs w:val="4"/>
              </w:rPr>
            </w:r>
          </w:p>
        </w:tc>
      </w:tr>
      <w:tr>
        <w:trPr/>
        <w:tc>
          <w:tcPr>
            <w:tcW w:w="2113" w:type="dxa"/>
            <w:tcBorders/>
            <w:vAlign w:val="center"/>
          </w:tcPr>
          <w:p>
            <w:pPr>
              <w:pStyle w:val="TableContents"/>
              <w:rPr/>
            </w:pPr>
            <w:r>
              <w:rPr/>
              <w:t>4. Bank Size Binary</w:t>
            </w:r>
          </w:p>
        </w:tc>
        <w:tc>
          <w:tcPr>
            <w:tcW w:w="942" w:type="dxa"/>
            <w:tcBorders/>
            <w:vAlign w:val="center"/>
          </w:tcPr>
          <w:p>
            <w:pPr>
              <w:pStyle w:val="TableContents"/>
              <w:rPr/>
            </w:pPr>
            <w:r>
              <w:rPr/>
              <w:t>0.60</w:t>
            </w:r>
          </w:p>
        </w:tc>
        <w:tc>
          <w:tcPr>
            <w:tcW w:w="995" w:type="dxa"/>
            <w:tcBorders/>
            <w:vAlign w:val="center"/>
          </w:tcPr>
          <w:p>
            <w:pPr>
              <w:pStyle w:val="TableContents"/>
              <w:rPr/>
            </w:pPr>
            <w:r>
              <w:rPr/>
              <w:t>0.52</w:t>
            </w:r>
          </w:p>
        </w:tc>
        <w:tc>
          <w:tcPr>
            <w:tcW w:w="1255" w:type="dxa"/>
            <w:tcBorders/>
            <w:vAlign w:val="center"/>
          </w:tcPr>
          <w:p>
            <w:pPr>
              <w:pStyle w:val="TableContents"/>
              <w:rPr/>
            </w:pPr>
            <w:r>
              <w:rPr/>
              <w:t>–</w:t>
            </w:r>
            <w:r>
              <w:rPr/>
              <w:t>0.53**</w:t>
            </w:r>
          </w:p>
        </w:tc>
        <w:tc>
          <w:tcPr>
            <w:tcW w:w="1350" w:type="dxa"/>
            <w:tcBorders/>
            <w:vAlign w:val="center"/>
          </w:tcPr>
          <w:p>
            <w:pPr>
              <w:pStyle w:val="TableContents"/>
              <w:rPr/>
            </w:pPr>
            <w:r>
              <w:rPr/>
              <w:t>0.08</w:t>
            </w:r>
          </w:p>
        </w:tc>
        <w:tc>
          <w:tcPr>
            <w:tcW w:w="1540" w:type="dxa"/>
            <w:tcBorders/>
            <w:vAlign w:val="center"/>
          </w:tcPr>
          <w:p>
            <w:pPr>
              <w:pStyle w:val="TableContents"/>
              <w:rPr/>
            </w:pPr>
            <w:r>
              <w:rPr/>
              <w:t>0.47**</w:t>
            </w:r>
          </w:p>
        </w:tc>
        <w:tc>
          <w:tcPr>
            <w:tcW w:w="1800" w:type="dxa"/>
            <w:tcBorders/>
            <w:vAlign w:val="center"/>
          </w:tcPr>
          <w:p>
            <w:pPr>
              <w:pStyle w:val="TableContents"/>
              <w:rPr/>
            </w:pPr>
            <w:r>
              <w:rPr/>
              <w:t>1.00</w:t>
            </w:r>
          </w:p>
        </w:tc>
      </w:tr>
    </w:tbl>
    <w:p>
      <w:pPr>
        <w:pStyle w:val="BodyText"/>
        <w:rPr>
          <w:rStyle w:val="Strong"/>
        </w:rPr>
      </w:pPr>
      <w:r>
        <w:rPr/>
      </w:r>
    </w:p>
    <w:p>
      <w:pPr>
        <w:pStyle w:val="BodyText"/>
        <w:rPr/>
      </w:pPr>
      <w:r>
        <w:rPr>
          <w:rStyle w:val="Strong"/>
        </w:rPr>
        <w:t>Note:</w:t>
      </w:r>
      <w:r>
        <w:rPr/>
        <w:t xml:space="preserve"> Correlations are Pearson coefficients. **p &lt; 0.01. Adapted from stakeholder survey data (April 2024) and CBN reports.</w:t>
      </w:r>
    </w:p>
    <w:p>
      <w:pPr>
        <w:pStyle w:val="BodyText"/>
        <w:rPr/>
      </w:pPr>
      <w:r>
        <w:rPr/>
        <w:drawing>
          <wp:anchor behindDoc="0" distT="0" distB="0" distL="0" distR="0" simplePos="0" locked="0" layoutInCell="0" allowOverlap="1" relativeHeight="283">
            <wp:simplePos x="0" y="0"/>
            <wp:positionH relativeFrom="column">
              <wp:align>center</wp:align>
            </wp:positionH>
            <wp:positionV relativeFrom="paragraph">
              <wp:posOffset>635</wp:posOffset>
            </wp:positionV>
            <wp:extent cx="6332220" cy="6332220"/>
            <wp:effectExtent l="0" t="0" r="0" b="0"/>
            <wp:wrapSquare wrapText="largest"/>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12"/>
                    <a:stretch>
                      <a:fillRect/>
                    </a:stretch>
                  </pic:blipFill>
                  <pic:spPr bwMode="auto">
                    <a:xfrm>
                      <a:off x="0" y="0"/>
                      <a:ext cx="6332220" cy="6332220"/>
                    </a:xfrm>
                    <a:prstGeom prst="rect">
                      <a:avLst/>
                    </a:prstGeom>
                    <a:noFill/>
                  </pic:spPr>
                </pic:pic>
              </a:graphicData>
            </a:graphic>
          </wp:anchor>
        </w:drawing>
      </w:r>
    </w:p>
    <w:p>
      <w:pPr>
        <w:pStyle w:val="BodyText"/>
        <w:rPr/>
      </w:pPr>
      <w:r>
        <w:rPr/>
        <w:drawing>
          <wp:anchor behindDoc="0" distT="0" distB="0" distL="0" distR="0" simplePos="0" locked="0" layoutInCell="0" allowOverlap="1" relativeHeight="284">
            <wp:simplePos x="0" y="0"/>
            <wp:positionH relativeFrom="column">
              <wp:align>center</wp:align>
            </wp:positionH>
            <wp:positionV relativeFrom="paragraph">
              <wp:posOffset>635</wp:posOffset>
            </wp:positionV>
            <wp:extent cx="6332220" cy="6332220"/>
            <wp:effectExtent l="0" t="0" r="0" b="0"/>
            <wp:wrapSquare wrapText="largest"/>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13"/>
                    <a:stretch>
                      <a:fillRect/>
                    </a:stretch>
                  </pic:blipFill>
                  <pic:spPr bwMode="auto">
                    <a:xfrm>
                      <a:off x="0" y="0"/>
                      <a:ext cx="6332220" cy="6332220"/>
                    </a:xfrm>
                    <a:prstGeom prst="rect">
                      <a:avLst/>
                    </a:prstGeom>
                    <a:noFill/>
                  </pic:spPr>
                </pic:pic>
              </a:graphicData>
            </a:graphic>
          </wp:anchor>
        </w:drawing>
      </w:r>
    </w:p>
    <w:p>
      <w:pPr>
        <w:pStyle w:val="BodyText"/>
        <w:rPr/>
      </w:pPr>
      <w:r>
        <w:rPr/>
        <w:t>Figure 4.</w:t>
      </w:r>
      <w:r>
        <w:rPr/>
        <w:t xml:space="preserve">2 </w:t>
      </w:r>
      <w:r>
        <w:rPr/>
        <w:t>illustrates the negative clarity-NPL trend, with larger banks (pink) showing amplified dispersion from devaluation vulnerabilities (e.g., post-2023 naira; IMF, 2024). Residual diagnostics affirm linearity, normality, homoscedasticity, and outlier absence, underpinning inference reliability.</w:t>
      </w:r>
      <w:bookmarkEnd w:id="94"/>
    </w:p>
    <w:p>
      <w:pPr>
        <w:pStyle w:val="Heading3"/>
        <w:numPr>
          <w:ilvl w:val="2"/>
          <w:numId w:val="1"/>
        </w:numPr>
        <w:ind w:hanging="0" w:left="0"/>
        <w:rPr/>
      </w:pPr>
      <w:r>
        <w:rPr/>
        <w:t xml:space="preserve">4.4.2 </w:t>
      </w:r>
      <w:bookmarkStart w:id="95" w:name="mediation-analysis"/>
      <w:r>
        <w:rPr/>
        <w:t>Mediation Analysis</w:t>
      </w:r>
    </w:p>
    <w:p>
      <w:pPr>
        <w:pStyle w:val="FirstParagraph"/>
        <w:rPr/>
      </w:pPr>
      <w:r>
        <w:rPr/>
        <w:t>Bootstrapped mediation via Hayes Process Model 4 (Hayes, 2018) decomposes effects, controlling for bank size. The total clarity-NPL effect is negative but insignificant (</w:t>
      </w:r>
      <w:r>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m:t>
        </m:r>
        <m:r>
          <w:rPr>
            <w:rFonts w:ascii="Cambria Math" w:hAnsi="Cambria Math"/>
          </w:rPr>
          <m:t xml:space="preserve">0.927</m:t>
        </m:r>
      </m:oMath>
      <w:r>
        <w:rPr/>
        <w:t xml:space="preserve">, 95% CI [-3.98, 1.09], </w:t>
      </w:r>
      <w:r>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.21</m:t>
        </m:r>
      </m:oMath>
      <w:r>
        <w:rPr/>
        <w:t xml:space="preserve">), failing to substantiate causality amid enforcement lapses in CBN-SEC alignments (Natufe &amp; Evbayiro-Osagie, 2023). The direct effect (ADE = -0.861, 95% CI [-4.75, 1.25], </w:t>
      </w:r>
      <w:r>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.23</m:t>
        </m:r>
      </m:oMath>
      <w:r>
        <w:rPr/>
        <w:t xml:space="preserve">) suggests tentative standalone mitigation, diluted by shocks. The indirect via compliance (ACME = -0.066, 95% CI [-0.91, 1.68], </w:t>
      </w:r>
      <w:r>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.93</m:t>
        </m:r>
      </m:oMath>
      <w:r>
        <w:rPr/>
        <w:t>) is trivial, comprising 7.1% of the total, rejecting mediation.</w:t>
      </w:r>
    </w:p>
    <w:p>
      <w:pPr>
        <w:pStyle w:val="TableCaption"/>
        <w:rPr/>
      </w:pPr>
      <w:r>
        <w:rPr/>
        <w:t>Bootstrapped Mediation Path Estimates for RQ4</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Path</w:t>
            </w:r>
          </w:p>
        </w:tc>
        <w:tc>
          <w:tcPr>
            <w:tcW w:w="1980" w:type="dxa"/>
            <w:tcBorders>
              <w:bottom w:val="single" w:sz="6" w:space="0" w:color="000000"/>
            </w:tcBorders>
            <w:vAlign w:val="bottom"/>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r>
            <m:oMathPara xmlns:m="http://schemas.openxmlformats.org/officeDocument/2006/math">
              <m:oMathParaPr>
                <m:jc m:val="center"/>
              </m:oMathParaPr>
              <m:oMath>
                <m:r>
                  <w:rPr>
                    <w:rFonts w:ascii="Cambria Math" w:hAnsi="Cambria Math"/>
                  </w:rPr>
                  <m:t xml:space="preserve">β</m:t>
                </m:r>
              </m:oMath>
            </m:oMathPara>
          </w:p>
        </w:tc>
        <w:tc>
          <w:tcPr>
            <w:tcW w:w="1980" w:type="dxa"/>
            <w:tcBorders>
              <w:bottom w:val="single" w:sz="6" w:space="0" w:color="000000"/>
            </w:tcBorders>
            <w:vAlign w:val="bottom"/>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95% CI</w:t>
            </w:r>
          </w:p>
        </w:tc>
        <w:tc>
          <w:tcPr>
            <w:tcW w:w="1980" w:type="dxa"/>
            <w:tcBorders>
              <w:bottom w:val="single" w:sz="6" w:space="0" w:color="000000"/>
            </w:tcBorders>
            <w:vAlign w:val="bottom"/>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p</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 xml:space="preserve">Clarity </w:t>
            </w:r>
            <w:r>
              <w:rPr>
                <w:rFonts w:eastAsia="Aptos" w:cs="" w:ascii="Aptos" w:hAnsi="Aptos"/>
                <w:kern w:val="0"/>
                <w:sz w:val="24"/>
                <w:szCs w:val="24"/>
                <w:lang w:val="en-US" w:eastAsia="en-US" w:bidi="ar-SA"/>
              </w:rPr>
            </w:r>
            <m:oMath xmlns:m="http://schemas.openxmlformats.org/officeDocument/2006/math">
              <m:r>
                <w:rPr>
                  <w:rFonts w:ascii="Cambria Math" w:hAnsi="Cambria Math"/>
                </w:rPr>
                <m:t xml:space="preserve">→</m:t>
              </m:r>
            </m:oMath>
            <w:r>
              <w:rPr>
                <w:rFonts w:eastAsia="Aptos" w:cs="" w:ascii="Aptos" w:hAnsi="Aptos"/>
                <w:kern w:val="0"/>
                <w:sz w:val="24"/>
                <w:szCs w:val="24"/>
                <w:lang w:val="en-US" w:eastAsia="en-US" w:bidi="ar-SA"/>
              </w:rPr>
              <w:t xml:space="preserve"> Compliance (a)</w:t>
            </w:r>
          </w:p>
        </w:tc>
        <w:tc>
          <w:tcPr>
            <w:tcW w:w="1980"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0.45</w:t>
            </w:r>
          </w:p>
        </w:tc>
        <w:tc>
          <w:tcPr>
            <w:tcW w:w="1980"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[-1.23, 2.13]</w:t>
            </w:r>
          </w:p>
        </w:tc>
        <w:tc>
          <w:tcPr>
            <w:tcW w:w="1980"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.32</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 xml:space="preserve">Compliance </w:t>
            </w:r>
            <w:r>
              <w:rPr>
                <w:rFonts w:eastAsia="Aptos" w:cs="" w:ascii="Aptos" w:hAnsi="Aptos"/>
                <w:kern w:val="0"/>
                <w:sz w:val="24"/>
                <w:szCs w:val="24"/>
                <w:lang w:val="en-US" w:eastAsia="en-US" w:bidi="ar-SA"/>
              </w:rPr>
            </w:r>
            <m:oMath xmlns:m="http://schemas.openxmlformats.org/officeDocument/2006/math">
              <m:r>
                <w:rPr>
                  <w:rFonts w:ascii="Cambria Math" w:hAnsi="Cambria Math"/>
                </w:rPr>
                <m:t xml:space="preserve">→</m:t>
              </m:r>
            </m:oMath>
            <w:r>
              <w:rPr>
                <w:rFonts w:eastAsia="Aptos" w:cs="" w:ascii="Aptos" w:hAnsi="Aptos"/>
                <w:kern w:val="0"/>
                <w:sz w:val="24"/>
                <w:szCs w:val="24"/>
                <w:lang w:val="en-US" w:eastAsia="en-US" w:bidi="ar-SA"/>
              </w:rPr>
              <w:t xml:space="preserve"> NPL (b)</w:t>
            </w:r>
          </w:p>
        </w:tc>
        <w:tc>
          <w:tcPr>
            <w:tcW w:w="1980"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-0.15</w:t>
            </w:r>
          </w:p>
        </w:tc>
        <w:tc>
          <w:tcPr>
            <w:tcW w:w="1980"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[-0.89, 0.59]</w:t>
            </w:r>
          </w:p>
        </w:tc>
        <w:tc>
          <w:tcPr>
            <w:tcW w:w="1980"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.41</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 xml:space="preserve">Clarity </w:t>
            </w:r>
            <w:r>
              <w:rPr>
                <w:rFonts w:eastAsia="Aptos" w:cs="" w:ascii="Aptos" w:hAnsi="Aptos"/>
                <w:kern w:val="0"/>
                <w:sz w:val="24"/>
                <w:szCs w:val="24"/>
                <w:lang w:val="en-US" w:eastAsia="en-US" w:bidi="ar-SA"/>
              </w:rPr>
            </w:r>
            <m:oMath xmlns:m="http://schemas.openxmlformats.org/officeDocument/2006/math">
              <m:r>
                <w:rPr>
                  <w:rFonts w:ascii="Cambria Math" w:hAnsi="Cambria Math"/>
                </w:rPr>
                <m:t xml:space="preserve">→</m:t>
              </m:r>
            </m:oMath>
            <w:r>
              <w:rPr>
                <w:rFonts w:eastAsia="Aptos" w:cs="" w:ascii="Aptos" w:hAnsi="Aptos"/>
                <w:kern w:val="0"/>
                <w:sz w:val="24"/>
                <w:szCs w:val="24"/>
                <w:lang w:val="en-US" w:eastAsia="en-US" w:bidi="ar-SA"/>
              </w:rPr>
              <w:t xml:space="preserve"> NPL (c’)</w:t>
            </w:r>
          </w:p>
        </w:tc>
        <w:tc>
          <w:tcPr>
            <w:tcW w:w="1980"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-0.861</w:t>
            </w:r>
          </w:p>
        </w:tc>
        <w:tc>
          <w:tcPr>
            <w:tcW w:w="1980"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[-4.75, 1.25]</w:t>
            </w:r>
          </w:p>
        </w:tc>
        <w:tc>
          <w:tcPr>
            <w:tcW w:w="1980"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.23</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 xml:space="preserve">Indirect (a </w:t>
            </w:r>
            <w:r>
              <w:rPr>
                <w:rFonts w:eastAsia="Aptos" w:cs="" w:ascii="Aptos" w:hAnsi="Aptos"/>
                <w:kern w:val="0"/>
                <w:sz w:val="24"/>
                <w:szCs w:val="24"/>
                <w:lang w:val="en-US" w:eastAsia="en-US" w:bidi="ar-SA"/>
              </w:rPr>
            </w:r>
            <m:oMath xmlns:m="http://schemas.openxmlformats.org/officeDocument/2006/math">
              <m:r>
                <w:rPr>
                  <w:rFonts w:ascii="Cambria Math" w:hAnsi="Cambria Math"/>
                </w:rPr>
                <m:t xml:space="preserve">×</m:t>
              </m:r>
            </m:oMath>
            <w:r>
              <w:rPr>
                <w:rFonts w:eastAsia="Aptos" w:cs="" w:ascii="Aptos" w:hAnsi="Aptos"/>
                <w:kern w:val="0"/>
                <w:sz w:val="24"/>
                <w:szCs w:val="24"/>
                <w:lang w:val="en-US" w:eastAsia="en-US" w:bidi="ar-SA"/>
              </w:rPr>
              <w:t xml:space="preserve"> b)</w:t>
            </w:r>
          </w:p>
        </w:tc>
        <w:tc>
          <w:tcPr>
            <w:tcW w:w="1980"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-0.066</w:t>
            </w:r>
          </w:p>
        </w:tc>
        <w:tc>
          <w:tcPr>
            <w:tcW w:w="1980"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[-0.91, 1.68]</w:t>
            </w:r>
          </w:p>
        </w:tc>
        <w:tc>
          <w:tcPr>
            <w:tcW w:w="1980"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.93</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Total Effect (c)</w:t>
            </w:r>
          </w:p>
        </w:tc>
        <w:tc>
          <w:tcPr>
            <w:tcW w:w="1980"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-0.927</w:t>
            </w:r>
          </w:p>
        </w:tc>
        <w:tc>
          <w:tcPr>
            <w:tcW w:w="1980"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[-3.98, 1.09]</w:t>
            </w:r>
          </w:p>
        </w:tc>
        <w:tc>
          <w:tcPr>
            <w:tcW w:w="1980"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.21</w:t>
            </w:r>
          </w:p>
        </w:tc>
      </w:tr>
    </w:tbl>
    <w:p>
      <w:pPr>
        <w:pStyle w:val="BodyText"/>
        <w:rPr/>
      </w:pPr>
      <w:r>
        <w:rPr/>
        <w:t xml:space="preserve">Note: Estimates from 1,000 bootstrapped resamples, controlling for bank size. </w:t>
      </w:r>
      <w:r>
        <w:rPr/>
      </w:r>
      <m:oMath xmlns:m="http://schemas.openxmlformats.org/officeDocument/2006/math">
        <m:r>
          <w:rPr>
            <w:rFonts w:ascii="Cambria Math" w:hAnsi="Cambria Math"/>
          </w:rPr>
          <m:t xml:space="preserve">n</m:t>
        </m:r>
        <m:r>
          <m:rPr>
            <m:lit/>
            <m:nor/>
          </m:rPr>
          <w:rPr>
            <w:rFonts w:ascii="Cambria Math" w:hAnsi="Cambria Math"/>
          </w:rPr>
          <m:t xml:space="preserve">=</m:t>
        </m:r>
        <m:r>
          <w:rPr>
            <w:rFonts w:ascii="Cambria Math" w:hAnsi="Cambria Math"/>
          </w:rPr>
          <m:t xml:space="preserve">10</m:t>
        </m:r>
      </m:oMath>
      <w:r>
        <w:rPr/>
        <w:t>. Paths align with Hayes Process Model 4.</w:t>
      </w:r>
    </w:p>
    <w:p>
      <w:pPr>
        <w:pStyle w:val="BodyText"/>
        <w:rPr/>
      </w:pPr>
      <w:r>
        <w:rPr/>
        <w:t>These nulls temper institutional theory’s harmonisation-causality premise (Scott, 2014), mirroring African empirical gaps where overlaps endure despite Basel III (OECD, 2023). Stewardship theory garners partial support, as direct effects intimate managerial navigation of shocks, yet mediation lapses undermine it.</w:t>
      </w:r>
      <w:bookmarkEnd w:id="95"/>
    </w:p>
    <w:p>
      <w:pPr>
        <w:pStyle w:val="Heading3"/>
        <w:numPr>
          <w:ilvl w:val="2"/>
          <w:numId w:val="1"/>
        </w:numPr>
        <w:ind w:hanging="0" w:left="0"/>
        <w:rPr/>
      </w:pPr>
      <w:r>
        <w:rPr/>
        <w:t xml:space="preserve">4.4.3 </w:t>
      </w:r>
      <w:bookmarkStart w:id="96" w:name="integration-of-qualitative-insights"/>
      <w:r>
        <w:rPr/>
        <w:t>Integration of Qualitative Insights</w:t>
      </w:r>
    </w:p>
    <w:p>
      <w:pPr>
        <w:pStyle w:val="FirstParagraph"/>
        <w:rPr/>
      </w:pPr>
      <w:r>
        <w:rPr/>
        <w:t>Thematic coding of interview transcripts (Braun &amp; Clarke, 2006) triangulates quantitatively, surfacing motifs like “regulatory confusion” (e.g., CBN-SEC overlaps delaying compliance) and “enforcement gaps” (e.g., erratic penalties amid inflation). An executive remarked: “Harmonisation on paper hasn’t translated to ground-level clarity; devaluation shocks amplify the fog.” Joint displays (Creswell &amp; Plano Clark, 2017) merge strands, exposing perceptual hurdles beyond metrics, akin to OECD critiques of reform signalling in emerging markets (OECD, 2015).</w:t>
      </w:r>
      <w:bookmarkEnd w:id="96"/>
    </w:p>
    <w:p>
      <w:pPr>
        <w:pStyle w:val="Heading3"/>
        <w:numPr>
          <w:ilvl w:val="2"/>
          <w:numId w:val="1"/>
        </w:numPr>
        <w:ind w:hanging="0" w:left="0"/>
        <w:rPr/>
      </w:pPr>
      <w:r>
        <w:rPr/>
        <w:t xml:space="preserve">4.4.4 </w:t>
      </w:r>
      <w:bookmarkStart w:id="97" w:name="theoretical-and-practical-implications"/>
      <w:r>
        <w:rPr/>
        <w:t>Theoretical and Practical Implications</w:t>
      </w:r>
    </w:p>
    <w:p>
      <w:pPr>
        <w:pStyle w:val="FirstParagraph"/>
        <w:rPr/>
      </w:pPr>
      <w:r>
        <w:rPr/>
        <w:t xml:space="preserve">Theoretically, outcomes refine agency-stewardship integrations by spotlighting institutional contingencies: clarity signals intent but shocks disrupt pathways, extending Adegbite (2014) and Olojede et al. (2020) on Nigerian erosions. Practically, they urge unified frameworks—a CBN-SEC oversight entity—to amplify clarity and compliance, projecting 0.5–1.0% </w:t>
      </w:r>
      <w:r>
        <w:rPr/>
      </w:r>
      <m:oMath xmlns:m="http://schemas.openxmlformats.org/officeDocument/2006/math">
        <m:r>
          <w:rPr>
            <w:rFonts w:ascii="Cambria Math" w:hAnsi="Cambria Math"/>
          </w:rPr>
          <m:t xml:space="preserve">β</m:t>
        </m:r>
      </m:oMath>
      <w:r>
        <w:rPr/>
        <w:t xml:space="preserve"> reductions per clarity unit against devaluation (CBN, 2023). Recommendations encompass joint audits and shock-resilient directives, harmonised with Basel III (BCBS, 2010). Cross-sectional causality limits prompt calls for longitudinal post-2025 extensions.</w:t>
      </w:r>
    </w:p>
    <w:p>
      <w:pPr>
        <w:pStyle w:val="BodyText"/>
        <w:rPr/>
      </w:pPr>
      <w:r>
        <w:rPr/>
        <w:t>In summation, RQ4 evinces modest perceptual gains sans robust NPL causality, impelling intensified harmonisation to shield Nigeria’s DMBs from systemic frailties.</w:t>
      </w:r>
      <w:bookmarkEnd w:id="79"/>
      <w:bookmarkEnd w:id="93"/>
      <w:bookmarkEnd w:id="97"/>
    </w:p>
    <w:p>
      <w:pPr>
        <w:pStyle w:val="Normal"/>
        <w:rPr/>
      </w:pPr>
      <w:r>
        <w:rPr/>
      </w:r>
    </w:p>
    <w:p>
      <w:pPr>
        <w:pStyle w:val="Normal"/>
        <w:rPr>
          <w:b/>
          <w:bCs/>
        </w:rPr>
      </w:pPr>
      <w:r>
        <w:rPr>
          <w:b/>
          <w:bCs/>
        </w:rPr>
        <w:t>Chapter 5: Discussion</w:t>
      </w:r>
    </w:p>
    <w:p>
      <w:pPr>
        <w:pStyle w:val="Normal"/>
        <w:rPr>
          <w:b/>
          <w:bCs/>
        </w:rPr>
      </w:pPr>
      <w:r>
        <w:rPr>
          <w:b/>
          <w:bCs/>
        </w:rPr>
        <w:t xml:space="preserve">5.1 </w:t>
      </w:r>
      <w:bookmarkStart w:id="98" w:name="X6758dc586385aec0de6cb9194028429d7de344a"/>
      <w:r>
        <w:rPr>
          <w:b/>
          <w:bCs/>
        </w:rPr>
        <w:t>Examination of Hypothesis 1: The Modulatory Influence of Corporate Governance Indices on Non-Performing Loan Ratios</w:t>
      </w:r>
    </w:p>
    <w:p>
      <w:pPr>
        <w:pStyle w:val="Normal"/>
        <w:rPr>
          <w:b/>
          <w:bCs/>
        </w:rPr>
      </w:pPr>
      <w:r>
        <w:rPr>
          <w:b/>
          <w:bCs/>
        </w:rPr>
      </w:r>
    </w:p>
    <w:p>
      <w:pPr>
        <w:pStyle w:val="FirstParagraph"/>
        <w:rPr/>
      </w:pPr>
      <w:r>
        <w:rPr/>
        <w:t>This section critically examines Hypothesis 1 (H1), which posits a negative association between corporate governance indices—disclosure (Corporate Governance Disclosure Index, CGDI), practice (Practice Index, OPEFF), and compliance (Compliance Index, COMID)—and non-performing loan (NPL) ratios in Nigerian deposit money banks (DMBs) over the 2009–2024 period. Controlling for bank-specific factors such as size and capital adequacy, alongside macroeconomic variables including GDP growth, inflation, and oil prices, the analysis disentangles these interdependencies within Nigeria’s evolving regulatory framework. By integrating longitudinal quantitative data from 160 bank-year observations with methodological innovations like bootstrapped panel fixed-effects regressions, this examination addresses enduring governance deficiencies that precipitated crises, such as the 2009 NPL surge exceeding 37% and over 425 institutional failures since 1988 (Sanusi, 2014; Olojede et al., 2020). The discussion proceeds through hypothesis restatement, empirical synopsis, theoretical interpretation, literature synthesis, and implications, thereby providing practicable insights for regulatory harmonization amid fragmentation and reform evolutions.</w:t>
      </w:r>
    </w:p>
    <w:p>
      <w:pPr>
        <w:pStyle w:val="Heading2"/>
        <w:rPr/>
      </w:pPr>
      <w:r>
        <w:rPr/>
        <w:t xml:space="preserve">5.1.1 </w:t>
      </w:r>
      <w:bookmarkStart w:id="99" w:name="X56090da34cce9712d4a60a68271fd1a394c306a"/>
      <w:r>
        <w:rPr/>
        <w:t>Restatement of Hypothesis and Introductory Overview</w:t>
      </w:r>
    </w:p>
    <w:p>
      <w:pPr>
        <w:pStyle w:val="FirstParagraph"/>
        <w:rPr/>
      </w:pPr>
      <w:r>
        <w:rPr/>
        <w:t>Hypothesis 1 (H1) asserts that corporate governance indices—encompassing disclosure through the Corporate Governance Disclosure Index (CGDI), practice via the Practice Index (OPEFF), and compliance with the Compliance Index (COMID)—exert a negative modulatory effect on non-performing loan (NPL) ratios in Nigerian deposit money banks (DMBs) from 2009 to 2024, while accounting for controls such as bank size, capital adequacy, and macroeconomic indicators including GDP growth, inflation, and oil prices. This hypothesis directly corresponds to Research Question 1 (RQ1), which interrogates the extent of such modulation in the context of Nigeria’s post-2009 regulatory evolutions, including the Central Bank of Nigeria (CBN) Code of 2014, the Nigerian Code of Corporate Governance (NCCG) 2018, the Companies and Allied Matters Act (CAMA) 2020, and the CBN Guidelines 2023. Theoretically grounded in agency theory, which posits that robust governance mechanisms mitigate information asymmetries and curb managerial opportunism leading to elevated default risks (Jensen &amp; Meckling, 1976), H1 is complemented by stewardship theory’s emphasis on intrinsic managerial practices fostering operational resilience (Donaldson &amp; Davis, 1991). Institutional theory further contextualizes these indices as adaptive responses to coercive pressures in fragmented regulatory environments, where opacity exacerbates NPL vulnerabilities (DiMaggio &amp; Powell, 1983; Scott, 2014). This subsection delineates the analytical structure: a recapitulation of results, theoretical explication, comparative literature review, implications for stakeholders, and linkages to subsequent hypotheses. Building upon this foundation, the inquiry elucidates how governance reforms transform inert mechanisms into effective risk attenuators, offering a nuanced lens on emerging market dynamics where macroeconomic volatilities intersect with institutional voids.</w:t>
      </w:r>
      <w:bookmarkEnd w:id="99"/>
    </w:p>
    <w:p>
      <w:pPr>
        <w:pStyle w:val="Heading2"/>
        <w:rPr/>
      </w:pPr>
      <w:r>
        <w:rPr/>
        <w:t xml:space="preserve">5.1.2 </w:t>
      </w:r>
      <w:bookmarkStart w:id="100" w:name="synopsis-of-empirical-findings"/>
      <w:r>
        <w:rPr/>
        <w:t>Synopsis of Empirical Findings</w:t>
      </w:r>
    </w:p>
    <w:p>
      <w:pPr>
        <w:pStyle w:val="FirstParagraph"/>
        <w:rPr/>
      </w:pPr>
      <w:r>
        <w:rPr/>
        <w:t>Leveraging panel fixed-effects regressions across 160 bank-year observations derived from audited financial statements and CBN reports, the analysis demonstrates that the Practice Index (OPEFF) yields the most robust negative coefficient on NPL ratios (</w:t>
      </w:r>
      <w:r>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m:t>
        </m:r>
        <m:r>
          <w:rPr>
            <w:rFonts w:ascii="Cambria Math" w:hAnsi="Cambria Math"/>
          </w:rPr>
          <m:t xml:space="preserve">0.531</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0.01</m:t>
        </m:r>
      </m:oMath>
      <w:r>
        <w:rPr/>
        <w:t>) throughout the sample period, with amplified effects in the post-2014 reform era. Disclosure (CGDI) exhibits temporal contingency, remaining statistically insignificant pre-2015 but manifesting a significant attenuating influence post-reform (</w:t>
      </w:r>
      <w:r>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m:t>
        </m:r>
        <m:r>
          <w:rPr>
            <w:rFonts w:ascii="Cambria Math" w:hAnsi="Cambria Math"/>
          </w:rPr>
          <m:t xml:space="preserve">0.361</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0.01</m:t>
        </m:r>
      </m:oMath>
      <w:r>
        <w:rPr/>
        <w:t xml:space="preserve">), attributable to enhanced credibility from mandates like board tenure limits and </w:t>
      </w:r>
      <w:r>
        <w:rPr/>
      </w:r>
      <m:oMath xmlns:m="http://schemas.openxmlformats.org/officeDocument/2006/math">
        <m:r>
          <w:rPr>
            <w:rFonts w:ascii="Cambria Math" w:hAnsi="Cambria Math"/>
          </w:rPr>
          <m:t xml:space="preserve">≥</m:t>
        </m:r>
        <m:r>
          <w:rPr>
            <w:rFonts w:ascii="Cambria Math" w:hAnsi="Cambria Math"/>
          </w:rPr>
          <m:t xml:space="preserve">50</m:t>
        </m:r>
        <m:r>
          <m:rPr>
            <m:lit/>
            <m:nor/>
          </m:rPr>
          <w:rPr>
            <w:rFonts w:ascii="Cambria Math" w:hAnsi="Cambria Math"/>
          </w:rPr>
          <m:t xml:space="preserve">%</m:t>
        </m:r>
      </m:oMath>
      <w:r>
        <w:rPr/>
        <w:t xml:space="preserve"> independent directors. Compliance (COMID), however, displays limited efficacy (</w:t>
      </w:r>
      <w:r>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m:t>
        </m:r>
        <m:r>
          <w:rPr>
            <w:rFonts w:ascii="Cambria Math" w:hAnsi="Cambria Math"/>
          </w:rPr>
          <m:t xml:space="preserve">0.333</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&gt;</m:t>
        </m:r>
        <m:r>
          <w:rPr>
            <w:rFonts w:ascii="Cambria Math" w:hAnsi="Cambria Math"/>
          </w:rPr>
          <m:t xml:space="preserve">0.10</m:t>
        </m:r>
      </m:oMath>
      <w:r>
        <w:rPr/>
        <w:t>), suggesting dilution amid regulatory multiplicity. Control variables reveal marginal impacts from capital adequacy, while macroeconomic factors such as inflation and oil prices exert positive pressures on NPLs, underscoring governance indices’ buffering role. Regime-split models confirm a structural shift post-2014, with practice and disclosure coefficients intensifying in the 2016–2024 subsample. Dynamic generalized method of moments (GMM) estimations reinforce these findings, accounting for NPL path dependence and endogeneity, while economic significance calculations indicate that a one-standard-deviation increase in post-reform CGDI could reduce NPLs by approximately 2.58 percentage points, translating to substantial provisioning efficiencies. Robustness checks, including bootstrapping (1,000 replications) and alternative specifications excluding outliers, affirm the persistence of these patterns, highlighting operational practices’ primacy in modulating defaults amid Nigeria’s volatile economic landscape.</w:t>
      </w:r>
      <w:bookmarkEnd w:id="100"/>
    </w:p>
    <w:p>
      <w:pPr>
        <w:pStyle w:val="Heading2"/>
        <w:rPr/>
      </w:pPr>
      <w:r>
        <w:rPr/>
        <w:t xml:space="preserve">5.1.3 </w:t>
      </w:r>
      <w:bookmarkStart w:id="101" w:name="X5e4ad6c2daebafe7e201730b81c9baab47b4002"/>
      <w:r>
        <w:rPr/>
        <w:t>Analytical Interpretation and Theoretical Insights</w:t>
      </w:r>
    </w:p>
    <w:p>
      <w:pPr>
        <w:pStyle w:val="FirstParagraph"/>
        <w:rPr/>
      </w:pPr>
      <w:r>
        <w:rPr/>
        <w:t>The empirical primacy of the Practice Index (OPEFF) in attenuating non-performing loan (NPL) ratios substantiates stewardship theory’s core proposition that intrinsic managerial commitments to internal controls and board diligence inherently fortify credit risk management architectures, surpassing the extrinsic alignments emphasized by agency theory in environments characterized by elevated uncertainty (Donaldson &amp; Davis, 1991). In the Nigerian deposit money banking (DMB) sector, where recurrent financial disruptions—such as the 2009 NPL surge exceeding 37% amid politically connected lending practices—have perpetuated systemic fragilities (Sanusi, 2014; Adegbite, 2015), operational practices function as critical conduits for rigorous loan evaluation and asset recuperation, thereby counteracting inefficiencies entrenched in patronage networks. This stewardship-infused resilience emerges as a protective mechanism against macroeconomic volatilities, with enhanced board oversight diminishing the exacerbating effects of inflation escalations and oil price oscillations on default probabilities, thus refining theoretical integrations by demonstrating how endogenous motivations dynamically acclimate to exogenous disturbances. Correspondingly, the temporal contingency of the Corporate Governance Disclosure Index (CGDI)—manifesting insignificance pre-2015 yet attaining robust negative coefficients post-reform (</w:t>
      </w:r>
      <w:r>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m:t>
        </m:r>
        <m:r>
          <w:rPr>
            <w:rFonts w:ascii="Cambria Math" w:hAnsi="Cambria Math"/>
          </w:rPr>
          <m:t xml:space="preserve">0.361</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0.01</m:t>
        </m:r>
      </m:oMath>
      <w:r>
        <w:rPr/>
        <w:t xml:space="preserve">)—aligns with institutional theory’s tenets of normative and coercive isomorphism, wherein Central Bank of Nigeria (CBN) directives, including board tenure limitations and </w:t>
      </w:r>
      <w:r>
        <w:rPr/>
      </w:r>
      <m:oMath xmlns:m="http://schemas.openxmlformats.org/officeDocument/2006/math">
        <m:r>
          <w:rPr>
            <w:rFonts w:ascii="Cambria Math" w:hAnsi="Cambria Math"/>
          </w:rPr>
          <m:t xml:space="preserve">≥</m:t>
        </m:r>
        <m:r>
          <w:rPr>
            <w:rFonts w:ascii="Cambria Math" w:hAnsi="Cambria Math"/>
          </w:rPr>
          <m:t xml:space="preserve">50</m:t>
        </m:r>
        <m:r>
          <m:rPr>
            <m:lit/>
            <m:nor/>
          </m:rPr>
          <w:rPr>
            <w:rFonts w:ascii="Cambria Math" w:hAnsi="Cambria Math"/>
          </w:rPr>
          <m:t xml:space="preserve">%</m:t>
        </m:r>
      </m:oMath>
      <w:r>
        <w:rPr/>
        <w:t xml:space="preserve"> independent director quotas under the 2014 Code, elevate disclosure from nominal to instrumental in bolstering credibility (DiMaggio &amp; Powell, 1983; Scott, 2014; OECD, 2023). Such processes unveil activation thresholds at which institutional pressures invigorate governance efficacy, transmuting pre-reform emblematic disclosures—impeded by regulatory silos—into operative instruments that bolster creditor assurance and alleviate informational asymmetries.</w:t>
      </w:r>
    </w:p>
    <w:p>
      <w:pPr>
        <w:pStyle w:val="BodyText"/>
        <w:rPr/>
      </w:pPr>
      <w:r>
        <w:rPr/>
        <w:t>Conversely, the subdued influence of the Compliance Index (COMID) (</w:t>
      </w:r>
      <w:r>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m:t>
        </m:r>
        <m:r>
          <w:rPr>
            <w:rFonts w:ascii="Cambria Math" w:hAnsi="Cambria Math"/>
          </w:rPr>
          <m:t xml:space="preserve">0.333</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&gt;</m:t>
        </m:r>
        <m:r>
          <w:rPr>
            <w:rFonts w:ascii="Cambria Math" w:hAnsi="Cambria Math"/>
          </w:rPr>
          <m:t xml:space="preserve">0.10</m:t>
        </m:r>
      </m:oMath>
      <w:r>
        <w:rPr/>
        <w:t>) exposes the limitations of agency theory in institutionally fragmented landscapes, where regulatory overlaps erode enforcement credibility, thereby privileging stewardship-oriented mechanisms over formal compliance amid perturbations such as oil price fluctuations and inflation surges (Jensen &amp; Meckling, 1976; Natufe &amp; Evbayiro-Osagie, 2023). These interdependencies resonate with resource dependence theory, which posits that DMBs strategically mobilize internal practices to negotiate external contingencies, including commodity-centric economic cycles that amplify default risks in resource-dependent nations (Pfeffer &amp; Salancik, 1978). Building upon this foundation, the evidence interrogates monolithic agency paradigms, which prioritize contractual safeguards against opportunism, by advocating hybrid theoretical models that synthesize stewardship’s intrinsic orientation with institutional contingencies, particularly in patronage-saturated contexts where reforms demarcate efficacy frontiers. This synthesis evidences stewardship’s dynamic evolution under coercive reforms, attenuating NPL ratios by up to 0.531 percentage points via operational reinforcement, while agency mechanisms wane without unified enforcement structures. In directly addressing RQ1, these insights delineate the modulation extents of governance indices on NPL ratios from 2009 to 2024—controlling for bank size, capital adequacy, and macroeconomic factors such as GDP growth, inflation, and oil prices—with practices exerting dominant effects and disclosure accruing significance post-reform, thereby quantifying interplays that intensify defaults in resource-dependent emerging economies.</w:t>
      </w:r>
    </w:p>
    <w:p>
      <w:pPr>
        <w:pStyle w:val="BodyText"/>
        <w:rPr/>
      </w:pPr>
      <w:r>
        <w:rPr/>
        <w:t>Expanding upon these hybrid models, contemporary scholarship emphasizes the imperative of amalgamating agency, stewardship, and institutional theories to construct comprehensive frameworks attuned to the intricacies of emerging markets, where institutional voids and regulatory multiplicity confound singular theoretical applications (Cuevas-Rodríguez et al., 2012). For instance, hybrid governance architectures can fuse stewardship principles—centered on trust cultivation and long-term value generation—with agency-derived mechanisms such as monitoring and incentive alignments, thereby ensuring accountability while fostering ethical leadership in volatile environments (Ezeani &amp; Ezeani, 2025). This amalgamation mitigates agency theory’s undue focus on self-interested behavior by incorporating stewardship’s altruistic presuppositions, moderated through institutional theory’s recognition of coercive regulatory pressures and normative isomorphism that shape organizational responses (DiMaggio &amp; Powell, 1983). Within Nigerian DMBs, such hybrids materialize as adaptive countermeasures to institutional lacunae, where patronage networks erode agency controls, yet stewardship-propelled practices—invigorated by reforms like the CBN Guidelines 2023—remediate deficiencies by engendering intrinsic motivations amid macroeconomic adversities, including oil-driven recessions and inflationary pressures. Post-2014 empirical inquiries in analogous emerging contexts, such as Indonesian banking studies demonstrating governance practices’ attenuation of NPLs through enhanced risk oversight under Basel III convergence, corroborate this integration by highlighting how stewardship complements agency in curbing defaults amid GDP and inflation controls (Susanto et al., 2022; BCBS, 2010). Building upon this, multi-theoretical paradigms augment agency with stewardship and resource dependence components, acknowledging broader environmental forces that precipitate NPL proliferations in opaque markets, as evidenced in South Asian analyses where corruption controls negatively associate with defaults post-reform (Cuevas-Rodríguez et al., 2012; Shah &amp; Shah, 2024).</w:t>
      </w:r>
    </w:p>
    <w:p>
      <w:pPr>
        <w:pStyle w:val="BodyText"/>
        <w:rPr/>
      </w:pPr>
      <w:r>
        <w:rPr/>
        <w:t>Theoretically, these models transcend oppositional dichotomies by positioning stewardship as complementary to agency, with institutional theory furnishing the contextual armature: in pre-reform phases (2009–2014), agency mechanisms falter owing to enforcement fragmentation, whereas post-reform stewardship intensifies under coercive mandates, engendering negative NPL modulations as observed in MSCI emerging economies where composite governance indices significantly diminish defaults (Ozili, 2021; OECD, 2023). This refinement incorporates residual rights logics, wherein stewardship ameliorates agency conflicts via collective governance interpretations, especially in corruption-rife emerging economies where regulatory multiplicity undermines compliance efficacy, as illustrated in Pakistani commercial banks where board attributes reduce NPLs post-2014 reforms (Filatotchev &amp; Nakajima, 2014; Khan et al., n.d.). Correspondingly, equilibrating trust (stewardship) with verification (agency) beneath institutional canopies elucidates OPEFF’s ascendancy in Nigeria, as intrinsic commitments insulate against external volatilities in Sub-Saharan African settings, where hybrid models augment explanatory potency for governance-NPL interlinkages, aligning with global reforms like Basel III that emphasize capital buffers to curtail risky asset accumulations (Madison et al., 2018; BCBS, 2010). In addressing RQ1, these hybrid elaborations quantify how amalgamated frameworks more adeptly encapsulate modulation extents, with practices attenuating defaults by harnessing stewardship’s malleability within institutional reform thresholds, while contextualizing Nigerian DMBs within broader OECD-driven governance evolutions that prioritize transparency and resilience in resource-dependent markets (OECD, 2023). This theoretical augmentation not only bridges paradigmatic contrasts but also propels future inquiries toward testable propositions on hybrid efficacy in mitigating macroeconomic confounders across emerging financial sectors.</w:t>
      </w:r>
    </w:p>
    <w:p>
      <w:pPr>
        <w:sectPr>
          <w:type w:val="nextPage"/>
          <w:pgSz w:w="12240" w:h="15840"/>
          <w:pgMar w:left="1134" w:right="1134" w:gutter="0" w:header="0" w:top="1134" w:footer="0" w:bottom="1134"/>
          <w:pgNumType w:fmt="decimal"/>
          <w:formProt w:val="false"/>
          <w:textDirection w:val="lrTb"/>
          <w:docGrid w:type="default" w:linePitch="312" w:charSpace="0"/>
        </w:sectPr>
        <w:pStyle w:val="TableCaption"/>
        <w:rPr>
          <w:b/>
          <w:bCs/>
        </w:rPr>
      </w:pPr>
      <w:r>
        <w:rPr>
          <w:b/>
          <w:bCs/>
        </w:rPr>
      </w:r>
    </w:p>
    <w:p>
      <w:pPr>
        <w:pStyle w:val="TableCaption"/>
        <w:rPr>
          <w:b/>
          <w:bCs/>
        </w:rPr>
      </w:pPr>
      <w:r>
        <w:rPr>
          <w:b/>
          <w:bCs/>
        </w:rPr>
        <w:t xml:space="preserve">Table 5.1: </w:t>
      </w:r>
      <w:r>
        <w:rPr>
          <w:b/>
          <w:bCs/>
        </w:rPr>
        <w:t>Summary of Findings Addressing Hypothesis 1 and RQ</w:t>
      </w:r>
    </w:p>
    <w:tbl>
      <w:tblPr>
        <w:tblStyle w:val="Table"/>
        <w:tblW w:w="12886"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3256"/>
        <w:gridCol w:w="3069"/>
        <w:gridCol w:w="4581"/>
      </w:tblGrid>
      <w:tr>
        <w:trPr>
          <w:tblHeader w:val="true"/>
        </w:trPr>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b/>
                <w:bCs/>
                <w:kern w:val="0"/>
                <w:sz w:val="24"/>
                <w:szCs w:val="24"/>
                <w:lang w:val="en-US" w:eastAsia="en-US" w:bidi="ar-SA"/>
              </w:rPr>
              <w:t>Hypothesis Element</w:t>
            </w:r>
          </w:p>
        </w:tc>
        <w:tc>
          <w:tcPr>
            <w:tcW w:w="3256"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b/>
                <w:bCs/>
                <w:kern w:val="0"/>
                <w:sz w:val="24"/>
                <w:szCs w:val="24"/>
                <w:lang w:val="en-US" w:eastAsia="en-US" w:bidi="ar-SA"/>
              </w:rPr>
              <w:t>Key Empirical Finding</w:t>
            </w:r>
          </w:p>
        </w:tc>
        <w:tc>
          <w:tcPr>
            <w:tcW w:w="306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b/>
                <w:bCs/>
                <w:kern w:val="0"/>
                <w:sz w:val="24"/>
                <w:szCs w:val="24"/>
                <w:lang w:val="en-US" w:eastAsia="en-US" w:bidi="ar-SA"/>
              </w:rPr>
              <w:t>Support Level for H1</w:t>
            </w:r>
          </w:p>
        </w:tc>
        <w:tc>
          <w:tcPr>
            <w:tcW w:w="458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b/>
                <w:bCs/>
                <w:kern w:val="0"/>
                <w:sz w:val="24"/>
                <w:szCs w:val="24"/>
                <w:lang w:val="en-US" w:eastAsia="en-US" w:bidi="ar-SA"/>
              </w:rPr>
              <w:t>Direct Answer to RQ1</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OPEFF (Practice Index)</w:t>
            </w:r>
          </w:p>
        </w:tc>
        <w:tc>
          <w:tcPr>
            <w:tcW w:w="325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 xml:space="preserve">Robust negative </w:t>
            </w:r>
            <w:r>
              <w:rPr>
                <w:rFonts w:eastAsia="Aptos" w:cs="" w:ascii="Aptos" w:hAnsi="Aptos"/>
                <w:kern w:val="0"/>
                <w:sz w:val="24"/>
                <w:szCs w:val="24"/>
                <w:lang w:val="en-US" w:eastAsia="en-US" w:bidi="ar-SA"/>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m:t>
              </m:r>
              <m:r>
                <w:rPr>
                  <w:rFonts w:ascii="Cambria Math" w:hAnsi="Cambria Math"/>
                </w:rPr>
                <m:t xml:space="preserve">0.531</m:t>
              </m:r>
            </m:oMath>
            <w:r>
              <w:rPr>
                <w:rFonts w:eastAsia="Aptos" w:cs="" w:ascii="Aptos" w:hAnsi="Aptos"/>
                <w:kern w:val="0"/>
                <w:sz w:val="24"/>
                <w:szCs w:val="24"/>
                <w:lang w:val="en-US" w:eastAsia="en-US" w:bidi="ar-SA"/>
              </w:rPr>
              <w:t xml:space="preserve"> (</w:t>
            </w:r>
            <w:r>
              <w:rPr>
                <w:rFonts w:eastAsia="Aptos" w:cs="" w:ascii="Aptos" w:hAnsi="Aptos"/>
                <w:kern w:val="0"/>
                <w:sz w:val="24"/>
                <w:szCs w:val="24"/>
                <w:lang w:val="en-US" w:eastAsia="en-US" w:bidi="ar-SA"/>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0.01</m:t>
              </m:r>
            </m:oMath>
            <w:r>
              <w:rPr>
                <w:rFonts w:eastAsia="Aptos" w:cs="" w:ascii="Aptos" w:hAnsi="Aptos"/>
                <w:kern w:val="0"/>
                <w:sz w:val="24"/>
                <w:szCs w:val="24"/>
                <w:lang w:val="en-US" w:eastAsia="en-US" w:bidi="ar-SA"/>
              </w:rPr>
              <w:t>) across full sample; strengthens post-reform</w:t>
            </w:r>
          </w:p>
        </w:tc>
        <w:tc>
          <w:tcPr>
            <w:tcW w:w="306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Strong support</w:t>
            </w:r>
          </w:p>
        </w:tc>
        <w:tc>
          <w:tcPr>
            <w:tcW w:w="45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Modulates NPLs substantially (up to 0.531 pp reduction), emphasizing operational efficacy amid controls</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CGDI (Disclosure Index)</w:t>
            </w:r>
          </w:p>
        </w:tc>
        <w:tc>
          <w:tcPr>
            <w:tcW w:w="325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 xml:space="preserve">Insignificant pre-2015; negative </w:t>
            </w:r>
            <w:r>
              <w:rPr>
                <w:rFonts w:eastAsia="Aptos" w:cs="" w:ascii="Aptos" w:hAnsi="Aptos"/>
                <w:kern w:val="0"/>
                <w:sz w:val="24"/>
                <w:szCs w:val="24"/>
                <w:lang w:val="en-US" w:eastAsia="en-US" w:bidi="ar-SA"/>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m:t>
              </m:r>
              <m:r>
                <w:rPr>
                  <w:rFonts w:ascii="Cambria Math" w:hAnsi="Cambria Math"/>
                </w:rPr>
                <m:t xml:space="preserve">0.361</m:t>
              </m:r>
            </m:oMath>
            <w:r>
              <w:rPr>
                <w:rFonts w:eastAsia="Aptos" w:cs="" w:ascii="Aptos" w:hAnsi="Aptos"/>
                <w:kern w:val="0"/>
                <w:sz w:val="24"/>
                <w:szCs w:val="24"/>
                <w:lang w:val="en-US" w:eastAsia="en-US" w:bidi="ar-SA"/>
              </w:rPr>
              <w:t xml:space="preserve"> (</w:t>
            </w:r>
            <w:r>
              <w:rPr>
                <w:rFonts w:eastAsia="Aptos" w:cs="" w:ascii="Aptos" w:hAnsi="Aptos"/>
                <w:kern w:val="0"/>
                <w:sz w:val="24"/>
                <w:szCs w:val="24"/>
                <w:lang w:val="en-US" w:eastAsia="en-US" w:bidi="ar-SA"/>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0.01</m:t>
              </m:r>
            </m:oMath>
            <w:r>
              <w:rPr>
                <w:rFonts w:eastAsia="Aptos" w:cs="" w:ascii="Aptos" w:hAnsi="Aptos"/>
                <w:kern w:val="0"/>
                <w:sz w:val="24"/>
                <w:szCs w:val="24"/>
                <w:lang w:val="en-US" w:eastAsia="en-US" w:bidi="ar-SA"/>
              </w:rPr>
              <w:t>) post-reform</w:t>
            </w:r>
          </w:p>
        </w:tc>
        <w:tc>
          <w:tcPr>
            <w:tcW w:w="306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Partial support (reform-contingent)</w:t>
            </w:r>
          </w:p>
        </w:tc>
        <w:tc>
          <w:tcPr>
            <w:tcW w:w="45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Modulates NPLs post-reform (2.58 pp economic magnitude), activated by CBN mandates</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COMID (Compliance Index)</w:t>
            </w:r>
          </w:p>
        </w:tc>
        <w:tc>
          <w:tcPr>
            <w:tcW w:w="325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Largely insignificant (</w:t>
            </w:r>
            <w:r>
              <w:rPr>
                <w:rFonts w:eastAsia="Aptos" w:cs="" w:ascii="Aptos" w:hAnsi="Aptos"/>
                <w:kern w:val="0"/>
                <w:sz w:val="24"/>
                <w:szCs w:val="24"/>
                <w:lang w:val="en-US" w:eastAsia="en-US" w:bidi="ar-SA"/>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m:t>
              </m:r>
              <m:r>
                <w:rPr>
                  <w:rFonts w:ascii="Cambria Math" w:hAnsi="Cambria Math"/>
                </w:rPr>
                <m:t xml:space="preserve">0.333</m:t>
              </m:r>
            </m:oMath>
            <w:r>
              <w:rPr>
                <w:rFonts w:eastAsia="Aptos" w:cs="" w:ascii="Aptos" w:hAnsi="Aptos"/>
                <w:kern w:val="0"/>
                <w:sz w:val="24"/>
                <w:szCs w:val="24"/>
                <w:lang w:val="en-US" w:eastAsia="en-US" w:bidi="ar-SA"/>
              </w:rPr>
              <w:t xml:space="preserve">, </w:t>
            </w:r>
            <w:r>
              <w:rPr>
                <w:rFonts w:eastAsia="Aptos" w:cs="" w:ascii="Aptos" w:hAnsi="Aptos"/>
                <w:kern w:val="0"/>
                <w:sz w:val="24"/>
                <w:szCs w:val="24"/>
                <w:lang w:val="en-US" w:eastAsia="en-US" w:bidi="ar-SA"/>
              </w:rPr>
            </w:r>
            <m:oMath xmlns:m="http://schemas.openxmlformats.org/officeDocument/2006/math">
              <m:r>
                <w:rPr>
                  <w:rFonts w:ascii="Cambria Math" w:hAnsi="Cambria Math"/>
                </w:rPr>
                <m:t xml:space="preserve">p</m:t>
              </m:r>
              <m:r>
                <m:rPr>
                  <m:lit/>
                  <m:nor/>
                </m:rPr>
                <w:rPr>
                  <w:rFonts w:ascii="Cambria Math" w:hAnsi="Cambria Math"/>
                </w:rPr>
                <m:t xml:space="preserve">&gt;</m:t>
              </m:r>
              <m:r>
                <w:rPr>
                  <w:rFonts w:ascii="Cambria Math" w:hAnsi="Cambria Math"/>
                </w:rPr>
                <m:t xml:space="preserve">0.10</m:t>
              </m:r>
            </m:oMath>
            <w:r>
              <w:rPr>
                <w:rFonts w:eastAsia="Aptos" w:cs="" w:ascii="Aptos" w:hAnsi="Aptos"/>
                <w:kern w:val="0"/>
                <w:sz w:val="24"/>
                <w:szCs w:val="24"/>
                <w:lang w:val="en-US" w:eastAsia="en-US" w:bidi="ar-SA"/>
              </w:rPr>
              <w:t>)</w:t>
            </w:r>
          </w:p>
        </w:tc>
        <w:tc>
          <w:tcPr>
            <w:tcW w:w="306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No support</w:t>
            </w:r>
          </w:p>
        </w:tc>
        <w:tc>
          <w:tcPr>
            <w:tcW w:w="45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Minimal modulation, diluted by regulatory fragmentation despite macroeconomic controls</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Overall H1</w:t>
            </w:r>
          </w:p>
        </w:tc>
        <w:tc>
          <w:tcPr>
            <w:tcW w:w="325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Partial negative modulation, affirmed by GMM robustness</w:t>
            </w:r>
          </w:p>
        </w:tc>
        <w:tc>
          <w:tcPr>
            <w:tcW w:w="306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Partial</w:t>
            </w:r>
          </w:p>
        </w:tc>
        <w:tc>
          <w:tcPr>
            <w:tcW w:w="45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Indices modulate NPLs to varying extents, with practices dominant and disclosure reform-dependent</w:t>
            </w:r>
            <w:bookmarkStart w:id="102" w:name="tab%3Ah1_summary"/>
            <w:bookmarkEnd w:id="102"/>
          </w:p>
        </w:tc>
      </w:tr>
    </w:tbl>
    <w:p>
      <w:pPr>
        <w:pStyle w:val="BodyText"/>
        <w:rPr/>
      </w:pPr>
      <w:r>
        <w:rPr/>
      </w:r>
      <w:bookmarkStart w:id="103" w:name="tab%3Ah1_summary_Copy_1"/>
      <w:bookmarkStart w:id="104" w:name="tab%3Ah1_summary_Copy_1"/>
      <w:bookmarkEnd w:id="101"/>
      <w:bookmarkEnd w:id="104"/>
    </w:p>
    <w:p>
      <w:pPr>
        <w:sectPr>
          <w:type w:val="nextPage"/>
          <w:pgSz w:orient="landscape" w:w="15840" w:h="12240"/>
          <w:pgMar w:left="1134" w:right="1134" w:gutter="0" w:header="0" w:top="1134" w:footer="0" w:bottom="1134"/>
          <w:pgNumType w:fmt="decimal"/>
          <w:formProt w:val="false"/>
          <w:textDirection w:val="lrTb"/>
        </w:sectPr>
        <w:pStyle w:val="Heading2"/>
        <w:rPr/>
      </w:pPr>
      <w:r>
        <w:rPr/>
      </w:r>
    </w:p>
    <w:p>
      <w:pPr>
        <w:pStyle w:val="Heading2"/>
        <w:rPr/>
      </w:pPr>
      <w:r>
        <w:rPr/>
        <w:t>5.</w:t>
      </w:r>
      <w:r>
        <w:rPr/>
        <w:t>1.4</w:t>
      </w:r>
      <w:bookmarkStart w:id="105" w:name="X489bfc978eac67331e7e75895d7c22c2d783dad"/>
      <w:r>
        <w:rPr/>
        <w:t>Alignment with Existing Literature in Relation to RQ1 and H1</w:t>
      </w:r>
    </w:p>
    <w:p>
      <w:pPr>
        <w:pStyle w:val="FirstParagraph"/>
        <w:rPr/>
      </w:pPr>
      <w:r>
        <w:rPr/>
        <w:t>These outcomes resonate with post-2014 scholarship in African contexts, where governance practices mitigate defaults in risk-prone environments; for instance, Ghanaian evidence post-2016 reforms shows board operational efficacy curbing NPLs by 28 basis points, controlling for GDP and inflation, thereby linking to RQ1 by quantifying practice-driven modulation akin to OPEFF’s dominance (Abor et al., 2019). South African studies similarly prioritize practice over compliance in Basel III-aligned settings, reducing NPLs amid economic volatilities (Rossouw &amp; Styan, 2022), bolstering H1’s focus on operational resilience in emerging markets. Internationally, OECD frameworks highlight disclosure’s reform-enhanced potency in developed economies (OECD, 2023), yet diverge from Nigerian pre-2015 null effects, mirroring Malaysian pre-crisis disclosure inefficacy due to enforcement gaps (Abdul Wahab et al., 2017), thus addressing RQ1’s extent query through reform contingencies. Contrasts with agency-dominant research in mature markets—where compliance robustly alleviates asymmetries (Bushman et al., 2015)—arise from Nigeria’s institutional voids, including patronage and silos, which elevate stewardship in volatile contexts (Olojede et al., 2020), affirming H1 via contextual differentiations.</w:t>
      </w:r>
    </w:p>
    <w:p>
      <w:pPr>
        <w:pStyle w:val="BodyText"/>
        <w:rPr/>
      </w:pPr>
      <w:r>
        <w:rPr/>
        <w:t>Extending Nigerian panel inquiries (Elias, 2024), this study incorporates regime shifts absent in static models, revealing reform-contingent effects consistent with Indonesian post-2014 analyses, where governance practices attenuated NPLs through risk oversight amid macroeconomic pressures (Susanto et al., 2022). Recent emerging market research, such as Pakistani studies on corporate governance’s impact on NPLs, underscores board mechanisms’ negative influence, moderated by country governance (Corporate governance and non-performing loans, 2022; Corporate governance and loan performance, 2025), linking to RQ1 by evidencing index attenuations under similar controls. In Sub-Saharan Africa, corruption and growth interactions amplify NPLs, with governance mitigating effects post-2014 (Corruption, economic growth, and non-performing loans in Sub-Saharan Africa, 2024), reinforcing H1’s partial support through literature quantifying modulation in analogous reforms. Building upon this, Indian post-2014 inquiries demonstrate governance reforms curbing NPLs via disclosure credibility (Narayanaswamy et al., 2017), further elucidating RQ1 by delineating extents in institutionally comparable settings. Emerging economy syntheses emphasize internal mechanisms’ efficacy in managing NPLs only under strong regulatory alignment, as in MSCI countries where new governance determinants reduced defaults (Governance matters on non-performing loans, 2021), supporting H1’s stewardship emphasis. This evidences that, in emerging contexts, governance indices interact with macroeconomic factors to modulate NPLs, as Nigerian studies post-2014 affirm negative influences from structures like board size and audit independence (Adegboye et al., 2020; Angahar &amp; Mejabi, 2014), addressing RQ1’s controls by highlighting interdependencies with GDP and inflation.</w:t>
      </w:r>
    </w:p>
    <w:p>
      <w:pPr>
        <w:pStyle w:val="BodyText"/>
        <w:rPr/>
      </w:pPr>
      <w:r>
        <w:rPr/>
        <w:t>Correspondingly, broader post-2014 empirical inquiries in emerging markets corroborate the primacy of governance indices in attenuating NPLs, with a 2021 study across MSCI emerging economies constructing novel governance indices—incorporating board independence, audit quality, and ownership structures—to demonstrate significant negative associations with NPL ratios, controlling for macroeconomic variables such as GDP growth and inflation, thereby aligning with RQ1’s quantification of modulation extents in institutionally similar settings (Ozili, 2021). This extends H1 by evidencing how composite indices, akin to CGDI and OPEFF, mitigate defaults through enhanced risk oversight, particularly in volatile commodity-dependent economies. In South Asian contexts, recent analyses reveal that control of corruption—a proxy for institutional governance—negatively impacts NPLs, with stronger effects in post-2020 reform periods, underscoring the dilution of compliance mechanisms amid patronage networks and echoing COMID’s muted efficacy in Nigeria (Shah &amp; Shah, 2024). Such findings address RQ1 by illustrating macroeconomic interdependencies, where governance buffers inflation-driven defaults, reinforcing H1’s partial support in corruption-prone emerging markets.</w:t>
      </w:r>
    </w:p>
    <w:p>
      <w:pPr>
        <w:pStyle w:val="BodyText"/>
        <w:rPr/>
      </w:pPr>
      <w:r>
        <w:rPr/>
        <w:t>Furthermore, a 2025 investigation into internal corporate governance mechanisms in listed banks across emerging economies affirms their effectiveness in managing NPLs, with board composition and audit committees exerting robust negative influences post-regulatory alignments like Basel III, directly linking to RQ1’s control for capital adequacy and highlighting practice indices’ dominance over compliance in opaque settings (Ezeani &amp; Ezeani, 2025). This bolsters H1 by providing contemporaneous evidence from 2025, where stewardship-driven internals attenuate NPLs amid economic shocks, contrasting with agency-centric mature market paradigms. Pakistani commercial bank studies similarly reveal that corporate governance attributes—such as independent directors and CEO duality—significantly reduce NPLs, with effects amplified post-2014 reforms, quantifying modulation extents under GDP and oil price controls akin to RQ1’s framework (Khan et al., n.d.). Building upon this, World Bank empirical reviews on emerging market performance underscore corporate governance’s pivotal role in curbing financial distress, including NPL accumulations, through enhanced board practices that foster resilience in patronage-infused environments, thereby affirming H1’s stewardship emphasis and addressing RQ1’s macroeconomic contingencies (World Bank, 2021). These integrations with post-2014 literature not only validate the reform-contingent efficacy of disclosure and practice indices but also highlight contextual divergences, where institutional voids in emerging markets privilege intrinsic mechanisms over formal compliance, offering a theoretically robust foundation for H1’s partial modulation assertions.</w:t>
      </w:r>
      <w:bookmarkEnd w:id="105"/>
    </w:p>
    <w:p>
      <w:pPr>
        <w:pStyle w:val="Heading2"/>
        <w:rPr/>
      </w:pPr>
      <w:r>
        <w:rPr/>
        <w:t>5.</w:t>
      </w:r>
      <w:r>
        <w:rPr/>
        <w:t xml:space="preserve">1.5  </w:t>
      </w:r>
      <w:bookmarkStart w:id="106" w:name="X4de97fc895385444acae56cbd6c73926916afc2"/>
      <w:r>
        <w:rPr/>
        <w:t>Theoretical, Practical, and Policy Implications</w:t>
      </w:r>
    </w:p>
    <w:p>
      <w:pPr>
        <w:pStyle w:val="FirstParagraph"/>
        <w:rPr/>
      </w:pPr>
      <w:r>
        <w:rPr/>
        <w:t>The empirical substantiation of Hypothesis 1 (H1), which elucidates the negative modulatory influence of corporate governance indices on non-performing loan (NPL) ratios in Nigerian deposit money banks (DMBs), engenders multifaceted implications that span theoretical refinement, practical managerial strategies, and policy-oriented reforms. Controlling for bank-specific attributes such as size and capital adequacy, alongside macroeconomic confounders including GDP growth, inflation, and oil prices, these findings address Research Question 1 (RQ1) by quantifying the extent of modulation amid Nigeria’s post-2009 regulatory evolutions, including the Central Bank of Nigeria (CBN) Code of 2014, the Nigerian Code of Corporate Governance (NCCG) 2018, the Companies and Allied Matters Act (CAMA) 2020, and the CBN Guidelines 2023. Building upon this foundation, the implications delineate how governance mechanisms—disclosure via the Corporate Governance Disclosure Index (CGDI), practice through the Practice Index (OPEFF), and compliance with the Compliance Index (COMID)—interact with institutional voids to attenuate default risks in resource-dependent emerging economies. Correspondingly, the ensuing subsections dissect these ramifications through theoretical, practical, and policy lenses, proposing hybridized frameworks, operational enhancements, and regulatory harmonizations that foster resilience against systemic vulnerabilities precipitated by patronage networks and economic volatilities.</w:t>
      </w:r>
    </w:p>
    <w:p>
      <w:pPr>
        <w:pStyle w:val="Heading3"/>
        <w:numPr>
          <w:ilvl w:val="2"/>
          <w:numId w:val="1"/>
        </w:numPr>
        <w:ind w:hanging="0" w:left="0"/>
        <w:rPr/>
      </w:pPr>
      <w:r>
        <w:rPr/>
        <w:t>5.</w:t>
      </w:r>
      <w:r>
        <w:rPr/>
        <w:t xml:space="preserve">1.6 </w:t>
      </w:r>
      <w:bookmarkStart w:id="107" w:name="theoretical-implications"/>
      <w:r>
        <w:rPr/>
        <w:t>Theoretical Implications</w:t>
      </w:r>
    </w:p>
    <w:p>
      <w:pPr>
        <w:pStyle w:val="FirstParagraph"/>
        <w:rPr/>
      </w:pPr>
      <w:r>
        <w:rPr/>
        <w:t>Theoretically, these outcomes advance stewardship theory by empirically validating its pertinence in turbulent emerging economies, where intrinsic managerial commitments to operational practices eclipse formal compliance mechanisms in bridging institutional gaps, thereby enriching institutional theory through the identification of reform thresholds that activate governance efficacy (Donaldson &amp; Davis, 1991; Scott, 2014). In patronage-infused contexts like Nigerian DMBs, where NPL escalations have historically exceeded 37% amid politically influenced lending (Sanusi, 2014; Adegbite, 2015), stewardship’s emphasis on altruistic alignments manifests as a dynamic buffer against macroeconomic perturbations, refining theoretical syntheses by illustrating how intrinsic motivations adapt to exogenous shocks such as inflation surges and oil price fluctuations. This evidences a departure from monolithic agency paradigms, which presume universal efficacy in curbing opportunism through monitoring, yet falter in fragmented regulatory environments where overlapping codes dilute enforcement credibility (Jensen &amp; Meckling, 1976; Natufe &amp; Evbayiro-Osagie, 2023). Correspondingly, the findings advocate for hybridized theoretical frameworks that integrate agency, stewardship, and institutional lenses, accommodating opacity and patronage in models tailored to resource-dependent markets, thereby extending contrasts between theories to emphasize stewardship’s adaptive role under coercive pressures (DiMaggio &amp; Powell, 1983; Pfeffer &amp; Salancik, 1978).</w:t>
      </w:r>
    </w:p>
    <w:p>
      <w:pPr>
        <w:pStyle w:val="BodyText"/>
        <w:rPr/>
      </w:pPr>
      <w:r>
        <w:rPr/>
        <w:t>Expanding this advocacy, hybrid models offer a robust explanatory architecture by reconciling agency theory’s conflict-centric view—focused on extrinsic incentives to mitigate asymmetries—with stewardship’s alignment assumptions, mediated via institutional theory’s emphasis on isomorphic adaptations to regulatory pressures (Cuevas-Rodríguez et al., 2012). In emerging markets, such integrations enable nuanced predictions: agency mechanisms like compliance audits prove inert without stewardship’s intrinsic trust, yet institutional reforms—such as the CBN’s harmonization efforts post-2014—catalyze synergies that attenuate NPLs through enhanced operational and disclosure efficacy, as evidenced in MSCI emerging countries where composite governance indices significantly reduced defaults amid macroeconomic controls (Ozili, 2021). This synthesis extends to residual rights logics, wherein hybrid models allocate governance responsibilities to balance extrinsic incentives with intrinsic motivations, fostering resilience in markets plagued by regulatory multiplicity and corruption, where control of corruption proxies negatively impact NPLs in South Asian contexts akin to Nigeria’s institutional voids (Filatotchev &amp; Nakajima, 2014; Shah &amp; Shah, 2024). Correspondingly, balancing trust-verification dichotomies within institutional contexts elucidates why OPEFF dominates in modulating NPLs (</w:t>
      </w:r>
      <w:r>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m:t>
        </m:r>
        <m:r>
          <w:rPr>
            <w:rFonts w:ascii="Cambria Math" w:hAnsi="Cambria Math"/>
          </w:rPr>
          <m:t xml:space="preserve">0.531</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0.01</m:t>
        </m:r>
      </m:oMath>
      <w:r>
        <w:rPr/>
        <w:t>), as stewardship tempers agency risks under coercive pressures, yielding policy-relevant insights for global standards like Basel III and OECD principles (Madison et al., 2018; OECD, 2023). These expansions refine theoretical boundaries, proposing testable propositions: hybrid efficacy strengthens in post-reform eras, with stewardship moderating agency-institutional interplays to modulate defaults amid macroeconomic volatilities, as corroborated by recent emerging market analyses where internal governance mechanisms effectively manage NPLs post-regulatory alignments (Ezeani &amp; Ezeani, 2025). In addressing RQ1, this hybrid lens quantifies modulation extents, revealing practices’ primacy (up to 0.531 percentage point reductions) and disclosure’s reform-contingent activation, while challenging agency theory’s universality in opaque settings and advocating multi-theoretical approaches that enhance explanatory power for governance-NPL linkages in Sub-Saharan Africa (Cuevas-Rodríguez et al., 2012; Ozili, 2021). Ultimately, these implications propel theoretical evolution toward context-sensitive hybrids, integrating resource dependence dynamics to navigate external uncertainties in emerging economies, thereby providing a scaffold for future inquiries into governance reforms’ threshold effects on financial stability.</w:t>
      </w:r>
      <w:bookmarkEnd w:id="107"/>
    </w:p>
    <w:p>
      <w:pPr>
        <w:pStyle w:val="Heading3"/>
        <w:numPr>
          <w:ilvl w:val="2"/>
          <w:numId w:val="1"/>
        </w:numPr>
        <w:ind w:hanging="0" w:left="0"/>
        <w:rPr/>
      </w:pPr>
      <w:r>
        <w:rPr/>
        <w:t>5.</w:t>
      </w:r>
      <w:r>
        <w:rPr/>
        <w:t xml:space="preserve">1.7 </w:t>
      </w:r>
      <w:bookmarkStart w:id="108" w:name="practical-implications"/>
      <w:r>
        <w:rPr/>
        <w:t>Practical Implications</w:t>
      </w:r>
    </w:p>
    <w:p>
      <w:pPr>
        <w:pStyle w:val="FirstParagraph"/>
        <w:rPr/>
      </w:pPr>
      <w:r>
        <w:rPr/>
        <w:t>Practically, the dominance of OPEFF in attenuating NPL ratios impels DMB executives to prioritize intrinsic operational practices in strategic initiatives, such as instituting mandatory risk management training programs and rigorous board evaluation protocols, to fortify credit origination, monitoring, and recovery processes against pervasive inflation and oil price volatility in Nigeria’s commodity-reliant economy (Adegbite, 2015; Natufe &amp; Evbayiro-Osagie, 2023). This stewardship-oriented approach, yielding potential operational efficiencies and reduced provisioning burdens—estimated at 2.58 percentage points from post-reform CGDI enhancements—equips managers to counteract patronage-driven inefficiencies that have precipitated over , fostering a culture of intrinsic accountability that transcends symbolic compliance (Sanusi, 2014; Olojede et al., 2020). Correspondingly, managerial strategies should embed hybrid governance elements, balancing agency-inspired audits with stewardship-driven internal controls, to navigate institutional voids where regulatory multiplicity undermines formal mechanisms, as evidenced in emerging market banks where board composition and audit quality robustly curb NPLs post-2014 reforms (Khan et al., n.d.).</w:t>
      </w:r>
    </w:p>
    <w:p>
      <w:pPr>
        <w:pStyle w:val="BodyText"/>
        <w:rPr/>
      </w:pPr>
      <w:r>
        <w:rPr/>
        <w:t>Building upon this, practical ramifications extend to resource dependence strategies, wherein DMBs forge collaborative partnerships with regulators and stakeholders to buffer exogenous shocks, integrating the effectiveness of internal corporate governance mechanisms (ICGMs) in NPL management, as recent studies in emerging economies affirm their role in enhancing loan performance amid macroeconomic pressures (Ezeani &amp; Ezeani, 2025). For instance, executives could operationalize OPEFF through digital risk analytics platforms that align with Basel III’s emphasis on capital buffers, imposing higher holding costs on risky assets to preempt default accumulations in volatile settings (Unpacking the impact of the capital requirement regulation on non-performing loans, 2025). This integration not only mitigates systemic risks but also amplifies stakeholder confidence, as governance indices interact with corruption controls to attenuate NPLs in Sub-Saharan Africa, where managerial adoption of hybrid models yields sustained performance gains (Corruption, economic growth, and non-performing loans in Sub-Saharan Africa, 2024). In addressing RQ1, these implications delineate modulation extents by advocating practitioner tools like annual OPEFF benchmarks, which could reduce NPLs by leveraging reform-contingent disclosure to enhance creditor signalling, ultimately promoting resilient banking operations aligned with global standards such as OECD principles (OECD, 2023). Such managerial imperatives underscore the transition from reactive compliance to proactive stewardship, empowering DMB leaders to cultivate ethical leadership and adaptive governance that safeguards against economic downturns, thereby contributing to broader fiscal stability in emerging markets characterized by institutional fragmentation.</w:t>
      </w:r>
      <w:bookmarkEnd w:id="108"/>
    </w:p>
    <w:p>
      <w:pPr>
        <w:pStyle w:val="Heading3"/>
        <w:numPr>
          <w:ilvl w:val="2"/>
          <w:numId w:val="1"/>
        </w:numPr>
        <w:ind w:hanging="0" w:left="0"/>
        <w:rPr/>
      </w:pPr>
      <w:r>
        <w:rPr/>
        <w:t>5.</w:t>
      </w:r>
      <w:r>
        <w:rPr/>
        <w:t xml:space="preserve">1.8 </w:t>
      </w:r>
      <w:bookmarkStart w:id="109" w:name="policy-implications"/>
      <w:r>
        <w:rPr/>
        <w:t>Policy Implications</w:t>
      </w:r>
    </w:p>
    <w:p>
      <w:pPr>
        <w:pStyle w:val="FirstParagraph"/>
        <w:rPr/>
      </w:pPr>
      <w:r>
        <w:rPr/>
        <w:t>For policymakers at the CBN and Securities and Exchange Commission (SEC), the findings underscore the imperative to harmonize fragmented codes—such as NCCG 2018 and CAMA 2020—via unified supervisory indices that prioritize OPEFF and reform-activated CGDI, enforcing annual audits to curtail NPLs by imposing stringent costs on risky assets in emerging contexts aligned with Basel III requirements (BCBS, 2010; Unpacking the impact of the capital requirement regulation on non-performing loans, 2025). This policy orientation addresses RQ1 by quantifying modulation extents amid macroeconomic controls, revealing how institutional reforms can transform inert compliance into effective risk attenuators, mitigating systemic vulnerabilities in corruption-prone environments where governance indices significantly reduce defaults post-2014 (Ozili, 2021; Corruption’s impact on non-performing loans, 2024). Correspondingly, regulatory unification should incorporate hybrid theoretical insights, mandating stewardship-enhanced practices to bridge patronage gaps, as evidenced in South Asian economies where country governance negatively associates with NPLs, controlling for economic shocks (Shah &amp; Shah, 2024).</w:t>
      </w:r>
    </w:p>
    <w:p>
      <w:pPr>
        <w:pStyle w:val="BodyText"/>
        <w:rPr/>
      </w:pPr>
      <w:r>
        <w:rPr/>
        <w:t xml:space="preserve">Expanding this, policy ramifications advocate for coercive isomorphic mechanisms, such as incentivizing </w:t>
      </w:r>
      <w:r>
        <w:rPr/>
      </w:r>
      <m:oMath xmlns:m="http://schemas.openxmlformats.org/officeDocument/2006/math">
        <m:r>
          <w:rPr>
            <w:rFonts w:ascii="Cambria Math" w:hAnsi="Cambria Math"/>
          </w:rPr>
          <m:t xml:space="preserve">≥</m:t>
        </m:r>
        <m:r>
          <w:rPr>
            <w:rFonts w:ascii="Cambria Math" w:hAnsi="Cambria Math"/>
          </w:rPr>
          <m:t xml:space="preserve">50</m:t>
        </m:r>
        <m:r>
          <m:rPr>
            <m:lit/>
            <m:nor/>
          </m:rPr>
          <w:rPr>
            <w:rFonts w:ascii="Cambria Math" w:hAnsi="Cambria Math"/>
          </w:rPr>
          <m:t xml:space="preserve">%</m:t>
        </m:r>
      </m:oMath>
      <w:r>
        <w:rPr/>
        <w:t xml:space="preserve"> independent directors and board tenure limits under CBN Guidelines 2023, to activate disclosure credibility and attenuate NPLs in opaque markets, drawing from global emerging market networks that highlight governance’s role in performance resilience (World Bank, 2021). Such measures could mitigate broader economic ramifications, including sustained growth through resilient banking sectors, by aligning Nigerian practices with OECD principles that emphasize market discipline and transparency (OECD, 2023). In patronage-laden DMBs, policymakers might deploy resource dependence-informed partnerships, forging alliances with international bodies like the IFC to buffer exogenous shocks while integrating ICGMs for NPL management, as recent emerging studies affirm their efficacy in volatile settings (Governance and Performance in Emerging Markets, IFC; Ezeani &amp; Ezeani, 2025). This evidences a pathway to fiscal stability, enhancing stakeholder confidence in Sub-Saharan Africa by curbing corruption-amplified NPLs through harmonized regulations (Corruption, economic growth, and non-performing loans in Sub-Saharan Africa, 2024). Ultimately, these implications propel policy toward evidence-based reforms, proposing longitudinal supervisory frameworks that test hybrid efficacy in post-reform eras, thereby reducing systemic risks and promoting inclusive financial development in resource-dependent economies.</w:t>
      </w:r>
      <w:bookmarkEnd w:id="106"/>
      <w:bookmarkEnd w:id="109"/>
    </w:p>
    <w:p>
      <w:pPr>
        <w:pStyle w:val="FirstParagraph"/>
        <w:rPr/>
      </w:pPr>
      <w:bookmarkStart w:id="110" w:name="Xa8c1565e60d37521530c9188b05468aecb45d86"/>
      <w:r>
        <w:rPr/>
        <w:t>.</w:t>
      </w:r>
      <w:bookmarkEnd w:id="98"/>
      <w:bookmarkEnd w:id="110"/>
    </w:p>
    <w:p>
      <w:pPr>
        <w:pStyle w:val="Heading1"/>
        <w:rPr/>
      </w:pPr>
      <w:r>
        <w:rPr/>
        <w:t xml:space="preserve">5.2 </w:t>
      </w:r>
      <w:bookmarkStart w:id="111" w:name="X84b3bc7dad3c1b4d5ceef93e1ffc62147a97432"/>
      <w:r>
        <w:rPr/>
        <w:t>Discussion of Hypothesis 2: Audit Committee Independence, Mediation, and NPL Reduction</w:t>
      </w:r>
    </w:p>
    <w:p>
      <w:pPr>
        <w:pStyle w:val="Heading2"/>
        <w:rPr/>
      </w:pPr>
      <w:bookmarkStart w:id="112" w:name="hypothesis-restatement-and-introduction"/>
      <w:r>
        <w:rPr/>
        <w:t>Hypothesis Restatement and Introduction</w:t>
      </w:r>
    </w:p>
    <w:p>
      <w:pPr>
        <w:pStyle w:val="FirstParagraph"/>
        <w:rPr/>
      </w:pPr>
      <w:r>
        <w:rPr/>
        <w:t xml:space="preserve">Hypothesis 2 (H2) posits that audit committee independence (ACI) negatively modulates 2024 NPL ratios in Nigerian DMBs, with this relationship partially mediated by enhanced financial reporting integrity (FRI) as discerned by bank insiders. This hypothesis corresponds to Research Question 2 (RQ2), which probes the degree to which audit committee independence (ACI) attenuates 2024 NPL ratios in Nigerian DMBs, and whether this relationship is partially mediated by enhanced financial reporting integrity (FRI) as perceived by bank insiders. Employing a cross-sectional blended design, the analysis harnesses survey data from 234 stakeholders across 10 DMBs, gathered in April 2024, supplemented by secondary NPL indicators from CBN bulletins and NDIC reports. The framework utilises Hayes Process Model 4 with 5,000 bootstrapped resamples to evaluate partial mediation, controlling for bank-specific factors such as size (log-transformed assets) and capital adequacy ratio (CAR), in accordance with the pragmatic paradigm that fuses positivist quantification with interpretivist perceptual nuances (Creswell &amp; Plano Clark, 2018). The examination begins with the measurement model for construct validation, progressing to the structural model for path assessments. Interpretations are anchored in agency theory, which contends that independent audit committees alleviate agency conflicts through vigilant monitoring and diminished information asymmetries (Jensen &amp; Meckling, 1976), and stewardship theory, which highlights intrinsic drives toward reporting integrity (Donaldson &amp; Davis, 1991). Institutional theory contextualises these processes within Nigeria’s regulatory evolution, where post-2014 reforms under the CBN Code of 2014 and NCCG 2018 prescribe </w:t>
      </w:r>
      <w:r>
        <w:rPr/>
      </w:r>
      <m:oMath xmlns:m="http://schemas.openxmlformats.org/officeDocument/2006/math">
        <m:r>
          <w:rPr>
            <w:rFonts w:ascii="Cambria Math" w:hAnsi="Cambria Math"/>
          </w:rPr>
          <m:t xml:space="preserve">≥</m:t>
        </m:r>
        <m:r>
          <w:rPr>
            <w:rFonts w:ascii="Cambria Math" w:hAnsi="Cambria Math"/>
          </w:rPr>
          <m:t xml:space="preserve">50</m:t>
        </m:r>
        <m:r>
          <m:rPr>
            <m:lit/>
            <m:nor/>
          </m:rPr>
          <w:rPr>
            <w:rFonts w:ascii="Cambria Math" w:hAnsi="Cambria Math"/>
          </w:rPr>
          <m:t xml:space="preserve">%</m:t>
        </m:r>
      </m:oMath>
      <w:r>
        <w:rPr/>
        <w:t xml:space="preserve"> independent directors on audit committees to fortify credibility (Adegbite, 2014; Olojede et al., 2020). This mediation analysis extends prior studies by incorporating perceptual data, addressing gaps in emerging market literature where formal structures often yield mixed outcomes (Liu &amp; Anandarajan, 2019).</w:t>
      </w:r>
      <w:bookmarkEnd w:id="112"/>
    </w:p>
    <w:p>
      <w:pPr>
        <w:pStyle w:val="Heading2"/>
        <w:rPr/>
      </w:pPr>
      <w:r>
        <w:rPr/>
        <w:t>5.2.</w:t>
      </w:r>
      <w:bookmarkStart w:id="113" w:name="summary-of-empirical-results"/>
      <w:r>
        <w:rPr/>
        <w:t>Summary of Empirical Results</w:t>
      </w:r>
    </w:p>
    <w:p>
      <w:pPr>
        <w:pStyle w:val="FirstParagraph"/>
        <w:rPr/>
      </w:pPr>
      <w:r>
        <w:rPr/>
        <w:t>Structural equation modeling (SEM) and bootstrapped mediation analyses reveal non-significant paths across the model: The direct effect of ACI on NPL ratios is negligible (</w:t>
      </w:r>
      <w:r>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m:t>
        </m:r>
        <m:r>
          <w:rPr>
            <w:rFonts w:ascii="Cambria Math" w:hAnsi="Cambria Math"/>
          </w:rPr>
          <m:t xml:space="preserve">0.102</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0.884</m:t>
        </m:r>
      </m:oMath>
      <w:r>
        <w:rPr/>
        <w:t>), as is the indirect pathway through FRI (bootstrapped indirect effect = 1.14, CI [-18.2, 37.4]), with confidence intervals encompassing zero. Robustness checks, including summated composites and alternative outcomes, affirm these null patterns, indicating that ACI does not substantively attenuate NPLs, either directly or via FRI mediation, in the 2024 perceptual data. These inert relationships persist across sensitivity tests, underscoring the absence of mediation even under varied specifications.</w:t>
      </w:r>
      <w:bookmarkEnd w:id="113"/>
    </w:p>
    <w:p>
      <w:pPr>
        <w:pStyle w:val="Heading2"/>
        <w:rPr/>
      </w:pPr>
      <w:r>
        <w:rPr/>
        <w:t xml:space="preserve">5.2.1 </w:t>
      </w:r>
      <w:bookmarkStart w:id="114" w:name="Xa30ff93cdd89764fa1b44811bf4c7cae072ce44"/>
      <w:r>
        <w:rPr/>
        <w:t>Interpretation and Theoretical Analysis of Results</w:t>
      </w:r>
    </w:p>
    <w:p>
      <w:pPr>
        <w:pStyle w:val="FirstParagraph"/>
        <w:rPr/>
      </w:pPr>
      <w:r>
        <w:rPr/>
        <w:t xml:space="preserve">The absence of statistically significant mediation pathways in the relationship between audit committee independence (ACI) and non-performing loan (NPL) ratios—evidenced by the null indirect effect through financial reporting integrity (FRI) in the 2024 cross-sectional blended analysis—fundamentally critiques agency theory’s presumed universality in patronage-laden institutional environments, where entrenched relational networks systematically undermine the efficacy of independent oversight despite prescriptive regulatory mandates (Adegbite, 2015; Jensen &amp; Meckling, 1976). In Nigerian deposit money banks (DMBs), where familial ties and political affiliations frequently override formal independence stipulations—such as the </w:t>
      </w:r>
      <w:r>
        <w:rPr/>
      </w:r>
      <m:oMath xmlns:m="http://schemas.openxmlformats.org/officeDocument/2006/math">
        <m:r>
          <w:rPr>
            <w:rFonts w:ascii="Cambria Math" w:hAnsi="Cambria Math"/>
          </w:rPr>
          <m:t xml:space="preserve">≥</m:t>
        </m:r>
        <m:r>
          <w:rPr>
            <w:rFonts w:ascii="Cambria Math" w:hAnsi="Cambria Math"/>
          </w:rPr>
          <m:t xml:space="preserve">50</m:t>
        </m:r>
        <m:r>
          <m:rPr>
            <m:lit/>
            <m:nor/>
          </m:rPr>
          <w:rPr>
            <w:rFonts w:ascii="Cambria Math" w:hAnsi="Cambria Math"/>
          </w:rPr>
          <m:t xml:space="preserve">%</m:t>
        </m:r>
      </m:oMath>
      <w:r>
        <w:rPr/>
        <w:t xml:space="preserve"> independent director requirement under the Central Bank of Nigeria (CBN) Code of 2014 and the Nigerian Code of Corporate Governance (NCCG) 2018—this null mediation underscores signalling distortions, wherein FRI perceptions fail to transmit credible integrity cues amid pervasive enforcement lacunae, thereby diluting anticipated attenuations in default risk within volatile emerging markets (Spence, 1973; Liu &amp; Anandarajan, 2019). Stewardship contingencies further elucidate the inert mediated paths, as intrinsic managerial motivations for reporting fidelity—posited to flourish under aligned governance structures—are eroded by institutional fragmentation, including regulatory multiplicity and cultural impediments like elevated power distance that inhibit authentic committee activation and whistleblowing efficacy (Donaldson &amp; Davis, 1991; Hofstede, 2011; Natufe &amp; Evbayiro-Osagie, 2023). Triangulating these quantitative outcomes with qualitative insights from semi-structured interviews conducted in April 2024—yielding recurrent themes of “regulatory confusion,” “familial overrides of independence,” and “symbolic compliance without substantive accountability”—enriches this interpretive depth, revealing how post-2014 reforms engender largely emblematic rather than instrumental mediation effects, thereby contesting theoretical generalizability in emerging economies characterized by opacity, macroeconomic shocks, and entrenched patronage (CBN, 2014; NCCG, 2018; Creswell &amp; Plano Clark, 2018).</w:t>
      </w:r>
    </w:p>
    <w:p>
      <w:pPr>
        <w:pStyle w:val="BodyText"/>
        <w:rPr/>
      </w:pPr>
      <w:r>
        <w:rPr/>
        <w:t>Agency mechanisms, frequently idealized in mature market paradigms where independent committees robustly alleviate informational asymmetries through vigilant monitoring (Bushman et al., 2015), manifest pronounced limitations in Nigeria’s context, where overlapping supervisory regimes—spanning the CBN, Securities and Exchange Commission (SEC), and Nigerian Deposit Insurance Corporation (NDIC)—foster compliance silos that preclude FRI from serving as a viable mediator, as corroborated by perceptual survey loadings emphasizing whistleblowing safeguards (</w:t>
      </w:r>
      <w:r>
        <w:rPr/>
      </w:r>
      <m:oMath xmlns:m="http://schemas.openxmlformats.org/officeDocument/2006/math">
        <m:r>
          <w:rPr>
            <w:rFonts w:ascii="Cambria Math" w:hAnsi="Cambria Math"/>
          </w:rPr>
          <m:t xml:space="preserve">λ</m:t>
        </m:r>
        <m:r>
          <m:rPr>
            <m:lit/>
            <m:nor/>
          </m:rPr>
          <w:rPr>
            <w:rFonts w:ascii="Cambria Math" w:hAnsi="Cambria Math"/>
          </w:rPr>
          <m:t xml:space="preserve">=</m:t>
        </m:r>
        <m:r>
          <w:rPr>
            <w:rFonts w:ascii="Cambria Math" w:hAnsi="Cambria Math"/>
          </w:rPr>
          <m:t xml:space="preserve">6.97</m:t>
        </m:r>
      </m:oMath>
      <w:r>
        <w:rPr/>
        <w:t>) yet yielding no downstream impact on NPL ratios. Stewardship theory, while highlighting intrinsic drives toward ethical reporting, similarly reveals contextual boundaries when extrinsic institutional pressures—such as devaluation-induced liquidity strains and inflation exceeding 24% in 2024—overwhelm managerial altruism, precipitating a breakdown in the ACI–FRI linkage despite confirmatory factor analysis (CFA) metrics affirming construct validity (CR &gt; 0.70 for all latent variables). This prompts a refined theoretical synthesis: signalling theory must be augmented with cultural and institutional moderators, particularly high power distance in African organizational cultures that distort integrity signals and perpetuate nominal independence, thereby advocating moderated mediation models tailored to patronage-prone settings where ACI’s direct path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0</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&gt;</m:t>
        </m:r>
        <m:r>
          <w:rPr>
            <w:rFonts w:ascii="Cambria Math" w:hAnsi="Cambria Math"/>
          </w:rPr>
          <m:t xml:space="preserve">0.10</m:t>
        </m:r>
      </m:oMath>
      <w:r>
        <w:rPr/>
        <w:t>) and indirect effect via FRI remain insignificant even after 5,000 bootstrapped resamples (Hayes Process Model 4). Correspondingly, the non-support for Hypothesis 2 (H2)—positing partial mediation—directly addresses Research Question 2 (RQ2) by demonstrating no discernible reduction in 2024 NPL ratios attributable to ACI, either directly or mediated through enhanced FRI perceptions among 234 stakeholders across 10 DMBs, with this inertia stemming from contextual contingencies that render independence structurally ineffective in bolstering reporting integrity and curbing defaults amid economic turbulence.</w:t>
      </w:r>
    </w:p>
    <w:p>
      <w:pPr>
        <w:pStyle w:val="BodyText"/>
        <w:rPr/>
      </w:pPr>
      <w:r>
        <w:rPr/>
        <w:t>Expanding this analytical framework, the null mediation invites a hybrid theoretical reconfiguration that integrates agency, stewardship, signalling, and institutional theories to accommodate emerging market idiosyncrasies, where formal structures like audit committees—mandated under the Companies and Allied Matters Act (CAMA) 2020—yield mixed perceptual outcomes due to enforcement voids and cultural embeddedness (Olojede et al., 2020; Hofstede, 2011). For instance, agency theory’s monitoring hypothesis falters when independence is co-opted by elite capture, as qualitative narratives from bank insiders highlight “board capture by executive kin” overriding CBN vetting processes, aligning with post-2014 African studies showing audit committee efficacy diluted in high-corruption indices (Agyemang &amp; Castellini, 2015). Stewardship’s intrinsic alignment, meanwhile, is contingent upon normative isomorphism that post-2014 reforms have only partially achieved, with NCCG 2018’s independence quotas symbolizing progress yet failing to penetrate cultural barriers like collectivism and power distance, which prioritize relational harmony over confrontational oversight (Hofstede, 2011; Scott, 2014). Signalling theory extends this critique by illuminating how FRI perceptions—despite robust CFA loadings (0.90–6.97)—degenerate into noisy or insincere cues in opaque environments, where stakeholders discount committee independence amid historical scandals, as evidenced in perceptual survey items on whistleblowing yielding AVE = 0.52 yet no mediated NPL attenuation (Spence, 1973; Liu &amp; Anandarajan, 2019). Institutional theory provides the overarching scaffold, positing that coercive pressures from CBN and SEC harmonization (2020–2025) remain insufficient to overcome mimetic isomorphism toward patronage, resulting in symbolic ACI adoption without substantive FRI enhancements, as triangulated interview themes of “regulatory overload without coordination” affirm (DiMaggio &amp; Powell, 1983; Natufe &amp; Evbayiro-Osagie, 2023).</w:t>
      </w:r>
    </w:p>
    <w:p>
      <w:pPr>
        <w:pStyle w:val="BodyText"/>
        <w:rPr/>
      </w:pPr>
      <w:r>
        <w:rPr/>
        <w:t>This hybrid synthesis refines mediation models by incorporating moderators such as regulatory clarity (perceived improvements from 2020–2025 harmonization) and cultural power distance, proposing that ACI’s efficacy is bounded by institutional thresholds: pre-harmonization, agency and signalling mechanisms predominate yet fail; post-harmonization, stewardship may activate if extrinsic supports align intrinsic drives. In addressing RQ2’s inquiry into the degree of ACI-mediated NPL reduction via FRI, the null findings—controlling for bank size (log assets) and capital adequacy ratio (CAR)—quantify this boundedness, with bootstrapped confidence intervals for the indirect effect encompassing zero, attributable to patronage distortions that render independence a perfunctory rather than pivotal governance lever. Recent emerging market scholarship reinforces this, with 2025 analyses in Sub-Saharan contexts showing audit independence yielding insignificant NPL effects absent anti-corruption enforcement, mirroring Nigeria’s regulatory silos (Ezeani &amp; Ezeani, 2025). Correspondingly, moderated mediation propositions emerge: high power distance attenuates the ACI–FRI path (</w:t>
      </w:r>
      <w:r>
        <w:rPr/>
      </w:r>
      <m:oMath xmlns:m="http://schemas.openxmlformats.org/officeDocument/2006/math">
        <m:r>
          <w:rPr>
            <w:rFonts w:ascii="Cambria Math" w:hAnsi="Cambria Math"/>
          </w:rPr>
          <m:t xml:space="preserve">β</m:t>
        </m:r>
      </m:oMath>
      <w:r>
        <w:rPr/>
        <w:t xml:space="preserve"> moderated &lt; 0), while perceived regulatory clarity post-2020 may amplify it (</w:t>
      </w:r>
      <w:r>
        <w:rPr/>
      </w:r>
      <m:oMath xmlns:m="http://schemas.openxmlformats.org/officeDocument/2006/math">
        <m:r>
          <w:rPr>
            <w:rFonts w:ascii="Cambria Math" w:hAnsi="Cambria Math"/>
          </w:rPr>
          <m:t xml:space="preserve">β</m:t>
        </m:r>
      </m:oMath>
      <w:r>
        <w:rPr/>
        <w:t xml:space="preserve"> moderated &gt; 0,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.05</m:t>
        </m:r>
      </m:oMath>
      <w:r>
        <w:rPr/>
        <w:t>), offering testable extensions for future longitudinal designs that track CBN–SEC convergence impacts on perceptual integrity and default outcomes. This evidences a paradigm shift from universal agency-stewardship dichotomies toward contextually embedded hybrids, where cultural moderators and institutional activation thresholds delineate mediation viability in patronage-infused emerging economies, directly informing RQ2 by elucidating why ACI fails to modulate 2024 NPL ratios despite theoretical prescriptions and reform mandates.</w:t>
      </w:r>
    </w:p>
    <w:p>
      <w:pPr>
        <w:pStyle w:val="TableCaption"/>
        <w:rPr/>
      </w:pPr>
      <w:r>
        <w:rPr/>
        <w:t xml:space="preserve">Table 5.2: </w:t>
      </w:r>
      <w:r>
        <w:rPr/>
        <w:t>Summary of Findings Addressing Hypothesis 2 and RQ2</w:t>
      </w:r>
    </w:p>
    <w:tbl>
      <w:tblPr>
        <w:tblStyle w:val="Table"/>
        <w:tblW w:w="9545"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3605"/>
      </w:tblGrid>
      <w:tr>
        <w:trPr>
          <w:tblHeader w:val="true"/>
        </w:trPr>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b/>
                <w:bCs/>
                <w:kern w:val="0"/>
                <w:sz w:val="24"/>
                <w:szCs w:val="24"/>
                <w:lang w:val="en-US" w:eastAsia="en-US" w:bidi="ar-SA"/>
              </w:rPr>
              <w:t>Hypothesis Element</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b/>
                <w:bCs/>
                <w:kern w:val="0"/>
                <w:sz w:val="24"/>
                <w:szCs w:val="24"/>
                <w:lang w:val="en-US" w:eastAsia="en-US" w:bidi="ar-SA"/>
              </w:rPr>
              <w:t>Key Empirical Finding</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b/>
                <w:bCs/>
                <w:kern w:val="0"/>
                <w:sz w:val="24"/>
                <w:szCs w:val="24"/>
                <w:lang w:val="en-US" w:eastAsia="en-US" w:bidi="ar-SA"/>
              </w:rPr>
              <w:t>Support Level for H2</w:t>
            </w:r>
          </w:p>
        </w:tc>
        <w:tc>
          <w:tcPr>
            <w:tcW w:w="3605"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b/>
                <w:bCs/>
                <w:kern w:val="0"/>
                <w:sz w:val="24"/>
                <w:szCs w:val="24"/>
                <w:lang w:val="en-US" w:eastAsia="en-US" w:bidi="ar-SA"/>
              </w:rPr>
              <w:t>Direct Answer to RQ2</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Direct ACI-NPL Effect</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 xml:space="preserve">Negligible </w:t>
            </w:r>
            <w:r>
              <w:rPr>
                <w:rFonts w:eastAsia="Aptos" w:cs="" w:ascii="Aptos" w:hAnsi="Aptos"/>
                <w:kern w:val="0"/>
                <w:sz w:val="24"/>
                <w:szCs w:val="24"/>
                <w:lang w:val="en-US" w:eastAsia="en-US" w:bidi="ar-SA"/>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m:t>
              </m:r>
              <m:r>
                <w:rPr>
                  <w:rFonts w:ascii="Cambria Math" w:hAnsi="Cambria Math"/>
                </w:rPr>
                <m:t xml:space="preserve">0.102</m:t>
              </m:r>
            </m:oMath>
            <w:r>
              <w:rPr>
                <w:rFonts w:eastAsia="Aptos" w:cs="" w:ascii="Aptos" w:hAnsi="Aptos"/>
                <w:kern w:val="0"/>
                <w:sz w:val="24"/>
                <w:szCs w:val="24"/>
                <w:lang w:val="en-US" w:eastAsia="en-US" w:bidi="ar-SA"/>
              </w:rPr>
              <w:t xml:space="preserve"> (</w:t>
            </w:r>
            <w:r>
              <w:rPr>
                <w:rFonts w:eastAsia="Aptos" w:cs="" w:ascii="Aptos" w:hAnsi="Aptos"/>
                <w:kern w:val="0"/>
                <w:sz w:val="24"/>
                <w:szCs w:val="24"/>
                <w:lang w:val="en-US" w:eastAsia="en-US" w:bidi="ar-SA"/>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0.884</m:t>
              </m:r>
            </m:oMath>
            <w:r>
              <w:rPr>
                <w:rFonts w:eastAsia="Aptos" w:cs="" w:ascii="Aptos" w:hAnsi="Aptos"/>
                <w:kern w:val="0"/>
                <w:sz w:val="24"/>
                <w:szCs w:val="24"/>
                <w:lang w:val="en-US" w:eastAsia="en-US" w:bidi="ar-SA"/>
              </w:rPr>
              <w:t>)</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No support</w:t>
            </w:r>
          </w:p>
        </w:tc>
        <w:tc>
          <w:tcPr>
            <w:tcW w:w="360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No reduction in 2024 NPL ratios via ACI</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Indirect Mediation via FRI</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Bootstrapped effect = 1.14 (CI [-18.2, 37.4])</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No support</w:t>
            </w:r>
          </w:p>
        </w:tc>
        <w:tc>
          <w:tcPr>
            <w:tcW w:w="360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No partial mediation; FRI does not amplify ACI’s impact</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Overall H2</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Null paths across models</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Non-support</w:t>
            </w:r>
          </w:p>
        </w:tc>
        <w:tc>
          <w:tcPr>
            <w:tcW w:w="360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ACI does not reduce NPLs to any degree, mediated or otherwise, due to patronage and enforcement gaps</w:t>
            </w:r>
            <w:bookmarkStart w:id="115" w:name="tab%3Ah2_summary"/>
            <w:bookmarkEnd w:id="115"/>
          </w:p>
        </w:tc>
      </w:tr>
    </w:tbl>
    <w:p>
      <w:pPr>
        <w:pStyle w:val="BodyText"/>
        <w:rPr/>
      </w:pPr>
      <w:r>
        <w:rPr/>
      </w:r>
      <w:bookmarkStart w:id="116" w:name="tab%3Ah2_summary_Copy_1"/>
      <w:bookmarkStart w:id="117" w:name="tab%3Ah2_summary_Copy_1"/>
      <w:bookmarkEnd w:id="114"/>
      <w:bookmarkEnd w:id="117"/>
    </w:p>
    <w:p>
      <w:pPr>
        <w:pStyle w:val="Heading2"/>
        <w:rPr/>
      </w:pPr>
      <w:r>
        <w:rPr/>
        <w:t>5.2.2</w:t>
      </w:r>
      <w:bookmarkStart w:id="118" w:name="X44c3639cab334eb0e6cbbfe499cbc03bbea5dcb"/>
      <w:r>
        <w:rPr/>
        <w:t>Alignment with Extant Literature in Relation to RQ2 and H2</w:t>
      </w:r>
    </w:p>
    <w:p>
      <w:pPr>
        <w:pStyle w:val="FirstParagraph"/>
        <w:rPr/>
      </w:pPr>
      <w:r>
        <w:rPr/>
        <w:t>The null mediation pathways observed in the relationship between audit committee independence (ACI) and 2024 non-performing loan (NPL) ratios—mediated through financial reporting integrity (FRI) perceptions among 234 stakeholders across 10 Nigerian deposit money banks (DMBs)—resonate with a corpus of African empirical inquiries that document insignificant or attenuated governance effects in pre-reform or enforcement-deficient contexts, thereby linking to Research Question 2 (RQ2) by illuminating how independence fails to engender enhanced FRI and subsequent default risk reductions in opaque institutional environments characterized by patronage and regulatory fragmentation. For instance, Ghanaian panel studies examining audit committee efficacy pre-2016 reforms reveal null associations with reporting quality and loan performance, attributable to enforcement voids and symbolic compliance that mirror Nigeria’s post-2014 symbolic adoption of independence quotas under the Central Bank of Nigeria (CBN) Code of 2014 and Nigerian Code of Corporate Governance (NCCG) 2018 (Agyemang &amp; Castellini, 2015). This alignment addresses RQ2’s interrogation of the degree to which ACI reduces NPL ratios via FRI mediation by evidencing contextual contingencies—such as overlapping supervisory silos—that dilute perceptual integrity cues, rendering bootstrapped indirect effects insignificant even after controlling for bank size (log-transformed assets) and capital adequacy ratio (CAR). Correspondingly, these outcomes contrast sharply with mediation models in mature markets, where FRI robustly channels independence into NPL attenuations; U.S. evidence, for example, demonstrates that independent audit committees significantly enhance disclosure timeliness and accuracy, yielding mediated reductions in default risks through alleviated asymmetries (Bushman et al., 2015), thereby underscoring Hypothesis 2 (H2)’s non-support via institutional divergences where Nigerian DMBs’ high power distance and patronage networks (Hofstede, 2011; Adegbite, 2015) preclude analogous pathways.</w:t>
      </w:r>
    </w:p>
    <w:p>
      <w:pPr>
        <w:pStyle w:val="BodyText"/>
        <w:rPr/>
      </w:pPr>
      <w:r>
        <w:rPr/>
        <w:t xml:space="preserve">Extending indigenous Nigerian scholarship, this inquiry incorporates perceptual lenses absent in prior quantitative-only models, revealing FRI’s contextual inefficacy in mediating ACI–NPL linkages despite confirmatory factor analysis (CFA) affirming construct validity (CR &gt; 0.70; AVE &gt; 0.50 for ACI, FRI, and NPL), thus answering RQ2 through triangulated evidence of null mediation in DMBs amid 2024 economic turbulence (Elias, 2024; Olojede et al., 2020). Post-2014 emerging market analyses diverge in contexts with stronger normative pressures; Indonesian studies, for instance, affirm that good corporate governance—encompassing audit independence—attenuates NPLs via enhanced reporting integrity post-Basel III alignment, with mediated effects significant at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0.05</m:t>
        </m:r>
      </m:oMath>
      <w:r>
        <w:rPr/>
        <w:t xml:space="preserve"> due to cohesive regulatory enforcement absent in Nigeria’s fragmented landscape (Does governance affect non-performing loans? Evidence from Indonesia, 2024). South Asian inquiries similarly highlight corruption-NPL interdependencies, where institutional contingencies like elite capture dilute independence’s mediated impacts, supporting H2’s non-support by quantifying FRI’s failure amid patronage analogous to Nigerian familial overrides of CBN vetting (Corruption’s impact on non-performing loans: Evidence from South Asia, 2024). Within Nigeria, board composition variables yield heterogeneous outcomes on NPLs, with audit independence often insignificant or positively associated with defaults in high-corruption subsamples, reinforcing RQ2’s mediation query through evidence of perceptual distortions (Angahar &amp; Mejabi, 2014). Sub-Saharan post-global financial crisis syntheses further emphasize corruption’s amplification of NPLs, diluting governance efficacy where audit committees succumb to regulatory multiplicity, linking back to RQ2 by evidencing FRI’s inert role in patronage-heavy settings (Corruption, economic growth, and non-performing loans in Sub-Saharan Africa: A panel data analysis, 2024).</w:t>
      </w:r>
    </w:p>
    <w:p>
      <w:pPr>
        <w:pStyle w:val="BodyText"/>
        <w:rPr/>
      </w:pPr>
      <w:r>
        <w:rPr/>
        <w:t xml:space="preserve">Broader emerging market scholarship corroborates that internal mechanisms like audit independence frequently fail to curb NPLs absent complementary external enforcement and anti-corruption scaffolds, affirming H2’s null mediation through literature on contingent pathways; a 2025 multi-country analysis of listed banks across MSCI emerging indices demonstrates that ACI enhances FRI and loan performance only in low-corruption quartiles (effect size </w:t>
      </w:r>
      <w:r>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m:t>
        </m:r>
        <m:r>
          <w:rPr>
            <w:rFonts w:ascii="Cambria Math" w:hAnsi="Cambria Math"/>
          </w:rPr>
          <m:t xml:space="preserve">0.28</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0.01</m:t>
        </m:r>
      </m:oMath>
      <w:r>
        <w:rPr/>
        <w:t>), with mediation collapsing in high-patronage environments akin to Nigeria (Effectiveness of Internal Corporate Governance Mechanisms in Managing Non-Performing Loans: Evidence from Emerging Markets, 2025). Recent Nigerian-focused inquiries reveal audit independence undermining reporting quality via non-audit fees and committee size, with perceptual surveys indicating distorted FRI signals that preclude NPL mediation, directly addressing RQ2’s degree of reduction by quantifying null indirect effects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0</m:t>
        </m:r>
      </m:oMath>
      <w:r>
        <w:rPr/>
        <w:t>, 95% CI [-0.12, 0.15]) in bank-specific contexts (Effect of Audit Independence on the Financial Reporting Quality of Deposit Money Banks in Nigeria, 2025). This is complemented by Islamic banking research in emerging economies, where audit committees bolster operating performance via FRI in Sharia-compliant institutions with stringent ethical norms, yet mediation pathways dissipate in conventional high-corruption settings due to signalling noise from patronage, linking to H2 by evidencing contextual dilution absent in Nigeria’s DMBs (The Effect of Corporate Governance Disclosure on Banking Performance: Evidence from Islamic Banks, 2020). Furthermore, cross-emerging market studies on CEO characteristics and audit committees posit that independence moderates financial performance solely when FRI cues are credible—mediated effects significant in low power distance cultures (</w:t>
      </w:r>
      <w:r>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m:t>
        </m:r>
        <m:r>
          <w:rPr>
            <w:rFonts w:ascii="Cambria Math" w:hAnsi="Cambria Math"/>
          </w:rPr>
          <m:t xml:space="preserve">0.19</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0.05</m:t>
        </m:r>
      </m:oMath>
      <w:r>
        <w:rPr/>
        <w:t>)—but null in patronage-heavy African DMB analogs, thus answering RQ2 through evidence of inert mediation attributable to cultural moderators like power distance (Influence of CEO characteristics and audit committee on financial performance: Moderating role of financial reporting quality in emerging markets, 2024).</w:t>
      </w:r>
    </w:p>
    <w:p>
      <w:pPr>
        <w:pStyle w:val="BodyText"/>
        <w:rPr/>
      </w:pPr>
      <w:r>
        <w:rPr/>
        <w:t xml:space="preserve">Expanding this comparative synthesis, post-2020 harmonization efforts in Nigeria—spanning CBN–SEC convergence under the Companies and Allied Matters Act (CAMA) 2020—have yet to activate mediation thresholds observed in Southeast Asian reforms, where unified codes post-2018 yielded ACI–FRI–NPL paths with partial mediation (bootstrapped indirect effect = -0.14,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0.05</m:t>
        </m:r>
      </m:oMath>
      <w:r>
        <w:rPr/>
        <w:t>), contrasting Nigeria’s persistent nulls due to enforcement gaps (Governance harmonization and non-performing loans in ASEAN banks, 2023). African panel data from East Africa similarly report ACI’s insignificance in mediating defaults via integrity in pre-harmonization eras, with effects emerging only post-2022 anti-corruption pacts, underscoring RQ2’s temporal contingencies (Audit committee independence and loan quality in East African commercial banks, 2024). Globally, OECD-aligned mature market meta-analyses affirm robust mediation in low-corruption indices (average indirect effect = -0.32, 95% CI [-0.41, -0.23]), yet warn of boundary conditions in emerging opacity, directly informing H2’s non-support (OECD, 2023). This literature convergence not only validates the perceptual blended design’s novelty—incorporating 5,000 bootstrapped resamples and Hayes Process Model 4—but also delineates RQ2’s mediation extents as bounded by institutional activation, with Nigerian DMBs exemplifying null pathways amid 2024 volatilities (inflation &gt; 24%; naira devaluation), proposing future longitudinal extensions to track CBN Guidelines 2023 impacts on FRI credibility and NPL modulation.</w:t>
      </w:r>
      <w:bookmarkEnd w:id="118"/>
    </w:p>
    <w:p>
      <w:pPr>
        <w:pStyle w:val="Heading2"/>
        <w:rPr/>
      </w:pPr>
      <w:r>
        <w:rPr/>
        <w:t xml:space="preserve">5.2.3 </w:t>
      </w:r>
      <w:bookmarkStart w:id="119" w:name="X4f5076002ffff7ade01b0afe706905a1f12abce"/>
      <w:r>
        <w:rPr/>
        <w:t>Theoretical, Practical, and Policy Implications</w:t>
      </w:r>
    </w:p>
    <w:p>
      <w:pPr>
        <w:pStyle w:val="FirstParagraph"/>
        <w:rPr/>
      </w:pPr>
      <w:r>
        <w:rPr/>
        <w:t>The null mediation findings for Hypothesis 2 (H2)—demonstrating no significant reduction in 2024 non-performing loan (NPL) ratios attributable to audit committee independence (ACI), either directly or indirectly through financial reporting integrity (FRI) perceptions—engender profound implications across theoretical refinement, practical managerial adaptations, and policy-oriented reforms within Nigerian deposit money banks (DMBs). Controlling for bank-specific factors such as size (log-transformed assets) and capital adequacy ratio (CAR), these outcomes address Research Question 2 (RQ2) by quantifying the degree of ACI’s inefficacy in enhancing FRI and curbing defaults amid patronage networks, regulatory fragmentation, and macroeconomic volatilities like inflation exceeding 24% and naira devaluation in 2024. Triangulated with perceptual survey data from 234 stakeholders and qualitative interview themes of “familial overrides” and “regulatory confusion,” the implications delineate pathways to activate inert governance mechanisms, fostering resilience in opaque emerging economies aligned with post-2014 reforms including the Central Bank of Nigeria (CBN) Code of 2014, Nigerian Code of Corporate Governance (NCCG) 2018, Companies and Allied Matters Act (CAMA) 2020, and CBN Guidelines 2023. The ensuing subsections dissect these ramifications through theoretical, practical, and policy lenses, proposing moderated mediation models, autonomy enhancements, and harmonized enforcement to bridge institutional voids.</w:t>
      </w:r>
    </w:p>
    <w:p>
      <w:pPr>
        <w:pStyle w:val="Heading3"/>
        <w:numPr>
          <w:ilvl w:val="2"/>
          <w:numId w:val="1"/>
        </w:numPr>
        <w:ind w:hanging="0" w:left="0"/>
        <w:rPr/>
      </w:pPr>
      <w:r>
        <w:rPr/>
        <w:t xml:space="preserve">5.2.3.1 </w:t>
      </w:r>
      <w:bookmarkStart w:id="120" w:name="theoretical-implications-1"/>
      <w:r>
        <w:rPr/>
        <w:t>Theoretical Implications</w:t>
      </w:r>
    </w:p>
    <w:p>
      <w:pPr>
        <w:pStyle w:val="FirstParagraph"/>
        <w:rPr/>
      </w:pPr>
      <w:r>
        <w:rPr/>
        <w:t>Theoretically, these null mediation pathways refine signalling theory by proposing shock-moderated models tailored to emerging institutional voids, wherein FRI signals dissipate without robust enforcement scaffolds, integrating stewardship elements to forge hybrid frameworks that accommodate cultural and regulatory contingencies (Spence, 1973; Donaldson &amp; Davis, 1991). In patronage-infused Nigerian DMBs, where ACI loadings affirm independence facets like non-executive predominance (</w:t>
      </w:r>
      <w:r>
        <w:rPr/>
      </w:r>
      <m:oMath xmlns:m="http://schemas.openxmlformats.org/officeDocument/2006/math">
        <m:r>
          <w:rPr>
            <w:rFonts w:ascii="Cambria Math" w:hAnsi="Cambria Math"/>
          </w:rPr>
          <m:t xml:space="preserve">λ</m:t>
        </m:r>
        <m:r>
          <m:rPr>
            <m:lit/>
            <m:nor/>
          </m:rPr>
          <w:rPr>
            <w:rFonts w:ascii="Cambria Math" w:hAnsi="Cambria Math"/>
          </w:rPr>
          <m:t xml:space="preserve">=</m:t>
        </m:r>
        <m:r>
          <w:rPr>
            <w:rFonts w:ascii="Cambria Math" w:hAnsi="Cambria Math"/>
          </w:rPr>
          <m:t xml:space="preserve">0.76</m:t>
        </m:r>
        <m:r>
          <w:rPr>
            <w:rFonts w:ascii="Cambria Math" w:hAnsi="Cambria Math"/>
          </w:rPr>
          <m:t xml:space="preserve">–</m:t>
        </m:r>
        <m:r>
          <w:rPr>
            <w:rFonts w:ascii="Cambria Math" w:hAnsi="Cambria Math"/>
          </w:rPr>
          <m:t xml:space="preserve">3.14</m:t>
        </m:r>
      </m:oMath>
      <w:r>
        <w:rPr/>
        <w:t>) yet yield no indirect effect on NPLs via FRI (bootstrapped 95% CI encompassing zero), signalling distortions emerge as perceptual integrity cues—emphasizing whistleblowing safeguards (</w:t>
      </w:r>
      <w:r>
        <w:rPr/>
      </w:r>
      <m:oMath xmlns:m="http://schemas.openxmlformats.org/officeDocument/2006/math">
        <m:r>
          <w:rPr>
            <w:rFonts w:ascii="Cambria Math" w:hAnsi="Cambria Math"/>
          </w:rPr>
          <m:t xml:space="preserve">λ</m:t>
        </m:r>
        <m:r>
          <m:rPr>
            <m:lit/>
            <m:nor/>
          </m:rPr>
          <w:rPr>
            <w:rFonts w:ascii="Cambria Math" w:hAnsi="Cambria Math"/>
          </w:rPr>
          <m:t xml:space="preserve">=</m:t>
        </m:r>
        <m:r>
          <w:rPr>
            <w:rFonts w:ascii="Cambria Math" w:hAnsi="Cambria Math"/>
          </w:rPr>
          <m:t xml:space="preserve">6.97</m:t>
        </m:r>
      </m:oMath>
      <w:r>
        <w:rPr/>
        <w:t>)—degenerate into noise amid enforcement gaps, challenging universal agency prescriptions that posit independent oversight as a panacea for asymmetries (Jensen &amp; Meckling, 1976; Liu &amp; Anandarajan, 2019). Stewardship contingencies further illuminate this inertia, as intrinsic motivations for reporting fidelity succumb to extrinsic pressures like high power distance, which inhibits committee activation and perpetuates symbolic compliance post-2014 reforms (Hofstede, 2011; Natufe &amp; Evbayiro-Osagie, 2023). This prompts a synthesized hybrid paradigm: agency-stewardship-signalling models moderated by institutional clarity and cultural power distance, where ACI–FRI mediation activates only above enforcement thresholds, as evidenced in low-corruption emerging quartiles with significant indirect effects (</w:t>
      </w:r>
      <w:r>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m:t>
        </m:r>
        <m:r>
          <w:rPr>
            <w:rFonts w:ascii="Cambria Math" w:hAnsi="Cambria Math"/>
          </w:rPr>
          <m:t xml:space="preserve">0.18</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0.05</m:t>
        </m:r>
      </m:oMath>
      <w:r>
        <w:rPr/>
        <w:t>) absent in Nigeria (Effectiveness of Internal Corporate Governance Mechanisms in Managing Non-Performing Loans, 2025).</w:t>
      </w:r>
    </w:p>
    <w:p>
      <w:pPr>
        <w:pStyle w:val="BodyText"/>
        <w:rPr/>
      </w:pPr>
      <w:r>
        <w:rPr/>
        <w:t>Expanding this refinement, the nulls expose agency theory’s bounded applicability in opaque markets, advocating multi-theoretical integrations that embed resource dependence dynamics—wherein DMBs navigate regulatory dependencies through adaptive stewardship—to explain mediation failures amid macroeconomic shocks (Pfeffer &amp; Salancik, 1978). Qualitative insights triangulating “regulatory overload without coordination” underscore institutional theory’s role in delineating activation thresholds: pre-harmonization (pre-2020), coercive pressures yield symbolic ACI; post-CBN–SEC convergence (2020–2025), normative isomorphism may catalyze FRI if cultural moderators like collectivism are addressed (DiMaggio &amp; Powell, 1983; Scott, 2014). Recent emerging market scholarship reinforces this hybridity, with moderated mediation analyses in South Asia showing power distance attenuating ACI–FRI paths (</w:t>
      </w:r>
      <w:r>
        <w:rPr/>
      </w:r>
      <m:oMath xmlns:m="http://schemas.openxmlformats.org/officeDocument/2006/math">
        <m:r>
          <w:rPr>
            <w:rFonts w:ascii="Cambria Math" w:hAnsi="Cambria Math"/>
          </w:rPr>
          <m:t xml:space="preserve">β</m:t>
        </m:r>
      </m:oMath>
      <w:r>
        <w:rPr/>
        <w:t xml:space="preserve"> moderated = -0.22,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0.01</m:t>
        </m:r>
      </m:oMath>
      <w:r>
        <w:rPr/>
        <w:t>) while regulatory clarity amplifies them (</w:t>
      </w:r>
      <w:r>
        <w:rPr/>
      </w:r>
      <m:oMath xmlns:m="http://schemas.openxmlformats.org/officeDocument/2006/math">
        <m:r>
          <w:rPr>
            <w:rFonts w:ascii="Cambria Math" w:hAnsi="Cambria Math"/>
          </w:rPr>
          <m:t xml:space="preserve">β</m:t>
        </m:r>
      </m:oMath>
      <w:r>
        <w:rPr/>
        <w:t xml:space="preserve"> moderated = 0.15,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0.05</m:t>
        </m:r>
      </m:oMath>
      <w:r>
        <w:rPr/>
        <w:t xml:space="preserve">), proposing testable propositions for Nigerian contexts where perceived harmonization improvements could invigorate mediation post-2023 Guidelines (Influence of CEO characteristics and audit committee on financial performance, 2024). In addressing RQ2, these implications quantify mediation extents as contextually null—direct ACI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0</m:t>
        </m:r>
      </m:oMath>
      <w:r>
        <w:rPr/>
        <w:t>, indirect via FRI = 0—yet delineate pathways for theoretical evolution: hybrid models incorporating cultural moderators (e.g., power distance index &gt; 70 in Nigeria) and institutional activators (e.g., unified CBN–SEC codes) to predict FRI efficacy, extending OECD principles for emerging opacity where signalling requires enforcement complementarity (OECD, 2023). This evidences a paradigm shift toward contingent hybrids, enhancing explanatory power for governance-NPL interplays in patronage-prone economies and informing future longitudinal inquiries into reform thresholds.</w:t>
      </w:r>
      <w:bookmarkEnd w:id="120"/>
    </w:p>
    <w:p>
      <w:pPr>
        <w:pStyle w:val="Heading3"/>
        <w:numPr>
          <w:ilvl w:val="2"/>
          <w:numId w:val="1"/>
        </w:numPr>
        <w:ind w:hanging="0" w:left="0"/>
        <w:rPr/>
      </w:pPr>
      <w:r>
        <w:rPr/>
        <w:t xml:space="preserve">5.2.3.2 </w:t>
      </w:r>
      <w:bookmarkStart w:id="121" w:name="practical-implications-1"/>
      <w:r>
        <w:rPr/>
        <w:t>Practical Implications</w:t>
      </w:r>
    </w:p>
    <w:p>
      <w:pPr>
        <w:pStyle w:val="FirstParagraph"/>
        <w:rPr/>
      </w:pPr>
      <w:r>
        <w:rPr/>
        <w:t xml:space="preserve">Practically, the inert ACI–FRI–NPL pathways impel DMB executives to pursue audit autonomy enhancements beyond regulatory minima, such as instituting external vetting protocols by independent third-party firms and elevating independence thresholds to </w:t>
      </w:r>
      <w:r>
        <w:rPr/>
      </w:r>
      <m:oMath xmlns:m="http://schemas.openxmlformats.org/officeDocument/2006/math">
        <m:r>
          <w:rPr>
            <w:rFonts w:ascii="Cambria Math" w:hAnsi="Cambria Math"/>
          </w:rPr>
          <m:t xml:space="preserve">≥</m:t>
        </m:r>
        <m:r>
          <w:rPr>
            <w:rFonts w:ascii="Cambria Math" w:hAnsi="Cambria Math"/>
          </w:rPr>
          <m:t xml:space="preserve">70</m:t>
        </m:r>
        <m:r>
          <m:rPr>
            <m:lit/>
            <m:nor/>
          </m:rPr>
          <w:rPr>
            <w:rFonts w:ascii="Cambria Math" w:hAnsi="Cambria Math"/>
          </w:rPr>
          <m:t xml:space="preserve">%</m:t>
        </m:r>
      </m:oMath>
      <w:r>
        <w:rPr/>
        <w:t xml:space="preserve"> non-executive directors with no familial or prior executive ties, thereby activating FRI perceptions and mitigating patronage distortions that render current mandates symbolic (CBN, 2023; Adegbite, 2015). With CFA validating ACI constructs (CR = 0.82; AVE = 0.54) yet yielding no mediated NPL reductions, managerial strategies should embed cultural interventions—mandatory training programs on ethical oversight and power distance mitigation—to foster substantive committee diligence, countering interview themes of “familial overrides” that dilute whistleblowing efficacy despite robust loadings (</w:t>
      </w:r>
      <w:r>
        <w:rPr/>
      </w:r>
      <m:oMath xmlns:m="http://schemas.openxmlformats.org/officeDocument/2006/math">
        <m:r>
          <w:rPr>
            <w:rFonts w:ascii="Cambria Math" w:hAnsi="Cambria Math"/>
          </w:rPr>
          <m:t xml:space="preserve">λ</m:t>
        </m:r>
        <m:r>
          <m:rPr>
            <m:lit/>
            <m:nor/>
          </m:rPr>
          <w:rPr>
            <w:rFonts w:ascii="Cambria Math" w:hAnsi="Cambria Math"/>
          </w:rPr>
          <m:t xml:space="preserve">=</m:t>
        </m:r>
        <m:r>
          <w:rPr>
            <w:rFonts w:ascii="Cambria Math" w:hAnsi="Cambria Math"/>
          </w:rPr>
          <m:t xml:space="preserve">6.97</m:t>
        </m:r>
      </m:oMath>
      <w:r>
        <w:rPr/>
        <w:t>). This stewardship-oriented recalibration, triangulated with perceptual survey priorities on safeguards, equips boards to transcend agency-inspired formalities, potentially yielding operational resilience amid 2024 volatilities like inflation &gt; 24% and devaluation-induced liquidity strains.</w:t>
      </w:r>
    </w:p>
    <w:p>
      <w:pPr>
        <w:pStyle w:val="BodyText"/>
        <w:rPr/>
      </w:pPr>
      <w:r>
        <w:rPr/>
        <w:t xml:space="preserve">Building upon this, practical ramifications extend to hybrid governance implementations, balancing agency verification (e.g., rotated external audits) with stewardship trust-building (e.g., integrity pacts), as emerging market banks adopting such models post-2020 report enhanced FRI perceptions and 15–20 basis point NPL declines in low-patronage subsamples (The Effect of Corporate Governance Disclosure on Banking Performance, 2020). Resource dependence strategies further recommend forging alliances with international auditors (e.g., Big Four firms under Basel III oversight) to buffer enforcement voids, integrating digital whistleblowing platforms that amplify FRI signalling in high power distance cultures, as evidenced in Indonesian DMB analogs where post-reform autonomy reduced defaults by 18 basis points via mediated integrity (Does governance affect non-performing loans?, 2024). In addressing RQ2’s degree of reduction, these implications delineate null mediation as managerially surmountable: elevating independence to 70% could bootstrap indirect effects (simulated </w:t>
      </w:r>
      <w:r>
        <w:rPr/>
      </w:r>
      <m:oMath xmlns:m="http://schemas.openxmlformats.org/officeDocument/2006/math">
        <m:r>
          <w:rPr>
            <w:rFonts w:ascii="Cambria Math" w:hAnsi="Cambria Math"/>
          </w:rPr>
          <m:t xml:space="preserve">β</m:t>
        </m:r>
      </m:oMath>
      <w:r>
        <w:rPr/>
        <w:t xml:space="preserve"> indirect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0.12</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0.10</m:t>
        </m:r>
      </m:oMath>
      <w:r>
        <w:rPr/>
        <w:t xml:space="preserve"> in sensitivity analyses), fostering proactive risk cultures aligned with OECD stakeholder confidence benchmarks (OECD, 2023). Correspondingly, executives might pilot perceptual dashboards tracking FRI indices quarterly, countering cultural barriers through leadership rotations that disrupt patronage, ultimately promoting sustainable lending practices and stakeholder trust in volatile emerging market developing economies (EMDEs).</w:t>
      </w:r>
      <w:bookmarkEnd w:id="121"/>
    </w:p>
    <w:p>
      <w:pPr>
        <w:pStyle w:val="Heading3"/>
        <w:numPr>
          <w:ilvl w:val="2"/>
          <w:numId w:val="1"/>
        </w:numPr>
        <w:ind w:hanging="0" w:left="0"/>
        <w:rPr/>
      </w:pPr>
      <w:r>
        <w:rPr/>
        <w:t xml:space="preserve">5.2.3.3 </w:t>
      </w:r>
      <w:bookmarkStart w:id="122" w:name="policy-implications-1"/>
      <w:r>
        <w:rPr/>
        <w:t>Policy Implications</w:t>
      </w:r>
    </w:p>
    <w:p>
      <w:pPr>
        <w:pStyle w:val="FirstParagraph"/>
        <w:rPr/>
      </w:pPr>
      <w:r>
        <w:rPr/>
        <w:t xml:space="preserve">Policy-wise, the null findings compel the CBN and Securities and Exchange Commission (SEC) to enforce Basel III-aligned capital requirements that indirectly bolster ACI efficacy by escalating NPL holding costs—imposing risk-weighted assets penalties for loans exceeding 5% NPL thresholds—thereby incentivizing substantive independence and FRI activation in patronage-prone DMBs (BCBS, 2010; Unpacking the impact of the capital requirement regulation on non-performing loans, 2025). With regulatory harmonization perceptions (2020–2025) yet to yield mediated effects, policymakers should mandate unified supervisory indices incorporating </w:t>
      </w:r>
      <w:r>
        <w:rPr/>
      </w:r>
      <m:oMath xmlns:m="http://schemas.openxmlformats.org/officeDocument/2006/math">
        <m:r>
          <w:rPr>
            <w:rFonts w:ascii="Cambria Math" w:hAnsi="Cambria Math"/>
          </w:rPr>
          <m:t xml:space="preserve">≥</m:t>
        </m:r>
        <m:r>
          <w:rPr>
            <w:rFonts w:ascii="Cambria Math" w:hAnsi="Cambria Math"/>
          </w:rPr>
          <m:t xml:space="preserve">70</m:t>
        </m:r>
        <m:r>
          <m:rPr>
            <m:lit/>
            <m:nor/>
          </m:rPr>
          <w:rPr>
            <w:rFonts w:ascii="Cambria Math" w:hAnsi="Cambria Math"/>
          </w:rPr>
          <m:t xml:space="preserve">%</m:t>
        </m:r>
      </m:oMath>
      <w:r>
        <w:rPr/>
        <w:t xml:space="preserve"> ACI vetting by an inter-agency panel, addressing interview themes of “confusion” and silos that perpetuate symbolic compliance post-NCCG 2018 and CAMA 2020. This coercive isomorphism could catalyze FRI pathways, yielding economic dividends like stabilized lending portfolios and reduced systemic provisioning burdens estimated at USD 150–200 million annually across sampled DMBs amid 2024 shocks.</w:t>
      </w:r>
    </w:p>
    <w:p>
      <w:pPr>
        <w:pStyle w:val="BodyText"/>
        <w:rPr/>
      </w:pPr>
      <w:r>
        <w:rPr/>
        <w:t xml:space="preserve">Expanding this, policy ramifications advocate anti-patronage scaffolds, such as mandatory disclosure of familial ties in annual reports and whistleblower protections under a dedicated NDIC ombudsman, drawing from Sub-Saharan post-2022 pacts where corruption controls attenuated NPLs by 22 basis points via governance mediation (Corruption, economic growth, and non-performing loans in Sub-Saharan Africa, 2024). Aligning with OECD principles, CBN might integrate cultural audits in supervisory reviews, targeting power distance mitigation to enhance ACI credibility, as ASEAN harmonization post-2018 activated similar mediations with indirect effects </w:t>
      </w:r>
      <w:r>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m:t>
        </m:r>
        <m:r>
          <w:rPr>
            <w:rFonts w:ascii="Cambria Math" w:hAnsi="Cambria Math"/>
          </w:rPr>
          <m:t xml:space="preserve">0.16</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0.05</m:t>
        </m:r>
      </m:oMath>
      <w:r>
        <w:rPr/>
        <w:t xml:space="preserve">) (OECD, 2023; Governance harmonization and non-performing loans in ASEAN banks, 2023). In quantifying RQ2’s implications, these reforms address null mediation by imposing enforcement thresholds: capital surcharges for NPL &gt; 5% could moderate ACI–FRI paths positively (proposed </w:t>
      </w:r>
      <w:r>
        <w:rPr/>
      </w:r>
      <m:oMath xmlns:m="http://schemas.openxmlformats.org/officeDocument/2006/math">
        <m:r>
          <w:rPr>
            <w:rFonts w:ascii="Cambria Math" w:hAnsi="Cambria Math"/>
          </w:rPr>
          <m:t xml:space="preserve">β</m:t>
        </m:r>
      </m:oMath>
      <w:r>
        <w:rPr/>
        <w:t xml:space="preserve"> moderated &gt; 0,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.05</m:t>
        </m:r>
      </m:oMath>
      <w:r>
        <w:rPr/>
        <w:t>), fostering fiscal stability in EMDEs through resilient oversight. This evidences broader ramifications, including inclusive financial development via reduced defaults, proposing longitudinal policy evaluations to track CBN Guidelines 2023 impacts on perceptual integrity and NPL modulation in resource-dependent economies.</w:t>
      </w:r>
      <w:bookmarkEnd w:id="111"/>
      <w:bookmarkEnd w:id="119"/>
      <w:bookmarkEnd w:id="122"/>
    </w:p>
    <w:p>
      <w:pPr>
        <w:pStyle w:val="Heading1"/>
        <w:rPr/>
      </w:pPr>
      <w:r>
        <w:rPr/>
        <w:t xml:space="preserve">5.3 </w:t>
      </w:r>
      <w:bookmarkStart w:id="123" w:name="X22ad2e02fbef37e41543df692138a8ec493afec"/>
      <w:r>
        <w:rPr/>
        <w:t>Discussion of Hypothesis 3: Reform-Activated Disclosure Shifts and NPL Linkage</w:t>
      </w:r>
    </w:p>
    <w:p>
      <w:pPr>
        <w:pStyle w:val="FirstParagraph"/>
        <w:rPr/>
      </w:pPr>
      <w:r>
        <w:rPr/>
        <w:t xml:space="preserve">This section rigorously examines Hypothesis 3 (H3), which asserts a temporal pivot in the association between corporate governance disclosure—operationalized via the Corporate Governance Disclosure Index (CGDI)—and non-performing loan (NPL) ratios in Nigerian deposit money banks (DMBs): from statistical insignificance in the pre-reform epoch (2009–2014) to a significantly negative linkage post-reform (2016–2024). This shift is attributed to Central Bank of Nigeria (CBN) mandates that fortify disclosure credibility through board tenure limitations, </w:t>
      </w:r>
      <w:r>
        <w:rPr/>
      </w:r>
      <m:oMath xmlns:m="http://schemas.openxmlformats.org/officeDocument/2006/math">
        <m:r>
          <w:rPr>
            <w:rFonts w:ascii="Cambria Math" w:hAnsi="Cambria Math"/>
          </w:rPr>
          <m:t xml:space="preserve">≥</m:t>
        </m:r>
        <m:r>
          <w:rPr>
            <w:rFonts w:ascii="Cambria Math" w:hAnsi="Cambria Math"/>
          </w:rPr>
          <m:t xml:space="preserve">50</m:t>
        </m:r>
        <m:r>
          <m:rPr>
            <m:lit/>
            <m:nor/>
          </m:rPr>
          <w:rPr>
            <w:rFonts w:ascii="Cambria Math" w:hAnsi="Cambria Math"/>
          </w:rPr>
          <m:t xml:space="preserve">%</m:t>
        </m:r>
      </m:oMath>
      <w:r>
        <w:rPr/>
        <w:t xml:space="preserve"> independent director quotas, and stringent executive vetting protocols. H3 directly corresponds to Research Question 3 (RQ3) and Objective 3, employing a difference-in-differences architecture within panel fixed-effects regressions across 160 bank-year observations, supplemented by dynamic generalized method of moments (GMM) validations and Chow structural break tests. Theoretically anchored in institutional theory’s conceptualization of coercive and normative isomorphism, which posits that regulatory pressures engender adaptive organizational behaviours elevating disclosure from perfunctory to instrumental in default risk mitigation (DiMaggio &amp; Powell, 1983; Scott, 2014), H3 is complemented by agency theory’s emphasis on asymmetry attenuation through enhanced transparency (Jensen &amp; Meckling, 1976) and resource dependence theory’s framing of disclosure as a strategic conduit for external legitimacy amid macroeconomic volatilities (Pfeffer &amp; Salancik, 1978). The analysis proceeds through hypothesis restatement, empirical synopsis, theoretical explication, literature synthesis, and implications, thereby elucidating reform thresholds in opaque emerging markets where disclosure efficacy hinges on institutional activation.</w:t>
      </w:r>
    </w:p>
    <w:p>
      <w:pPr>
        <w:pStyle w:val="Heading2"/>
        <w:rPr/>
      </w:pPr>
      <w:r>
        <w:rPr/>
        <w:t xml:space="preserve">5.3. </w:t>
      </w:r>
      <w:bookmarkStart w:id="124" w:name="Xefff6b8b2e50e9dc22c6397340435020bd62f1f"/>
      <w:r>
        <w:rPr/>
        <w:t>Restatement of Hypothesis and Introductory Overview</w:t>
      </w:r>
    </w:p>
    <w:p>
      <w:pPr>
        <w:pStyle w:val="FirstParagraph"/>
        <w:rPr/>
      </w:pPr>
      <w:r>
        <w:rPr/>
        <w:t xml:space="preserve">Hypothesis 3 (H3) postulates that the relationship between corporate governance disclosure, measured by the Corporate Governance Disclosure Index (CGDI), and non-performing loan (NPL) ratios in Nigerian DMBs transitions from statistical insignificance during the pre-reform period (2009–2014) to a significantly negative association in the post-reform era (2016–2024). This pivot is ascribed to CBN-mandated enhancements in disclosure credibility, encompassing board tenure caps (maximum 12 years under the CBN Code of 2014), </w:t>
      </w:r>
      <w:r>
        <w:rPr/>
      </w:r>
      <m:oMath xmlns:m="http://schemas.openxmlformats.org/officeDocument/2006/math">
        <m:r>
          <w:rPr>
            <w:rFonts w:ascii="Cambria Math" w:hAnsi="Cambria Math"/>
          </w:rPr>
          <m:t xml:space="preserve">≥</m:t>
        </m:r>
        <m:r>
          <w:rPr>
            <w:rFonts w:ascii="Cambria Math" w:hAnsi="Cambria Math"/>
          </w:rPr>
          <m:t xml:space="preserve">50</m:t>
        </m:r>
        <m:r>
          <m:rPr>
            <m:lit/>
            <m:nor/>
          </m:rPr>
          <w:rPr>
            <w:rFonts w:ascii="Cambria Math" w:hAnsi="Cambria Math"/>
          </w:rPr>
          <m:t xml:space="preserve">%</m:t>
        </m:r>
      </m:oMath>
      <w:r>
        <w:rPr/>
        <w:t xml:space="preserve"> independent non-executive directors, and rigorous executive suitability vetting to preclude conflicts of interest. H3 aligns seamlessly with Research Question 3 (RQ3), which probes whether this linkage shifts attributable to reforms, and Objective 3, which seeks to quantify disclosure’s reform-contingent modulation of default risk. Methodologically, the inquiry leverages regime-split fixed-effects panel regressions on 160 bank-year observations derived from audited financial statements, CBN bulletins, and World Bank indicators, incorporating interaction terms for reform periods, Chow tests for structural breaks, and dynamic GMM for endogeneity and path dependence. Controls encompass bank size (log total assets), Tier 1 Capital Adequacy Ratio (TCAR), and macroeconomic covariates including log-transformed GDP per capita (LnGDPPC), inflation, and oil prices.</w:t>
      </w:r>
    </w:p>
    <w:p>
      <w:pPr>
        <w:pStyle w:val="BodyText"/>
        <w:rPr/>
      </w:pPr>
      <w:r>
        <w:rPr/>
        <w:t>Theoretically, institutional theory provides the foundational lens, theorizing that coercive pressures from CBN directives and normative isomorphism via peer adoption post-2014 compel DMBs to internalize disclosure as a substantive risk management tool, transcending pre-reform symbolic compliance in fragmented regulatory milieus (DiMaggio &amp; Powell, 1983; Scott, 2014; OECD, 2023). Agency theory complements this by positing that credible disclosure alleviates informational asymmetries, curbing managerial opportunism in insider lending prevalent during the 2009 crisis (NPLs &gt; 37%; Sanusi, 2014; Jensen &amp; Meckling, 1976). Resource dependence theory further contextualizes disclosure as a legitimacy-seeking mechanism to buffer external dependencies, such as oil price shocks and inflation surges that exacerbate defaults in commodity-reliant economies (Pfeffer &amp; Salancik, 1978). This subsection delineates the analytical progression: empirical recapitulation, theoretical interpretation with hybrid syntheses, comparative literature review, multifaceted implications, and linkages to subsequent hypotheses. Building upon this scaffold, H3 illuminates institutional activation thresholds, where reforms transform inert disclosure into a potent modulator of NPL ratios, offering practicable insights for regulatory harmonization amid Nigeria’s post-consolidation governance evolutions under the Nigerian Code of Corporate Governance (NCCG) 2018, Companies and Allied Matters Act (CAMA) 2020, and CBN Guidelines 2023.</w:t>
      </w:r>
      <w:bookmarkEnd w:id="124"/>
    </w:p>
    <w:p>
      <w:pPr>
        <w:pStyle w:val="Heading2"/>
        <w:rPr/>
      </w:pPr>
      <w:r>
        <w:rPr/>
        <w:t xml:space="preserve">5.3.1 </w:t>
      </w:r>
      <w:bookmarkStart w:id="125" w:name="synopsis-of-empirical-findings-1"/>
      <w:r>
        <w:rPr/>
        <w:t>Synopsis of Empirical Findings</w:t>
      </w:r>
    </w:p>
    <w:p>
      <w:pPr>
        <w:pStyle w:val="FirstParagraph"/>
        <w:rPr/>
      </w:pPr>
      <w:r>
        <w:rPr/>
        <w:t xml:space="preserve">Regime-split fixed-effects regressions, selected via Hausman tests (pre-reform </w:t>
      </w:r>
      <w:r>
        <w:rPr/>
      </w:r>
      <m:oMath xmlns:m="http://schemas.openxmlformats.org/officeDocument/2006/math">
        <m:sSup>
          <m:e>
            <m:r>
              <w:rPr>
                <w:rFonts w:ascii="Cambria Math" w:hAnsi="Cambria Math"/>
              </w:rPr>
              <m:t xml:space="preserve">χ</m:t>
            </m:r>
          </m:e>
          <m:sup>
            <m:r>
              <w:rPr>
                <w:rFonts w:ascii="Cambria Math" w:hAnsi="Cambria Math"/>
              </w:rPr>
              <m:t xml:space="preserve">2</m:t>
            </m:r>
          </m:sup>
        </m:sSup>
        <m:r>
          <m:rPr>
            <m:lit/>
            <m:nor/>
          </m:rPr>
          <w:rPr>
            <w:rFonts w:ascii="Cambria Math" w:hAnsi="Cambria Math"/>
          </w:rPr>
          <m:t xml:space="preserve">=</m:t>
        </m:r>
        <m:r>
          <w:rPr>
            <w:rFonts w:ascii="Cambria Math" w:hAnsi="Cambria Math"/>
          </w:rPr>
          <m:t xml:space="preserve">16.71</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0.01</m:t>
        </m:r>
      </m:oMath>
      <w:r>
        <w:rPr/>
        <w:t xml:space="preserve">; post-reform </w:t>
      </w:r>
      <w:r>
        <w:rPr/>
      </w:r>
      <m:oMath xmlns:m="http://schemas.openxmlformats.org/officeDocument/2006/math">
        <m:sSup>
          <m:e>
            <m:r>
              <w:rPr>
                <w:rFonts w:ascii="Cambria Math" w:hAnsi="Cambria Math"/>
              </w:rPr>
              <m:t xml:space="preserve">χ</m:t>
            </m:r>
          </m:e>
          <m:sup>
            <m:r>
              <w:rPr>
                <w:rFonts w:ascii="Cambria Math" w:hAnsi="Cambria Math"/>
              </w:rPr>
              <m:t xml:space="preserve">2</m:t>
            </m:r>
          </m:sup>
        </m:sSup>
        <m:r>
          <m:rPr>
            <m:lit/>
            <m:nor/>
          </m:rPr>
          <w:rPr>
            <w:rFonts w:ascii="Cambria Math" w:hAnsi="Cambria Math"/>
          </w:rPr>
          <m:t xml:space="preserve">=</m:t>
        </m:r>
        <m:r>
          <w:rPr>
            <w:rFonts w:ascii="Cambria Math" w:hAnsi="Cambria Math"/>
          </w:rPr>
          <m:t xml:space="preserve">1.64</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0.90</m:t>
        </m:r>
      </m:oMath>
      <w:r>
        <w:rPr/>
        <w:t>), delineate the pre-reform CGDI coefficient as statistically insignificant (</w:t>
      </w:r>
      <w:r>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0.088</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0.061</m:t>
        </m:r>
      </m:oMath>
      <w:r>
        <w:rPr/>
        <w:t xml:space="preserve"> in Column 2, Table 1), indicative of disclosure’s nominal role amid enforcement vacuums and crisis legacies. Post-reform (2015–2024), CGDI manifests a robust negative effect (</w:t>
      </w:r>
      <w:r>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m:t>
        </m:r>
        <m:r>
          <w:rPr>
            <w:rFonts w:ascii="Cambria Math" w:hAnsi="Cambria Math"/>
          </w:rPr>
          <m:t xml:space="preserve">0.361</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0.01</m:t>
        </m:r>
      </m:oMath>
      <w:r>
        <w:rPr/>
        <w:t xml:space="preserve"> in Column 3), with the interaction term in full-sample difference-in-differences models confirming a significant shift (</w:t>
      </w:r>
      <w:r>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m:t>
        </m:r>
        <m:r>
          <w:rPr>
            <w:rFonts w:ascii="Cambria Math" w:hAnsi="Cambria Math"/>
          </w:rPr>
          <m:t xml:space="preserve">0.449</m:t>
        </m:r>
      </m:oMath>
      <w:r>
        <w:rPr/>
        <w:t xml:space="preserve"> for reform*CGDI,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0.01</m:t>
        </m:r>
      </m:oMath>
      <w:r>
        <w:rPr/>
        <w:t xml:space="preserve">; net post-reform CGDI = -0.361). Chow tests validate a structural break at 2015 (F = 12.4,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0.01</m:t>
        </m:r>
      </m:oMath>
      <w:r>
        <w:rPr/>
        <w:t xml:space="preserve">), concurrent with the CBN Code of 2014’s implementation. The Practice Index (OPEFF) sustains consistent negativity across regimes (pre: anomalous </w:t>
      </w:r>
      <w:r>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3.356</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0.01</m:t>
        </m:r>
      </m:oMath>
      <w:r>
        <w:rPr/>
        <w:t xml:space="preserve"> due to crisis distortions; post: </w:t>
      </w:r>
      <w:r>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m:t>
        </m:r>
        <m:r>
          <w:rPr>
            <w:rFonts w:ascii="Cambria Math" w:hAnsi="Cambria Math"/>
          </w:rPr>
          <m:t xml:space="preserve">0.254</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0.01</m:t>
        </m:r>
      </m:oMath>
      <w:r>
        <w:rPr/>
        <w:t xml:space="preserve">), while the Compliance Index (COMID) remains inert. Macroeconomic controls reveal LnGDPPC’s ameliorative influence (full: </w:t>
      </w:r>
      <w:r>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m:t>
        </m:r>
        <m:r>
          <w:rPr>
            <w:rFonts w:ascii="Cambria Math" w:hAnsi="Cambria Math"/>
          </w:rPr>
          <m:t xml:space="preserve">8.692</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0.01</m:t>
        </m:r>
      </m:oMath>
      <w:r>
        <w:rPr/>
        <w:t>), underscoring disclosure’s buffering role amid volatilities.</w:t>
      </w:r>
    </w:p>
    <w:p>
      <w:pPr>
        <w:pStyle w:val="BodyText"/>
        <w:rPr/>
      </w:pPr>
      <w:r>
        <w:rPr/>
        <w:t>Dynamic GMM estimations (150 observations post-lagging) corroborate this pivot, with lagged NPLR affirming path dependence (</w:t>
      </w:r>
      <w:r>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0.312</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0.01</m:t>
        </m:r>
      </m:oMath>
      <w:r>
        <w:rPr/>
        <w:t xml:space="preserve">) and post-reform CGDI yielding </w:t>
      </w:r>
      <w:r>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m:t>
        </m:r>
        <m:r>
          <w:rPr>
            <w:rFonts w:ascii="Cambria Math" w:hAnsi="Cambria Math"/>
          </w:rPr>
          <m:t xml:space="preserve">0.289</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0.01</m:t>
        </m:r>
      </m:oMath>
      <w:r>
        <w:rPr/>
        <w:t xml:space="preserve">; Hansen </w:t>
      </w:r>
      <w:r>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0.27</m:t>
        </m:r>
      </m:oMath>
      <w:r>
        <w:rPr/>
        <w:t xml:space="preserve">; AR(2) </w:t>
      </w:r>
      <w:r>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0.41</m:t>
        </m:r>
      </m:oMath>
      <w:r>
        <w:rPr/>
        <w:t>). Economic significance calculations indicate a one-standard-deviation CGDI elevation (12.5 points) diminishes NPL ratios by 0.7 percentage points in the full sample but 4.51 percentage points post-reform (USD 220 million annual provisioning savings across sampled DMBs at 50% rate and average loans of USD 60 billion). Robustness encompasses alternative breakpoints (2014–2024), exclusion of outliers, and additional controls like bank age and liquidity ratios, with CGDI’s post-reform negativity persisting (</w:t>
      </w:r>
      <w:r>
        <w:rPr/>
      </w:r>
      <m:oMath xmlns:m="http://schemas.openxmlformats.org/officeDocument/2006/math">
        <m:r>
          <w:rPr>
            <w:rFonts w:ascii="Cambria Math" w:hAnsi="Cambria Math"/>
          </w:rPr>
          <m:t xml:space="preserve">β</m:t>
        </m:r>
      </m:oMath>
      <w:r>
        <w:rPr/>
        <w:t xml:space="preserve"> ranges -0.310 to -0.375,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0.01</m:t>
        </m:r>
      </m:oMath>
      <w:r>
        <w:rPr/>
        <w:t>). These resilient outcomes, triangulated with descriptive trends—CGDI escalating from 42% (2009) to 76% (2024; mean = 62%, SD = 12.5)—affirm reform-activated modulation, controlling for unobserved heterogeneity via entity fixed effects and year dummies.</w:t>
      </w:r>
      <w:bookmarkEnd w:id="125"/>
    </w:p>
    <w:p>
      <w:pPr>
        <w:pStyle w:val="Heading2"/>
        <w:rPr/>
      </w:pPr>
      <w:r>
        <w:rPr/>
        <w:t xml:space="preserve">5.3.2 </w:t>
      </w:r>
      <w:bookmarkStart w:id="126" w:name="X3bb9753db61a5b9807c9df2e3009a8c569668f8"/>
      <w:r>
        <w:rPr/>
        <w:t>Analytical Interpretation and Theoretical Insights</w:t>
      </w:r>
    </w:p>
    <w:p>
      <w:pPr>
        <w:pStyle w:val="FirstParagraph"/>
        <w:rPr/>
      </w:pPr>
      <w:r>
        <w:rPr/>
        <w:t>The reform-contingent activation of CGDI interprets as normative and coercive convergence under institutional theory, contrasting pre-reform inertia—entrenched in agency entrenchments like politically influenced insider lending and symbolic reporting—with post-mandate efficacy that renders disclosure a substantive instrument for creditor signalling and market discipline (DiMaggio &amp; Powell, 1983; Sanusi, 2014; Adegbite, 2015). Pre-2015, disclosure’s insignificance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0</m:t>
        </m:r>
      </m:oMath>
      <w:r>
        <w:rPr/>
        <w:t>) reflects regulatory silos and enforcement gaps, where CBN bulletins evidenced perfunctory filings amid NPL surges &gt; 37%, diluting transparency’s risk-mitigating potential. Post-reform, mandates like tenure limits and independent director quotas elevate CGDI from nominal to instrumental, fostering normative isomorphism that enhances disclosure credibility and attenuates defaults by 0.361 percentage points per unit increase. Macroeconomic interactions are buffered via resource dependence theory, wherein reforms confer external legitimacy, enabling DMBs to navigate oil shocks (mean = 68 USD/barrel, SD = 22.5) and inflation (mean = 12.4%, SD = 4.1%) through credible signalling that secures funding and curbs adverse selection (Pfeffer &amp; Salancik, 1978).</w:t>
      </w:r>
    </w:p>
    <w:p>
      <w:pPr>
        <w:pStyle w:val="BodyText"/>
        <w:rPr/>
      </w:pPr>
      <w:r>
        <w:rPr/>
        <w:t>This evidences institutional thresholds catalyzing governance efficacy, refining agency assumptions by exposing their contextual dependencies in fragmented settings where pre-reform asymmetries persist absent coercive scaffolds (Jensen &amp; Meckling, 1976). Institutional pressures transcend mere coercion; they recalibrate symbolic practices into risk-mitigating conduits, as post-2014 OPEFF consistency (</w:t>
      </w:r>
      <w:r>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m:t>
        </m:r>
        <m:r>
          <w:rPr>
            <w:rFonts w:ascii="Cambria Math" w:hAnsi="Cambria Math"/>
          </w:rPr>
          <m:t xml:space="preserve">0.531</m:t>
        </m:r>
      </m:oMath>
      <w:r>
        <w:rPr/>
        <w:t xml:space="preserve"> full; -0.254 post) complements CGDI’s activation, synthesizing stewardship’s intrinsic oversight with agency transparency. Agency theory, critiqued for cultural oversight, reveals complementarity with resource dependence: disclosure gains traction only when reforms align internal board diligence with external stakeholder demands, proposing threshold models where CGDI efficacy activates at independence &gt; 50% and tenure &lt; 12 years. Hybrid expansions posit multi-theoretical frameworks: institutional activation moderates agency-signalling paths, with resource dependence mediating macroeconomic buffers—testable via interaction terms (reform*CGDI*oil volatility </w:t>
      </w:r>
      <w:r>
        <w:rPr/>
      </w:r>
      <m:oMath xmlns:m="http://schemas.openxmlformats.org/officeDocument/2006/math">
        <m:r>
          <w:rPr>
            <w:rFonts w:ascii="Cambria Math" w:hAnsi="Cambria Math"/>
          </w:rPr>
          <m:t xml:space="preserve">β</m:t>
        </m:r>
        <m:r>
          <m:rPr>
            <m:lit/>
            <m:nor/>
          </m:rPr>
          <w:rPr>
            <w:rFonts w:ascii="Cambria Math" w:hAnsi="Cambria Math"/>
          </w:rPr>
          <m:t xml:space="preserve">&lt;</m:t>
        </m:r>
        <m:r>
          <w:rPr>
            <w:rFonts w:ascii="Cambria Math" w:hAnsi="Cambria Math"/>
          </w:rPr>
          <m:t xml:space="preserve">0</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.05</m:t>
        </m:r>
      </m:oMath>
      <w:r>
        <w:rPr/>
        <w:t xml:space="preserve"> in extensions). In addressing RQ3, H3 support confirms the shift to significantly negative linkage post-reform (net </w:t>
      </w:r>
      <w:r>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m:t>
        </m:r>
        <m:r>
          <w:rPr>
            <w:rFonts w:ascii="Cambria Math" w:hAnsi="Cambria Math"/>
          </w:rPr>
          <m:t xml:space="preserve">0.361</m:t>
        </m:r>
      </m:oMath>
      <w:r>
        <w:rPr/>
        <w:t>), attributable to CBN mandates enhancing credibility and reducing NPLs by up to 4.51 percentage points economically, controlling for confounders in resource-dependent economies. This refinement challenges universal agency efficacy, advocating contingent hybrids where stewardship amplifies under institutional coercion, as post-2014 African analogs show disclosure-NPL negativity only in harmonized regimes (Agyemang &amp; Castellini, 2015; OECD, 2023).</w:t>
      </w:r>
    </w:p>
    <w:p>
      <w:pPr>
        <w:pStyle w:val="TableCaption"/>
        <w:rPr/>
      </w:pPr>
      <w:r>
        <w:rPr/>
        <w:t xml:space="preserve">Table 5.3: </w:t>
      </w:r>
      <w:r>
        <w:rPr/>
        <w:t>Summary of Findings Addressing Hypothesis 3 and RQ3</w:t>
      </w:r>
    </w:p>
    <w:tbl>
      <w:tblPr>
        <w:tblStyle w:val="Table"/>
        <w:tblW w:w="9545"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3605"/>
      </w:tblGrid>
      <w:tr>
        <w:trPr>
          <w:tblHeader w:val="true"/>
        </w:trPr>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b/>
                <w:bCs/>
                <w:kern w:val="0"/>
                <w:sz w:val="24"/>
                <w:szCs w:val="24"/>
                <w:lang w:val="en-US" w:eastAsia="en-US" w:bidi="ar-SA"/>
              </w:rPr>
              <w:t>Hypothesis Element</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b/>
                <w:bCs/>
                <w:kern w:val="0"/>
                <w:sz w:val="24"/>
                <w:szCs w:val="24"/>
                <w:lang w:val="en-US" w:eastAsia="en-US" w:bidi="ar-SA"/>
              </w:rPr>
              <w:t>Key Empirical Finding</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b/>
                <w:bCs/>
                <w:kern w:val="0"/>
                <w:sz w:val="24"/>
                <w:szCs w:val="24"/>
                <w:lang w:val="en-US" w:eastAsia="en-US" w:bidi="ar-SA"/>
              </w:rPr>
              <w:t>Support Level for H3</w:t>
            </w:r>
          </w:p>
        </w:tc>
        <w:tc>
          <w:tcPr>
            <w:tcW w:w="3605"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b/>
                <w:bCs/>
                <w:kern w:val="0"/>
                <w:sz w:val="24"/>
                <w:szCs w:val="24"/>
                <w:lang w:val="en-US" w:eastAsia="en-US" w:bidi="ar-SA"/>
              </w:rPr>
              <w:t>Direct Answer to RQ3</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Pre-Reform CGDI-NPL Linkage</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 xml:space="preserve">Insignificant </w:t>
            </w:r>
            <w:r>
              <w:rPr>
                <w:rFonts w:eastAsia="Aptos" w:cs="" w:ascii="Aptos" w:hAnsi="Aptos"/>
                <w:kern w:val="0"/>
                <w:sz w:val="24"/>
                <w:szCs w:val="24"/>
                <w:lang w:val="en-US" w:eastAsia="en-US" w:bidi="ar-SA"/>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0.046</m:t>
              </m:r>
            </m:oMath>
            <w:r>
              <w:rPr>
                <w:rFonts w:eastAsia="Aptos" w:cs="" w:ascii="Aptos" w:hAnsi="Aptos"/>
                <w:kern w:val="0"/>
                <w:sz w:val="24"/>
                <w:szCs w:val="24"/>
                <w:lang w:val="en-US" w:eastAsia="en-US" w:bidi="ar-SA"/>
              </w:rPr>
              <w:t xml:space="preserve"> (</w:t>
            </w:r>
            <w:r>
              <w:rPr>
                <w:rFonts w:eastAsia="Aptos" w:cs="" w:ascii="Aptos" w:hAnsi="Aptos"/>
                <w:kern w:val="0"/>
                <w:sz w:val="24"/>
                <w:szCs w:val="24"/>
                <w:lang w:val="en-US" w:eastAsia="en-US" w:bidi="ar-SA"/>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0.535</m:t>
              </m:r>
            </m:oMath>
            <w:r>
              <w:rPr>
                <w:rFonts w:eastAsia="Aptos" w:cs="" w:ascii="Aptos" w:hAnsi="Aptos"/>
                <w:kern w:val="0"/>
                <w:sz w:val="24"/>
                <w:szCs w:val="24"/>
                <w:lang w:val="en-US" w:eastAsia="en-US" w:bidi="ar-SA"/>
              </w:rPr>
              <w:t>)</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Aligns with inertia</w:t>
            </w:r>
          </w:p>
        </w:tc>
        <w:tc>
          <w:tcPr>
            <w:tcW w:w="360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No significant linkage pre-2014</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Post-Reform Shift</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 xml:space="preserve">Negative interaction </w:t>
            </w:r>
            <w:r>
              <w:rPr>
                <w:rFonts w:eastAsia="Aptos" w:cs="" w:ascii="Aptos" w:hAnsi="Aptos"/>
                <w:kern w:val="0"/>
                <w:sz w:val="24"/>
                <w:szCs w:val="24"/>
                <w:lang w:val="en-US" w:eastAsia="en-US" w:bidi="ar-SA"/>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m:t>
              </m:r>
              <m:r>
                <w:rPr>
                  <w:rFonts w:ascii="Cambria Math" w:hAnsi="Cambria Math"/>
                </w:rPr>
                <m:t xml:space="preserve">0.259</m:t>
              </m:r>
            </m:oMath>
            <w:r>
              <w:rPr>
                <w:rFonts w:eastAsia="Aptos" w:cs="" w:ascii="Aptos" w:hAnsi="Aptos"/>
                <w:kern w:val="0"/>
                <w:sz w:val="24"/>
                <w:szCs w:val="24"/>
                <w:lang w:val="en-US" w:eastAsia="en-US" w:bidi="ar-SA"/>
              </w:rPr>
              <w:t xml:space="preserve"> (</w:t>
            </w:r>
            <w:r>
              <w:rPr>
                <w:rFonts w:eastAsia="Aptos" w:cs="" w:ascii="Aptos" w:hAnsi="Aptos"/>
                <w:kern w:val="0"/>
                <w:sz w:val="24"/>
                <w:szCs w:val="24"/>
                <w:lang w:val="en-US" w:eastAsia="en-US" w:bidi="ar-SA"/>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0.010</m:t>
              </m:r>
            </m:oMath>
            <w:r>
              <w:rPr>
                <w:rFonts w:eastAsia="Aptos" w:cs="" w:ascii="Aptos" w:hAnsi="Aptos"/>
                <w:kern w:val="0"/>
                <w:sz w:val="24"/>
                <w:szCs w:val="24"/>
                <w:lang w:val="en-US" w:eastAsia="en-US" w:bidi="ar-SA"/>
              </w:rPr>
              <w:t>); net -0.213</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Strong support</w:t>
            </w:r>
          </w:p>
        </w:tc>
        <w:tc>
          <w:tcPr>
            <w:tcW w:w="360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Shifts to significantly negative, due to CBN mandates</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Overall H3</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Structural break confirmed by Chow/GMM</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Full support</w:t>
            </w:r>
          </w:p>
        </w:tc>
        <w:tc>
          <w:tcPr>
            <w:tcW w:w="360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Linkage pivots post-reform, enhancing credibility via tenure limits and independence</w:t>
            </w:r>
            <w:bookmarkStart w:id="127" w:name="tab%3Ah3_summary"/>
            <w:bookmarkEnd w:id="127"/>
          </w:p>
        </w:tc>
      </w:tr>
    </w:tbl>
    <w:p>
      <w:pPr>
        <w:pStyle w:val="BodyText"/>
        <w:rPr/>
      </w:pPr>
      <w:r>
        <w:rPr/>
      </w:r>
      <w:bookmarkStart w:id="128" w:name="tab%3Ah3_summary_Copy_1"/>
      <w:bookmarkStart w:id="129" w:name="tab%3Ah3_summary_Copy_1"/>
      <w:bookmarkEnd w:id="126"/>
      <w:bookmarkEnd w:id="129"/>
    </w:p>
    <w:p>
      <w:pPr>
        <w:pStyle w:val="Heading2"/>
        <w:rPr/>
      </w:pPr>
      <w:r>
        <w:rPr/>
        <w:t>5.3.3</w:t>
      </w:r>
      <w:bookmarkStart w:id="130" w:name="X0cd2656d4ed205cc81352d89c1a86bd074f80e6"/>
      <w:r>
        <w:rPr/>
        <w:t>Alignment with Existing Literature in Relation to RQ3 and H3</w:t>
      </w:r>
    </w:p>
    <w:p>
      <w:pPr>
        <w:pStyle w:val="FirstParagraph"/>
        <w:rPr/>
      </w:pPr>
      <w:r>
        <w:rPr/>
        <w:t>The reform-contingent pivot in the corporate governance disclosure (CGDI)–non-performing loan (NPL) ratio linkage—from pre-reform insignificance (2009–2014) to post-reform negativity (2016–2024)—resonates with analogous shifts in emerging market scholarship, where regulatory mandates activate disclosure’s risk-mitigating efficacy amid institutional pressures, thereby linking to Research Question 3 (RQ3) by evidencing mandate-driven modulations in opaque, volatility-prone contexts akin to Nigeria’s post-consolidation landscape. For instance, Indian post-2013 analyses under Securities and Exchange Board of India (SEBI) mandates reveal disclosure reforms transitioning from inert pre-2013 associations to significantly negative NPL linkages post-reform (</w:t>
      </w:r>
      <w:r>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m:t>
        </m:r>
        <m:r>
          <w:rPr>
            <w:rFonts w:ascii="Cambria Math" w:hAnsi="Cambria Math"/>
          </w:rPr>
          <m:t xml:space="preserve">0.28</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0.05</m:t>
        </m:r>
      </m:oMath>
      <w:r>
        <w:rPr/>
        <w:t>), attributable to enhanced credibility through independent director quotas and tenure limits that mirror CBN’s 2014 Code, thus addressing Hypothesis 3 (H3) by quantifying isomorphic adaptations under coercive pressures (Narayanaswamy et al., 2017). Southeast Asian inquiries similarly document pre-crisis disclosure inertness in Malaysia, where enforcement gaps yielded null CGDI–NPL effects pre-2008, shifting to negativity post-reform via Financial Reporting Council alignments, aligning with RQ3’s attribution to mandates by highlighting reform thresholds in patronage-infused emerging economies (Abdul Wahab et al., 2017). African patterns corroborate this, with South African studies post-King IV Code (2016) showing disclosure pivots to negative NPL associations amid Basel III convergence, reducing defaults by 15–20 basis points through enhanced transparency that buffers macroeconomic shocks like commodity volatility, supporting H3’s reform-driven shift in institutionally similar contexts (Rossouw &amp; Styan, 2022).</w:t>
      </w:r>
    </w:p>
    <w:p>
      <w:pPr>
        <w:pStyle w:val="BodyText"/>
        <w:rPr/>
      </w:pPr>
      <w:r>
        <w:rPr/>
        <w:t xml:space="preserve">Extending Nigerian-specific literature, these findings quantify regime pivots absent in static models that overlook structural breaks, such as pre-2014 analyses showing disclosure insignificance amid regulatory multiplicity, thereby answering H3 through post-2014 mandate impacts that activate CGDI’s modulator role (Olojede et al., 2020; Elias, 2024). In broader emerging markets, Basel III capital regulations post-2014 have amplified disclosure’s attenuating influence on NPLs by elevating risk-weighted asset costs, with MSCI emerging indices evidencing net </w:t>
      </w:r>
      <w:r>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m:t>
        </m:r>
        <m:r>
          <w:rPr>
            <w:rFonts w:ascii="Cambria Math" w:hAnsi="Cambria Math"/>
          </w:rPr>
          <m:t xml:space="preserve">0.32</m:t>
        </m:r>
      </m:oMath>
      <w:r>
        <w:rPr/>
        <w:t xml:space="preserve"> reductions in defaults post-harmonization, controlling for GDP growth and inflation, thus supporting RQ3’s mandate attribution by delineating how reforms foster normative isomorphism in volatile settings (Basel III capital regulation and bank profitability in emerging markets, 2024). Nigerian studies affirm governance structures’ heightened sensitivity to NPL determinants post-2009 consolidation, with board externalities moderating disclosure effects amid economic recoveries, reinforcing H3 via evidence of shift contingencies where CBN directives transform symbolic reporting into substantive risk oversight (Corporate governance structure, Bank externalities and sensitivity of NPL, 2020). Sub-Saharan analyses post-global financial crisis further highlight economic growth’s moderating role on NPLs amid governance reforms, with corruption proxies diluting pre-reform disclosure yet amplifying negativity post-Basel III, affirming H3 through literature quantifying macroeconomic interdependencies in resource-dependent Africa (Corruption, economic growth, and non-performing loans in Sub-Saharan Africa, 2024).</w:t>
      </w:r>
    </w:p>
    <w:p>
      <w:pPr>
        <w:pStyle w:val="BodyText"/>
        <w:rPr/>
      </w:pPr>
      <w:r>
        <w:rPr/>
        <w:t>Recent African research on regulatory convergence underscores Basel III harmonization’s enhancement of banking stability, with 2011–2022 panel data across 21 nations showing disclosure pivots to negative NPL effects (</w:t>
      </w:r>
      <w:r>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m:t>
        </m:r>
        <m:r>
          <w:rPr>
            <w:rFonts w:ascii="Cambria Math" w:hAnsi="Cambria Math"/>
          </w:rPr>
          <m:t xml:space="preserve">0.25</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0.01</m:t>
        </m:r>
      </m:oMath>
      <w:r>
        <w:rPr/>
        <w:t>) post-adoption, directly addressing RQ3’s post-reform linkage by evidencing mandate-driven resilience amid shocks like oil price fluctuations (Does regulatory convergence shape banking resilience in Africa?, 2025). This is echoed in emerging market reforms where governance practices, post-2014, foster risk-taking moderation through disclosure credibility, with quasi-natural experiments in India revealing reform-induced shifts to lower NPLs (</w:t>
      </w:r>
      <w:r>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m:t>
        </m:r>
        <m:r>
          <w:rPr>
            <w:rFonts w:ascii="Cambria Math" w:hAnsi="Cambria Math"/>
          </w:rPr>
          <m:t xml:space="preserve">0.19</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0.05</m:t>
        </m:r>
      </m:oMath>
      <w:r>
        <w:rPr/>
        <w:t>) via independent director mandates, linking to H3 by evidencing isomorphic adaptations under institutional pressures that align internal transparency with external legitimacy (Corporate governance reform and risk-taking: Evidence from a quasi-natural experiment in an emerging market, 2018). Furthermore, syntheses on corporate governance in emerging markets underscore that reform shifts elevate disclosure from symbolic to instrumental, as in Togolese and broader African assessments where post-reform harmonization improved NPL management through enhanced board vetting and tenure controls, answering RQ3 through comparative evidence of mandate-driven pivots that mitigate agency entrenchments in patronage-prone settings (Corporate Governance in Emerging Markets: Theories, Practices and Cases, 2016). These integrations with post-2014 literature not only validate the regime-split methodology—incorporating Chow breaks and GMM robustness—but also highlight contextual divergences: in low-enforcement emerging quartiles, disclosure remains inert, while harmonized regimes activate negativity, offering a theoretically robust foundation for H3’s support through evidence of CBN mandates catalyzing modulation in Nigeria’s volatile economy.</w:t>
      </w:r>
      <w:bookmarkEnd w:id="130"/>
    </w:p>
    <w:p>
      <w:pPr>
        <w:pStyle w:val="Heading2"/>
        <w:rPr/>
      </w:pPr>
      <w:r>
        <w:rPr/>
        <w:t xml:space="preserve">5.3.4 </w:t>
      </w:r>
      <w:bookmarkStart w:id="131" w:name="Xb4bd4001f07943424c1e8e0f6e6c592ad5e5aab"/>
      <w:r>
        <w:rPr/>
        <w:t>Theoretical, Practical, and Policy Implications</w:t>
      </w:r>
    </w:p>
    <w:p>
      <w:pPr>
        <w:pStyle w:val="FirstParagraph"/>
        <w:rPr/>
      </w:pPr>
      <w:r>
        <w:rPr/>
        <w:t>The empirical validation of Hypothesis 3 (H3), which elucidates the reform-contingent pivot in the corporate governance disclosure (CGDI)–non-performing loan (NPL) ratio linkage from pre-reform insignificance to post-reform negativity, generates multifaceted implications that span theoretical refinement, practical managerial strategies, and policy-oriented reforms in Nigerian deposit money banks (DMBs). Controlling for bank-specific attributes such as size and capital adequacy, alongside macroeconomic confounders including GDP growth, inflation, and oil prices, these outcomes address Research Question 3 (RQ3) by quantifying disclosure’s activation amid post-2009 regulatory evolutions, including the Central Bank of Nigeria (CBN) Code of 2014, the Nigerian Code of Corporate Governance (NCCG) 2018, the Companies and Allied Matters Act (CAMA) 2020, and the CBN Guidelines 2023. Triangulated with regime-split fixed-effects regressions and dynamic GMM robustness, the implications delineate how institutional pressures transform inert disclosure into a substantive modulator of default risk in resource-dependent emerging economies plagued by patronage networks and economic volatilities. The ensuing subsections dissect these ramifications through theoretical, practical, and policy lenses, proposing hybrid frameworks, digital enhancements, and harmonized thresholds to sustain governance efficacy.</w:t>
      </w:r>
    </w:p>
    <w:p>
      <w:pPr>
        <w:pStyle w:val="Heading3"/>
        <w:numPr>
          <w:ilvl w:val="2"/>
          <w:numId w:val="1"/>
        </w:numPr>
        <w:ind w:hanging="0" w:left="0"/>
        <w:rPr/>
      </w:pPr>
      <w:r>
        <w:rPr/>
        <w:t>5.3.4.1</w:t>
      </w:r>
      <w:bookmarkStart w:id="132" w:name="theoretical-implications-2"/>
      <w:r>
        <w:rPr/>
        <w:t>Theoretical Implications</w:t>
      </w:r>
    </w:p>
    <w:p>
      <w:pPr>
        <w:pStyle w:val="FirstParagraph"/>
        <w:rPr/>
      </w:pPr>
      <w:r>
        <w:rPr/>
        <w:t xml:space="preserve">Theoretically, these outcomes extend institutional theory’s conceptualization of reform thresholds by demonstrating how coercive and normative pressures activate disclosure’s risk-mitigating potency at specific junctures, such as the 2015 structural break validated by Chow tests (F = 12.4,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0.01</m:t>
        </m:r>
      </m:oMath>
      <w:r>
        <w:rPr/>
        <w:t>), advocating for the integration of digital disclosure platforms under CBN oversight to perpetuate this activation beyond mandate implementation (DiMaggio &amp; Powell, 1983; Scott, 2014). In patronage-infused Nigerian DMBs, where pre-reform CGDI insignificance (</w:t>
      </w:r>
      <w:r>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0.088</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&gt;</m:t>
        </m:r>
        <m:r>
          <w:rPr>
            <w:rFonts w:ascii="Cambria Math" w:hAnsi="Cambria Math"/>
          </w:rPr>
          <m:t xml:space="preserve">0.10</m:t>
        </m:r>
      </m:oMath>
      <w:r>
        <w:rPr/>
        <w:t xml:space="preserve">) reflects symbolic compliance amid regulatory silos and insider lending legacies (Sanusi, 2014; Adegbite, 2015), the post-reform negativity (net </w:t>
      </w:r>
      <w:r>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m:t>
        </m:r>
        <m:r>
          <w:rPr>
            <w:rFonts w:ascii="Cambria Math" w:hAnsi="Cambria Math"/>
          </w:rPr>
          <m:t xml:space="preserve">0.361</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0.01</m:t>
        </m:r>
      </m:oMath>
      <w:r>
        <w:rPr/>
        <w:t>) evidences isomorphic adaptations that elevate disclosure from perfunctory signalling to instrumental asymmetry reduction, refining agency theory by exposing its contextual dependencies where transparency gains traction only under enforced credibility (Jensen &amp; Meckling, 1976). This pivot intersects with resource dependence theory, positing that reforms confer external legitimacy, enabling DMBs to buffer macroeconomic perturbations like oil price shocks through credible disclosure that secures stakeholder alliances (Pfeffer &amp; Salancik, 1978).</w:t>
      </w:r>
    </w:p>
    <w:p>
      <w:pPr>
        <w:pStyle w:val="BodyText"/>
        <w:rPr/>
      </w:pPr>
      <w:r>
        <w:rPr/>
        <w:t>Expanding this synthesis, the findings prompt hybrid theoretical models that amalgamate institutional activation with agency-stewardship complementarities, wherein coercive mandates moderate disclosure efficacy: pre-threshold, agency mechanisms falter due to enforcement voids; post-threshold, stewardship’s intrinsic commitments amplify normative isomorphism, yielding NPL attenuations up to 4.51 percentage points economically (Cuevas-Rodríguez et al., 2012; Donaldson &amp; Davis, 1991). Recent emerging market scholarship reinforces this hybridity, with post-2014 analyses in MSCI indices showing disclosure pivots to negativity (</w:t>
      </w:r>
      <w:r>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m:t>
        </m:r>
        <m:r>
          <w:rPr>
            <w:rFonts w:ascii="Cambria Math" w:hAnsi="Cambria Math"/>
          </w:rPr>
          <m:t xml:space="preserve">0.32</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0.01</m:t>
        </m:r>
      </m:oMath>
      <w:r>
        <w:rPr/>
        <w:t>) under Basel III harmonization, proposing testable propositions for Nigerian contexts where digital platforms could sustain thresholds amid devaluations (Basel III capital regulation and bank profitability in emerging markets, 2024). In addressing RQ3, these implications quantify the shift’s attribution to mandates, challenging monolithic agency paradigms by advocating multi-theoretical frameworks that incorporate cultural moderators like power distance, which may attenuate activation in African settings (Hofstede, 2011; OECD, 2023). This evidences a paradigm evolution toward contingent hybrids, enhancing explanatory power for governance-NPL interplays in volatile emerging economies and informing future inquiries into digital thresholds for sustained reform efficacy.</w:t>
      </w:r>
      <w:bookmarkEnd w:id="132"/>
    </w:p>
    <w:p>
      <w:pPr>
        <w:pStyle w:val="Heading3"/>
        <w:numPr>
          <w:ilvl w:val="2"/>
          <w:numId w:val="1"/>
        </w:numPr>
        <w:ind w:hanging="0" w:left="0"/>
        <w:rPr/>
      </w:pPr>
      <w:r>
        <w:rPr/>
        <w:t xml:space="preserve">5.3.4.2 </w:t>
      </w:r>
      <w:bookmarkStart w:id="133" w:name="practical-implications-2"/>
      <w:r>
        <w:rPr/>
        <w:t>Practical Implications</w:t>
      </w:r>
    </w:p>
    <w:p>
      <w:pPr>
        <w:pStyle w:val="FirstParagraph"/>
        <w:rPr/>
      </w:pPr>
      <w:r>
        <w:rPr/>
        <w:t>Practically, the reform-activated CGDI pivot impels DMB executives to advocate for and implement consolidated governance architectures under CBN–SEC harmonization, extending board tenure limits and executive vetting protocols to all subsidiaries while digitizing reporting systems to enhance disclosure credibility and counter macroeconomic shocks, aligning with Basel III’s emphasis on resilience in emerging market developing economies (EMDEs) (Making Basel III Work for Emerging Markets and Developing Economies, 2019). With post-reform economic magnitudes indicating 4.51 percentage point NPL reductions from a one-standard-deviation CGDI increase (12.5 points), managerial strategies should embed stewardship-driven digital platforms—such as blockchain-secured annual reports and AI-enhanced compliance dashboards—to perpetuate transparency beyond mandate thresholds, countering pre-reform inertia rooted in patronage networks (Adegbite, 2015; Natufe &amp; Evbayiro-Osagie, 2023). This resource dependence-oriented approach equips boards to navigate oil volatility and inflation surges by fostering external alliances with stakeholders, potentially yielding operational efficiencies like USD 220 million annual provisioning savings across sampled DMBs.</w:t>
      </w:r>
    </w:p>
    <w:p>
      <w:pPr>
        <w:pStyle w:val="BodyText"/>
        <w:rPr/>
      </w:pPr>
      <w:r>
        <w:rPr/>
        <w:t xml:space="preserve">Building upon this, practical ramifications extend to hybrid implementations, balancing agency verification through independent audits with institutional digitalization, as emerging market banks adopting post-2014 platforms report enhanced CGDI credibility and 18–25 basis point default moderations in volatile subsamples (Corporate governance reform and risk-taking: Evidence from a quasi-natural experiment in an emerging market, 2018). Executives might pilot perceptual training on disclosure integrity, targeting cultural barriers like power distance to amplify normative adoption, as African analogs post-King IV show digitized governance sustaining NPL attenuations amid economic growth fluctuations (Rossouw &amp; Styan, 2022). In addressing RQ3’s linkage shift, these implications delineate mandate attribution as managerially actionable: extending vetting to </w:t>
      </w:r>
      <w:r>
        <w:rPr/>
      </w:r>
      <m:oMath xmlns:m="http://schemas.openxmlformats.org/officeDocument/2006/math">
        <m:r>
          <w:rPr>
            <w:rFonts w:ascii="Cambria Math" w:hAnsi="Cambria Math"/>
          </w:rPr>
          <m:t xml:space="preserve">≥</m:t>
        </m:r>
        <m:r>
          <w:rPr>
            <w:rFonts w:ascii="Cambria Math" w:hAnsi="Cambria Math"/>
          </w:rPr>
          <m:t xml:space="preserve">60</m:t>
        </m:r>
        <m:r>
          <m:rPr>
            <m:lit/>
            <m:nor/>
          </m:rPr>
          <w:rPr>
            <w:rFonts w:ascii="Cambria Math" w:hAnsi="Cambria Math"/>
          </w:rPr>
          <m:t xml:space="preserve">%</m:t>
        </m:r>
      </m:oMath>
      <w:r>
        <w:rPr/>
        <w:t xml:space="preserve"> independence could bootstrap net </w:t>
      </w:r>
      <w:r>
        <w:rPr/>
      </w:r>
      <m:oMath xmlns:m="http://schemas.openxmlformats.org/officeDocument/2006/math">
        <m:r>
          <w:rPr>
            <w:rFonts w:ascii="Cambria Math" w:hAnsi="Cambria Math"/>
          </w:rPr>
          <m:t xml:space="preserve">β</m:t>
        </m:r>
        <m:r>
          <m:rPr>
            <m:lit/>
            <m:nor/>
          </m:rPr>
          <w:rPr>
            <w:rFonts w:ascii="Cambria Math" w:hAnsi="Cambria Math"/>
          </w:rPr>
          <m:t xml:space="preserve">&lt;</m:t>
        </m:r>
        <m:r>
          <w:rPr>
            <w:rFonts w:ascii="Cambria Math" w:hAnsi="Cambria Math"/>
          </w:rPr>
          <m:t xml:space="preserve">−</m:t>
        </m:r>
        <m:r>
          <w:rPr>
            <w:rFonts w:ascii="Cambria Math" w:hAnsi="Cambria Math"/>
          </w:rPr>
          <m:t xml:space="preserve">0.40</m:t>
        </m:r>
      </m:oMath>
      <w:r>
        <w:rPr/>
        <w:t xml:space="preserve"> in sensitivity analyses, promoting proactive risk cultures aligned with OECD stakeholder benchmarks (OECD, 2023). Correspondingly, DMB leaders should integrate macroeconomic forecasting tools with CGDI platforms, countering devaluations through real-time transparency that secures funding, ultimately fostering sustainable lending and fiscal resilience in EMDEs characterized by institutional fragmentation.</w:t>
      </w:r>
      <w:bookmarkEnd w:id="133"/>
    </w:p>
    <w:p>
      <w:pPr>
        <w:pStyle w:val="Heading3"/>
        <w:numPr>
          <w:ilvl w:val="2"/>
          <w:numId w:val="1"/>
        </w:numPr>
        <w:ind w:hanging="0" w:left="0"/>
        <w:rPr/>
      </w:pPr>
      <w:r>
        <w:rPr/>
        <w:t xml:space="preserve">5.3.4.3 </w:t>
      </w:r>
      <w:bookmarkStart w:id="134" w:name="policy-implications-2"/>
      <w:r>
        <w:rPr/>
        <w:t>Policy Implications</w:t>
      </w:r>
    </w:p>
    <w:p>
      <w:pPr>
        <w:pStyle w:val="FirstParagraph"/>
        <w:rPr/>
      </w:pPr>
      <w:r>
        <w:rPr/>
        <w:t xml:space="preserve">Policy-wise, the outcomes underscore the necessity for CBN-led enforcement thresholds on independence and tenure, such as mandatory </w:t>
      </w:r>
      <w:r>
        <w:rPr/>
      </w:r>
      <m:oMath xmlns:m="http://schemas.openxmlformats.org/officeDocument/2006/math">
        <m:r>
          <w:rPr>
            <w:rFonts w:ascii="Cambria Math" w:hAnsi="Cambria Math"/>
          </w:rPr>
          <m:t xml:space="preserve">≥</m:t>
        </m:r>
        <m:r>
          <w:rPr>
            <w:rFonts w:ascii="Cambria Math" w:hAnsi="Cambria Math"/>
          </w:rPr>
          <m:t xml:space="preserve">55</m:t>
        </m:r>
        <m:r>
          <m:rPr>
            <m:lit/>
            <m:nor/>
          </m:rPr>
          <w:rPr>
            <w:rFonts w:ascii="Cambria Math" w:hAnsi="Cambria Math"/>
          </w:rPr>
          <m:t xml:space="preserve">%</m:t>
        </m:r>
      </m:oMath>
      <w:r>
        <w:rPr/>
        <w:t xml:space="preserve"> quotas with biennial external audits, to institutionalize disclosure activation and potentially reduce aggregate NPL ratios by 2–4 percentage points economy-wide, fostering broader economic stability amid recurrent devaluations and inflation spikes in Nigeria’s commodity-dependent milieu (Sanusi, 2014; CBN, 2023). With Chow-confirmed structural breaks attributing post-reform negativity to mandates, policymakers at the CBN and Securities and Exchange Commission (SEC) should harmonize codes under a unified supervisory framework, extending CAMA 2020’s vetting to digital mandates that perpetuate CGDI efficacy beyond implementation, aligning with Basel III’s risk cost elevations for enhanced resilience in EMDEs (Making Basel III Work for Emerging Markets and Developing Economies, 2019). This coercive strategy could mitigate systemic risks, yielding fiscal dividends like reduced provisioning burdens and stabilized lending portfolios estimated at USD 1–2 billion annually amid 2024 shocks.</w:t>
      </w:r>
    </w:p>
    <w:p>
      <w:pPr>
        <w:pStyle w:val="BodyText"/>
        <w:rPr/>
      </w:pPr>
      <w:r>
        <w:rPr/>
        <w:t xml:space="preserve">Expanding this, policy ramifications advocate anti-patronage mechanisms, such as incentivized whistleblowing tied to disclosure indices and inter-agency panels for tenure enforcement, drawing from Sub-Saharan post-2014 harmonizations where regulatory convergence attenuated NPLs by 20–30 basis points via governance activation (Does regulatory convergence shape banking resilience in Africa?, 2025). Aligning with OECD principles, CBN might deploy digital platforms for real-time CGDI monitoring, targeting power distance mitigation to enhance normative adoption, as ASEAN post-2018 reforms activated similar pivots with net </w:t>
      </w:r>
      <w:r>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m:t>
        </m:r>
        <m:r>
          <w:rPr>
            <w:rFonts w:ascii="Cambria Math" w:hAnsi="Cambria Math"/>
          </w:rPr>
          <m:t xml:space="preserve">0.25</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0.01</m:t>
        </m:r>
      </m:oMath>
      <w:r>
        <w:rPr/>
        <w:t xml:space="preserve">) (OECD, 2023; Governance harmonization and non-performing loans in ASEAN banks, 2023). In quantifying RQ3’s shift attribution, these reforms address linkage negativity by imposing activation thresholds: capital surcharges for NPL &gt; 5% could moderate CGDI paths (proposed </w:t>
      </w:r>
      <w:r>
        <w:rPr/>
      </w:r>
      <m:oMath xmlns:m="http://schemas.openxmlformats.org/officeDocument/2006/math">
        <m:r>
          <w:rPr>
            <w:rFonts w:ascii="Cambria Math" w:hAnsi="Cambria Math"/>
          </w:rPr>
          <m:t xml:space="preserve">β</m:t>
        </m:r>
      </m:oMath>
      <w:r>
        <w:rPr/>
        <w:t xml:space="preserve"> moderated &lt; -0.30,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.05</m:t>
        </m:r>
      </m:oMath>
      <w:r>
        <w:rPr/>
        <w:t>), promoting inclusive financial development through resilient oversight. This evidences broader ramifications, including sustained growth via corruption controls that amplify disclosure in patronage-prone EMDEs (Corruption, economic growth, and non-performing loans in Sub-Saharan Africa, 2024). Ultimately, these implications propel policy toward evidence-based thresholds, proposing longitudinal evaluations of CBN Guidelines 2023 impacts on digital activation and NPL modulation in resource-dependent economies.</w:t>
      </w:r>
      <w:bookmarkEnd w:id="123"/>
      <w:bookmarkEnd w:id="131"/>
      <w:bookmarkEnd w:id="134"/>
    </w:p>
    <w:p>
      <w:pPr>
        <w:pStyle w:val="Heading1"/>
        <w:rPr/>
      </w:pPr>
      <w:r>
        <w:rPr/>
        <w:t xml:space="preserve">5.4 </w:t>
      </w:r>
      <w:bookmarkStart w:id="135" w:name="Xbc22906534a46634ce5c7e0227298f81befbf2a"/>
      <w:r>
        <w:rPr/>
        <w:t>Discussion of Hypothesis 4: Regulatory Clarity Improvements and NPL Declines</w:t>
      </w:r>
    </w:p>
    <w:p>
      <w:pPr>
        <w:pStyle w:val="FirstParagraph"/>
        <w:rPr/>
      </w:pPr>
      <w:r>
        <w:rPr/>
        <w:t>This section critically examines Hypothesis 4 (H4), which asserts that perceived improvements in regulatory clarity stemming from the harmonization efforts between the Central Bank of Nigeria (CBN) and the Securities and Exchange Commission (SEC) during the 2020–2025 period engender declines in non-performing loan (NPL) ratios (</w:t>
      </w:r>
      <w:r>
        <w:rPr/>
      </w:r>
      <m:oMath xmlns:m="http://schemas.openxmlformats.org/officeDocument/2006/math">
        <m:r>
          <w:rPr>
            <w:rFonts w:ascii="Cambria Math" w:hAnsi="Cambria Math"/>
          </w:rPr>
          <m:t xml:space="preserve">β</m:t>
        </m:r>
        <m:r>
          <m:rPr>
            <m:lit/>
            <m:nor/>
          </m:rPr>
          <w:rPr>
            <w:rFonts w:ascii="Cambria Math" w:hAnsi="Cambria Math"/>
          </w:rPr>
          <m:t xml:space="preserve">&lt;</m:t>
        </m:r>
        <m:r>
          <w:rPr>
            <w:rFonts w:ascii="Cambria Math" w:hAnsi="Cambria Math"/>
          </w:rPr>
          <m:t xml:space="preserve">0</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.05</m:t>
        </m:r>
      </m:oMath>
      <w:r>
        <w:rPr/>
        <w:t>), while accounting for economic shocks such as naira devaluation and inflationary pressures. H4 directly aligns with Research Question 4 (RQ4), which interrogates the extent of this causal linkage in the context of Nigeria’s post-consolidation deposit money banking (DMB) sector, and Objective 4, which seeks to delineate the implications of perceptual regulatory enhancements for default risk mitigation. Methodologically, the inquiry adopts a cross-sectional blended design as outlined in Chapter 3, integrating perceptual data from a Qualtrics-administered survey of 234 stakeholders across 10 purposively selected DMBs in April 2024, supplemented by three semi-structured executive interviews and secondary metrics from CBN bulletins and audited financial statements. Bootstrapped mediation models (1,000 resamples) in R (v4.5.1) parse direct and indirect effects, controlling for bank size as a binary covariate (1 for capitalization &gt; ₦1,000 billion; n = 6).</w:t>
      </w:r>
    </w:p>
    <w:p>
      <w:pPr>
        <w:pStyle w:val="BodyText"/>
        <w:rPr/>
      </w:pPr>
      <w:r>
        <w:rPr/>
        <w:t>Theoretically grounded in institutional theory, which posits that regulatory harmonization alleviates institutional fragmentation by fostering coercive and normative isomorphism, thereby promoting compliance efficacy and attenuating systemic uncertainties (North, 1990; DiMaggio &amp; Powell, 1983; Scott, 2014), H4 is complemented by resource dependence theory’s emphasis on perceptual clarity as a mechanism for buffering external dependencies, such as devaluation-induced liquidity strains and inflation spikes exceeding 24% in 2024 (Pfeffer &amp; Salancik, 1978; IMF, 2024). Stewardship theory further contextualizes these processes, suggesting that enhanced clarity facilitates intrinsic managerial alignments toward fiduciary diligence, potentially curbing NPL accumulations in patronage-infused environments (Donaldson &amp; Davis, 1991). This subsection delineates the analytical structure: a recapitulation of empirical results, theoretical explication with hybrid syntheses, comparative literature review, multifaceted implications, and linkages to overarching thesis conclusions. Building upon this foundation, H4 elucidates the bounded causality of perceptual reforms in emerging markets, where institutional voids—overlaps among CBN, SEC, and Nigerian Deposit Insurance Corporation (NDIC)—persist despite harmonization initiatives under NCCG 2018 and CAMA 2020, offering nuanced insights for policy unification amid economic turbulence.</w:t>
      </w:r>
    </w:p>
    <w:p>
      <w:pPr>
        <w:pStyle w:val="Heading2"/>
        <w:rPr/>
      </w:pPr>
      <w:r>
        <w:rPr/>
        <w:t xml:space="preserve">5.4. </w:t>
      </w:r>
      <w:bookmarkStart w:id="136" w:name="synopsis-of-empirical-findings-2"/>
      <w:r>
        <w:rPr/>
        <w:t>Synopsis of Empirical Findings</w:t>
      </w:r>
    </w:p>
    <w:p>
      <w:pPr>
        <w:pStyle w:val="FirstParagraph"/>
        <w:rPr/>
      </w:pPr>
      <w:r>
        <w:rPr/>
        <w:t>Descriptive statistics and correlations provide foundational insights into variable distributions and interdependencies. The Regulatory Clarity Index, capturing stakeholder perceptions of harmonization efficacy on a 5-point Likert scale, averages 4.40 (SD = 0.42), reflecting moderate optimism amid ongoing CBN–SEC alignments post-2020. The Compliance Index stabilizes at 85.20 (SD = 4.76), while NPL ratios exhibit variability (M = 4.31, SD = 1.30; winsorized at 1% to mitigate outliers). Bank size, binarized to delineate systemic institutions, prevails in 60% of the sample. Pearson correlations (Table 4.7) reveal a moderate negative association between clarity and NPL ratios (r = -0.52, p &lt; .10), hinting at harmonization’s potential risk-mitigating role, yet the clarity–compliance linkage remains feeble and insignificant (r = -0.19, ns), foreshadowing mediation challenges. Bank size positively correlates with NPLs (r = 0.47, p &lt; .10), underscoring larger DMBs’ heightened exposure to devaluation vulnerabilities, as illustrated in Figure 4.4’s amplified dispersion for pink-coded large banks amid post-2023 naira fluctuations (Fornell &amp; Larcker, 1981; IMF, 2024).</w:t>
      </w:r>
    </w:p>
    <w:p>
      <w:pPr>
        <w:pStyle w:val="BodyText"/>
        <w:rPr/>
      </w:pPr>
      <w:r>
        <w:rPr/>
        <w:t>Bootstrapped mediation via Hayes Process Model 4 decomposes pathways, controlling for bank size (Hayes, 2018). The total effect of clarity on NPL ratios is negative but insignificant (</w:t>
      </w:r>
      <w:r>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m:t>
        </m:r>
        <m:r>
          <w:rPr>
            <w:rFonts w:ascii="Cambria Math" w:hAnsi="Cambria Math"/>
          </w:rPr>
          <m:t xml:space="preserve">0.927</m:t>
        </m:r>
      </m:oMath>
      <w:r>
        <w:rPr/>
        <w:t xml:space="preserve">, 95% CI [-3.98, 1.09], p = .21), failing to substantiate robust causality amid enforcement lapses. The direct effect (ADE = -0.861, 95% CI [-4.75, 1.25], p = .23) suggests tentative standalone mitigation, potentially diluted by unmodeled shocks. The indirect effect via compliance (ACME = -0.066, 95% CI [-0.91, 1.68], p = .93) is negligible, comprising only 7.1% of the total effect, decisively rejecting mediation (Table 4.8). Path a (clarity → compliance: </w:t>
      </w:r>
      <w:r>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0.45</m:t>
        </m:r>
      </m:oMath>
      <w:r>
        <w:rPr/>
        <w:t xml:space="preserve">, 95% CI [-1.23, 2.13], p = .32) and path b (compliance → NPL: </w:t>
      </w:r>
      <w:r>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m:t>
        </m:r>
        <m:r>
          <w:rPr>
            <w:rFonts w:ascii="Cambria Math" w:hAnsi="Cambria Math"/>
          </w:rPr>
          <m:t xml:space="preserve">0.15</m:t>
        </m:r>
      </m:oMath>
      <w:r>
        <w:rPr/>
        <w:t>, 95% CI [-0.89, 0.59], p = .41) underscore this inertia. Residual diagnostics affirm linearity, normality, homoscedasticity, and outlier absence, bolstering inference reliability despite cross-sectional limitations.</w:t>
      </w:r>
    </w:p>
    <w:p>
      <w:pPr>
        <w:pStyle w:val="BodyText"/>
        <w:rPr/>
      </w:pPr>
      <w:r>
        <w:rPr/>
        <w:t>Integration of qualitative insights via thematic coding triangulates these quantitative nulls, surfacing motifs such as “regulatory confusion” (e.g., CBN–SEC overlaps delaying directive implementation) and “enforcement gaps” (e.g., erratic penalties amid inflationary volatility). An executive interviewee noted: “Harmonisation on paper hasn’t translated to ground-level clarity; devaluation shocks amplify the fog,” aligning with joint displays that expose perceptual hurdles beyond metrics (Braun &amp; Clarke, 2006; Creswell &amp; Plano Clark, 2017). These resilient outcomes, drawn from validated scales (United Nations–ESCWA, 2022) and CBN benchmarks, affirm modest perceptual gains sans robust NPL causality, controlling for shocks that perpetuate systemic frailties.</w:t>
      </w:r>
      <w:bookmarkEnd w:id="136"/>
    </w:p>
    <w:p>
      <w:pPr>
        <w:pStyle w:val="Heading2"/>
        <w:rPr/>
      </w:pPr>
      <w:r>
        <w:rPr/>
        <w:t xml:space="preserve">5.4..1 </w:t>
      </w:r>
      <w:bookmarkStart w:id="137" w:name="X8d52065af237f32e7144de92f69565b196608bb"/>
      <w:r>
        <w:rPr/>
        <w:t>Analytical Interpretation and Theoretical Insights</w:t>
      </w:r>
    </w:p>
    <w:p>
      <w:pPr>
        <w:pStyle w:val="FirstParagraph"/>
        <w:rPr/>
      </w:pPr>
      <w:r>
        <w:rPr/>
        <w:t>The insignificant total and mediated effects temper institutional theory’s harmonization-causality premise, wherein CBN–SEC alignments (2020–2025) fail to engender substantive NPL declines despite moderate perceptual clarity (M = 4.40), revealing contextual boundaries where institutional fragmentation—overlaps among CBN, SEC, and NDIC—erodes reform potency in patronage-laden emerging markets (North, 1990; Scott, 2014; Natufe &amp; Evbayiro-Osagie, 2023). Pre-harmonization inertia, rooted in regulatory multiplicity that fueled post-2016 recession NPL aftershocks, persists as clarity signals intent but shocks like 2024 devaluation disrupt pathways, diluting agency-stewardship integrations where managerial fiduciary alignment succumbs to extrinsic uncertainties (Jensen &amp; Meckling, 1976; Donaldson &amp; Davis, 1991). Resource dependence theory elucidates this boundedness, positing that perceptual clarity buffers dependencies only when enforcement thresholds are surmounted, as qualitative motifs of “confusion” affirm symbolic rather than instrumental harmonization amid inflation &gt; 24% (Pfeffer &amp; Salancik, 1978; IMF, 2024).</w:t>
      </w:r>
    </w:p>
    <w:p>
      <w:pPr>
        <w:pStyle w:val="BodyText"/>
        <w:rPr/>
      </w:pPr>
      <w:r>
        <w:rPr/>
        <w:t xml:space="preserve">This evidences a refined synthesis: institutional pressures require cultural and enforcement moderators to activate mediation, with high power distance in Nigerian contexts distorting clarity cues and perpetuating null paths (Hofstede, 2011). The direct effect’s tentative negativity (ADE = -0.861) intimates stewardship’s partial resilience, as insiders navigate shocks through intrinsic compliance, yet mediation lapses (ACME = -0.066) underscore agency theory’s constraints where asymmetries endure absent unified scaffolds. Hybrid models emerge: moderated mediation frameworks incorporating shock moderators (e.g., devaluation index &gt; 20%), where clarity–compliance paths amplify at enforcement &gt; 80% (proposed </w:t>
      </w:r>
      <w:r>
        <w:rPr/>
      </w:r>
      <m:oMath xmlns:m="http://schemas.openxmlformats.org/officeDocument/2006/math">
        <m:r>
          <w:rPr>
            <w:rFonts w:ascii="Cambria Math" w:hAnsi="Cambria Math"/>
          </w:rPr>
          <m:t xml:space="preserve">β</m:t>
        </m:r>
      </m:oMath>
      <w:r>
        <w:rPr/>
        <w:t xml:space="preserve"> moderated &gt; 0,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.05</m:t>
        </m:r>
      </m:oMath>
      <w:r>
        <w:rPr/>
        <w:t>), extending OECD critiques of reform signalling in emerging opacity (OECD, 2015). In addressing RQ4, these insights quantify causality’s extent as modest and insignificant, with harmonization yielding perceptual gains (r = -0.52 with NPLs) but no robust declines, attributable to unaddressed voids that amplify economic perturbations in resource-dependent economies.</w:t>
      </w:r>
    </w:p>
    <w:p>
      <w:pPr>
        <w:pStyle w:val="BodyText"/>
        <w:rPr/>
      </w:pPr>
      <w:r>
        <w:rPr/>
        <w:t xml:space="preserve">Expanding this analytical framework, the null causality invites multi-theoretical reconfiguration, amalgamating institutional voids with resource dependence to explain why harmonization—despite NCCG 2018 and CAMA 2020—fails to precipitate </w:t>
      </w:r>
      <w:r>
        <w:rPr/>
      </w:r>
      <m:oMath xmlns:m="http://schemas.openxmlformats.org/officeDocument/2006/math">
        <m:r>
          <w:rPr>
            <w:rFonts w:ascii="Cambria Math" w:hAnsi="Cambria Math"/>
          </w:rPr>
          <m:t xml:space="preserve">β</m:t>
        </m:r>
        <m:r>
          <m:rPr>
            <m:lit/>
            <m:nor/>
          </m:rPr>
          <w:rPr>
            <w:rFonts w:ascii="Cambria Math" w:hAnsi="Cambria Math"/>
          </w:rPr>
          <m:t xml:space="preserve">&lt;</m:t>
        </m:r>
        <m:r>
          <w:rPr>
            <w:rFonts w:ascii="Cambria Math" w:hAnsi="Cambria Math"/>
          </w:rPr>
          <m:t xml:space="preserve">0</m:t>
        </m:r>
      </m:oMath>
      <w:r>
        <w:rPr/>
        <w:t>, as interview narratives of “overload” highlight mimetic isomorphism toward patronage over normative adoption (DiMaggio &amp; Powell, 1983). Stewardship’s intrinsic drives are contingent upon coercive clarity that post-2020 efforts have only partially achieved, with shocks overwhelming alignment, precipitating mediation breakdowns. This prompts testable propositions: in low-fragmentation subsamples, clarity yields mediated NPL reductions (</w:t>
      </w:r>
      <w:r>
        <w:rPr/>
      </w:r>
      <m:oMath xmlns:m="http://schemas.openxmlformats.org/officeDocument/2006/math">
        <m:r>
          <w:rPr>
            <w:rFonts w:ascii="Cambria Math" w:hAnsi="Cambria Math"/>
          </w:rPr>
          <m:t xml:space="preserve">β</m:t>
        </m:r>
      </m:oMath>
      <w:r>
        <w:rPr/>
        <w:t xml:space="preserve"> indirect &lt; -0.10); in high-shock quartiles, direct effects dominate yet remain insignificant. Recent Sub-Saharan scholarship reinforces this, with harmonization yielding partial NPL attenuations only in anti-corruption pacts (Agyemang &amp; Castellini, 2015). In RQ4’s context, the findings challenge causality universality, advocating hybrids where cultural power distance moderates institutional paths, delineating why perceptual improvements fail to modulate declines amid devaluation.</w:t>
      </w:r>
    </w:p>
    <w:p>
      <w:pPr>
        <w:pStyle w:val="TableCaption"/>
        <w:rPr>
          <w:b/>
          <w:bCs/>
        </w:rPr>
      </w:pPr>
      <w:r>
        <w:rPr>
          <w:b/>
          <w:bCs/>
        </w:rPr>
        <w:t xml:space="preserve">Table 5.4: </w:t>
      </w:r>
      <w:r>
        <w:rPr>
          <w:b/>
          <w:bCs/>
        </w:rPr>
        <w:t>Summary of Findings Addressing Hypothesis 4 and RQ4</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b/>
                <w:bCs/>
                <w:kern w:val="0"/>
                <w:sz w:val="24"/>
                <w:szCs w:val="24"/>
                <w:lang w:val="en-US" w:eastAsia="en-US" w:bidi="ar-SA"/>
              </w:rPr>
              <w:t>Hypothesis Element</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b/>
                <w:bCs/>
                <w:kern w:val="0"/>
                <w:sz w:val="24"/>
                <w:szCs w:val="24"/>
                <w:lang w:val="en-US" w:eastAsia="en-US" w:bidi="ar-SA"/>
              </w:rPr>
              <w:t>Key Empirical Finding</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b/>
                <w:bCs/>
                <w:kern w:val="0"/>
                <w:sz w:val="24"/>
                <w:szCs w:val="24"/>
                <w:lang w:val="en-US" w:eastAsia="en-US" w:bidi="ar-SA"/>
              </w:rPr>
              <w:t>Support Level for H4</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b/>
                <w:bCs/>
                <w:kern w:val="0"/>
                <w:sz w:val="24"/>
                <w:szCs w:val="24"/>
                <w:lang w:val="en-US" w:eastAsia="en-US" w:bidi="ar-SA"/>
              </w:rPr>
              <w:t>Direct Answer to RQ4</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Total Effect of Clarity on NPL</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 xml:space="preserve">Null </w:t>
            </w:r>
            <w:r>
              <w:rPr>
                <w:rFonts w:eastAsia="Aptos" w:cs="" w:ascii="Aptos" w:hAnsi="Aptos"/>
                <w:kern w:val="0"/>
                <w:sz w:val="24"/>
                <w:szCs w:val="24"/>
                <w:lang w:val="en-US" w:eastAsia="en-US" w:bidi="ar-SA"/>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m:t>
              </m:r>
              <m:r>
                <w:rPr>
                  <w:rFonts w:ascii="Cambria Math" w:hAnsi="Cambria Math"/>
                </w:rPr>
                <m:t xml:space="preserve">0.927</m:t>
              </m:r>
            </m:oMath>
            <w:r>
              <w:rPr>
                <w:rFonts w:eastAsia="Aptos" w:cs="" w:ascii="Aptos" w:hAnsi="Aptos"/>
                <w:kern w:val="0"/>
                <w:sz w:val="24"/>
                <w:szCs w:val="24"/>
                <w:lang w:val="en-US" w:eastAsia="en-US" w:bidi="ar-SA"/>
              </w:rPr>
              <w:t xml:space="preserve"> (</w:t>
            </w:r>
            <w:r>
              <w:rPr>
                <w:rFonts w:eastAsia="Aptos" w:cs="" w:ascii="Aptos" w:hAnsi="Aptos"/>
                <w:kern w:val="0"/>
                <w:sz w:val="24"/>
                <w:szCs w:val="24"/>
                <w:lang w:val="en-US" w:eastAsia="en-US" w:bidi="ar-SA"/>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.21</m:t>
              </m:r>
            </m:oMath>
            <w:r>
              <w:rPr>
                <w:rFonts w:eastAsia="Aptos" w:cs="" w:ascii="Aptos" w:hAnsi="Aptos"/>
                <w:kern w:val="0"/>
                <w:sz w:val="24"/>
                <w:szCs w:val="24"/>
                <w:lang w:val="en-US" w:eastAsia="en-US" w:bidi="ar-SA"/>
              </w:rPr>
              <w:t>)</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No support</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No causal decline in NPL ratios</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Indirect via Compliance</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Trivial ACME = -0.066 (</w:t>
            </w:r>
            <w:r>
              <w:rPr>
                <w:rFonts w:eastAsia="Aptos" w:cs="" w:ascii="Aptos" w:hAnsi="Aptos"/>
                <w:kern w:val="0"/>
                <w:sz w:val="24"/>
                <w:szCs w:val="24"/>
                <w:lang w:val="en-US" w:eastAsia="en-US" w:bidi="ar-SA"/>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.93</m:t>
              </m:r>
            </m:oMath>
            <w:r>
              <w:rPr>
                <w:rFonts w:eastAsia="Aptos" w:cs="" w:ascii="Aptos" w:hAnsi="Aptos"/>
                <w:kern w:val="0"/>
                <w:sz w:val="24"/>
                <w:szCs w:val="24"/>
                <w:lang w:val="en-US" w:eastAsia="en-US" w:bidi="ar-SA"/>
              </w:rPr>
              <w:t>)</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No support</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No extent of causation, diluted by shocks like devaluation</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Overall H4</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Null amid “regulatory fog” themes</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Non-support</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Perceived improvements do not cause declines, controlling for shocks</w:t>
            </w:r>
            <w:bookmarkStart w:id="138" w:name="tab%3Ah4_summary"/>
            <w:bookmarkEnd w:id="138"/>
          </w:p>
        </w:tc>
      </w:tr>
    </w:tbl>
    <w:p>
      <w:pPr>
        <w:pStyle w:val="BodyText"/>
        <w:rPr/>
      </w:pPr>
      <w:r>
        <w:rPr/>
      </w:r>
      <w:bookmarkStart w:id="139" w:name="tab%3Ah4_summary_Copy_1"/>
      <w:bookmarkStart w:id="140" w:name="tab%3Ah4_summary_Copy_1"/>
      <w:bookmarkEnd w:id="135"/>
      <w:bookmarkEnd w:id="137"/>
      <w:bookmarkEnd w:id="140"/>
    </w:p>
    <w:p>
      <w:pPr>
        <w:pStyle w:val="Heading1"/>
        <w:rPr/>
      </w:pPr>
      <w:bookmarkStart w:id="141" w:name="X757fdf043fcc718e0898ea2ccc45b4111efef67"/>
      <w:r>
        <w:rPr/>
        <w:t>5.4 Discussion of Hypothesis 4: Regulatory Clarity Improvements and NPL Declines</w:t>
      </w:r>
    </w:p>
    <w:p>
      <w:pPr>
        <w:pStyle w:val="FirstParagraph"/>
        <w:rPr/>
      </w:pPr>
      <w:r>
        <w:rPr/>
        <w:t>This section critically interrogates Hypothesis 4 (H4), positing that perceived enhancements in regulatory clarity, arising from the harmonization initiatives between the Central Bank of Nigeria (CBN) and the Securities and Exchange Commission (SEC) over the 2020–2025 interval, precipitate declines in non-performing loan (NPL) ratios (</w:t>
      </w:r>
      <w:r>
        <w:rPr/>
      </w:r>
      <m:oMath xmlns:m="http://schemas.openxmlformats.org/officeDocument/2006/math">
        <m:r>
          <w:rPr>
            <w:rFonts w:ascii="Cambria Math" w:hAnsi="Cambria Math"/>
          </w:rPr>
          <m:t xml:space="preserve">β</m:t>
        </m:r>
        <m:r>
          <m:rPr>
            <m:lit/>
            <m:nor/>
          </m:rPr>
          <w:rPr>
            <w:rFonts w:ascii="Cambria Math" w:hAnsi="Cambria Math"/>
          </w:rPr>
          <m:t xml:space="preserve">&lt;</m:t>
        </m:r>
        <m:r>
          <w:rPr>
            <w:rFonts w:ascii="Cambria Math" w:hAnsi="Cambria Math"/>
          </w:rPr>
          <m:t xml:space="preserve">0</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.05</m:t>
        </m:r>
      </m:oMath>
      <w:r>
        <w:rPr/>
        <w:t>), while controlling for exogenous economic disruptions such as naira devaluation and inflationary surges. This hypothesis aligns seamlessly with Research Question 4 (RQ4), which probes the extent to which these perceptual improvements in regulatory clarity from CBN and SEC harmonization (2020–2025) cause NPL ratio declines (</w:t>
      </w:r>
      <w:r>
        <w:rPr/>
      </w:r>
      <m:oMath xmlns:m="http://schemas.openxmlformats.org/officeDocument/2006/math">
        <m:r>
          <w:rPr>
            <w:rFonts w:ascii="Cambria Math" w:hAnsi="Cambria Math"/>
          </w:rPr>
          <m:t xml:space="preserve">β</m:t>
        </m:r>
        <m:r>
          <m:rPr>
            <m:lit/>
            <m:nor/>
          </m:rPr>
          <w:rPr>
            <w:rFonts w:ascii="Cambria Math" w:hAnsi="Cambria Math"/>
          </w:rPr>
          <m:t xml:space="preserve">&lt;</m:t>
        </m:r>
        <m:r>
          <w:rPr>
            <w:rFonts w:ascii="Cambria Math" w:hAnsi="Cambria Math"/>
          </w:rPr>
          <m:t xml:space="preserve">0</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.05</m:t>
        </m:r>
      </m:oMath>
      <w:r>
        <w:rPr/>
        <w:t xml:space="preserve">), controlling for economic shocks such as devaluation and inflation. Correspondingly, it advances Objective 4 by delineating the ramifications of such perceptual advancements for mitigating default risk within Nigeria’s deposit money banking (DMB) sector. Methodologically, the analysis adheres to the cross-sectional blended paradigm articulated in Chapter 3, amalgamating perceptual data from a Qualtrics-facilitated survey administered to 234 stakeholders across 10 purposively sampled DMBs in April 2024, augmented by three semi-structured interviews with senior executives and secondary quantitative indicators from CBN bulletins, Nigerian Deposit Insurance Corporation (NDIC) reports, and audited financial statements. Bootstrapped mediation modeling (1,000 resamples) executed in R (v4.5.1) dissects direct and indirect pathways, incorporating bank size as a binary covariate (coded 1 for institutions exceeding ,000 billion in capitalization; </w:t>
      </w:r>
      <w:r>
        <w:rPr/>
      </w:r>
      <m:oMath xmlns:m="http://schemas.openxmlformats.org/officeDocument/2006/math">
        <m:r>
          <w:rPr>
            <w:rFonts w:ascii="Cambria Math" w:hAnsi="Cambria Math"/>
          </w:rPr>
          <m:t xml:space="preserve">n</m:t>
        </m:r>
        <m:r>
          <m:rPr>
            <m:lit/>
            <m:nor/>
          </m:rPr>
          <w:rPr>
            <w:rFonts w:ascii="Cambria Math" w:hAnsi="Cambria Math"/>
          </w:rPr>
          <m:t xml:space="preserve">=</m:t>
        </m:r>
        <m:r>
          <w:rPr>
            <w:rFonts w:ascii="Cambria Math" w:hAnsi="Cambria Math"/>
          </w:rPr>
          <m:t xml:space="preserve">6</m:t>
        </m:r>
      </m:oMath>
      <w:r>
        <w:rPr/>
        <w:t>) to account for scale-driven heterogeneities in shock exposure. Theoretically, H4 is anchored in institutional theory, which elucidates how regulatory harmonization mitigates institutional fragmentation by engendering coercive and normative isomorphism, thereby bolstering compliance efficacy and attenuating systemic ambiguities in emerging markets (DiMaggio &amp; Powell, 1983; North, 1990; Scott, 2014). This framework contrasts with agency theory’s emphasis on information asymmetries, wherein opaque regulations exacerbate principal-agent conflicts, potentially inflating NPL ratios through unchecked managerial opportunism (Jensen &amp; Meckling, 1976). Stewardship theory, conversely, posits that enhanced clarity fosters intrinsic alignments among managers toward fiduciary responsibility, curbing default risks in patronage-prone environments (Donaldson &amp; Davis, 1991). Resource dependence theory complements these lenses by highlighting perceptual clarity as a buffer against external dependencies, such as devaluation-induced liquidity constraints and inflation exceeding 24</w:t>
      </w:r>
    </w:p>
    <w:p>
      <w:pPr>
        <w:pStyle w:val="Heading2"/>
        <w:rPr/>
      </w:pPr>
      <w:bookmarkStart w:id="142" w:name="X7881b143737effb30d3e1189aeeb6ef34c62862"/>
      <w:r>
        <w:rPr/>
        <w:t>5.4.</w:t>
      </w:r>
      <w:r>
        <w:rPr/>
        <w:t>2</w:t>
      </w:r>
      <w:r>
        <w:rPr/>
        <w:t xml:space="preserve"> Rationale for Methodological Framework and Assurance of Statistical Integrity</w:t>
      </w:r>
    </w:p>
    <w:p>
      <w:pPr>
        <w:pStyle w:val="FirstParagraph"/>
        <w:rPr/>
      </w:pPr>
      <w:r>
        <w:rPr/>
        <w:t>The adoption of a cross-sectional blended design is warranted by its capacity to integrate positivist quantification of causal mechanisms with interpretivist exploration of perceptual subtleties, thereby facilitating meta-inferences regarding the influence of regulatory clarity on NPL modulation within Nigeria’s deposit money banking sector (Creswell &amp; Plano Clark, 2018). This approach aligns seamlessly with RQ4, which scrutinizes the extent to which perceived enhancements in regulatory clarity from CBN and SEC harmonization (2020–2025) precipitate NPL declines (</w:t>
      </w:r>
      <w:r>
        <w:rPr/>
      </w:r>
      <m:oMath xmlns:m="http://schemas.openxmlformats.org/officeDocument/2006/math">
        <m:r>
          <w:rPr>
            <w:rFonts w:ascii="Cambria Math" w:hAnsi="Cambria Math"/>
          </w:rPr>
          <m:t xml:space="preserve">β</m:t>
        </m:r>
        <m:r>
          <m:rPr>
            <m:lit/>
            <m:nor/>
          </m:rPr>
          <w:rPr>
            <w:rFonts w:ascii="Cambria Math" w:hAnsi="Cambria Math"/>
          </w:rPr>
          <m:t xml:space="preserve">&lt;</m:t>
        </m:r>
        <m:r>
          <w:rPr>
            <w:rFonts w:ascii="Cambria Math" w:hAnsi="Cambria Math"/>
          </w:rPr>
          <m:t xml:space="preserve">0</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.05</m:t>
        </m:r>
      </m:oMath>
      <w:r>
        <w:rPr/>
        <w:t xml:space="preserve">), while accounting for economic disruptions such as devaluation and inflation. Survey instruments, derived from established frameworks including the United Nations–ESCWA regulatory clarity index (2022), operationalize clarity via Likert-scaled assessments of harmonization effectiveness (e.g., “CBN–SEC alignments have diminished overlaps in directives”), thereby securing construct reliability as evidenced by Cronbach’s </w:t>
      </w:r>
      <w:r>
        <w:rPr/>
      </w:r>
      <m:oMath xmlns:m="http://schemas.openxmlformats.org/officeDocument/2006/math">
        <m:r>
          <w:rPr>
            <w:rFonts w:ascii="Cambria Math" w:hAnsi="Cambria Math"/>
          </w:rPr>
          <m:t xml:space="preserve">α</m:t>
        </m:r>
      </m:oMath>
      <w:r>
        <w:rPr/>
        <w:t xml:space="preserve"> of 0.87. Complementing this, secondary NPL metrics sourced from CBN bulletins and NDIC reports furnish objective triangulation, effectively countering potential self-report distortions prevalent in perceptual evaluations (Podsakoff et al., 2003). Bootstrapping procedures augment statistical resilience by producing bias-corrected confidence intervals that withstand non-normality, with 1,000 resamples delivering consistent estimates despite inherent sample limitations (Efron &amp; Tibshirani, 1993). Diagnostic evaluations further corroborate the model’s foundational assumptions: variance inflation factors remaining under 2.5 eliminate concerns of multicollinearity, Durbin-Watson values approximating 2.0 confirm residual independence, and Breusch-Pagan tests yielding </w:t>
      </w:r>
      <w:r>
        <w:rPr/>
      </w:r>
      <m:oMath xmlns:m="http://schemas.openxmlformats.org/officeDocument/2006/math">
        <m:r>
          <w:rPr>
            <w:rFonts w:ascii="Cambria Math" w:hAnsi="Cambria Math"/>
          </w:rPr>
          <m:t xml:space="preserve">p</m:t>
        </m:r>
        <m:r>
          <m:rPr>
            <m:lit/>
            <m:nor/>
          </m:rPr>
          <w:rPr>
            <w:rFonts w:ascii="Cambria Math" w:hAnsi="Cambria Math"/>
          </w:rPr>
          <m:t xml:space="preserve">&gt;</m:t>
        </m:r>
        <m:r>
          <w:rPr>
            <w:rFonts w:ascii="Cambria Math" w:hAnsi="Cambria Math"/>
          </w:rPr>
          <m:t xml:space="preserve">.10</m:t>
        </m:r>
      </m:oMath>
      <w:r>
        <w:rPr/>
        <w:t xml:space="preserve"> substantiate homoscedasticity. Sensitivity probes, encompassing substitute proxies for shocks (e.g., inflation quartiles or devaluation indices), reinforce the null findings, highlighting the framework’s robustness in parsing causality amid Nigeria’s macroeconomic volatility. This methodological configuration extends post-2014 scholarship in emerging economies, where blended designs have illuminated governance-NPL interlinkages; for instance, Uwuigbe et al. (2018) employed similar perceptual surveys to dissect board dynamics and asset quality in Nigerian banks, while Yamin (2025) integrated bootstrapped models to assess Basel III’s ramifications on financial performance in Bangladesh, underscoring the necessity of such rigor in institutionally fragmented contexts. Correspondingly, this approach contextualizes Nigerian DMBs within global reforms, aligning with Basel III’s liquidity norms to mitigate shock-induced NPL escalations, as advocated in CEPR analyses of emerging market implementations (Rojas-Suarez &amp; Vogels, 2019). Policy implications emerge: regulators could mandate perceptual indices in CBN Guidelines 2023 to enhance enforcement, while managerially, DMB executives might leverage these insights for targeted compliance training, fostering resilience against devaluation pressures.</w:t>
      </w:r>
      <w:bookmarkEnd w:id="142"/>
    </w:p>
    <w:p>
      <w:pPr>
        <w:pStyle w:val="Heading2"/>
        <w:rPr/>
      </w:pPr>
      <w:bookmarkStart w:id="143" w:name="overview-of-empirical-outcomes"/>
      <w:r>
        <w:rPr/>
        <w:t>5.4.</w:t>
      </w:r>
      <w:r>
        <w:rPr/>
        <w:t>3</w:t>
      </w:r>
      <w:r>
        <w:rPr/>
        <w:t xml:space="preserve"> Overview of Empirical Outcomes</w:t>
      </w:r>
    </w:p>
    <w:p>
      <w:pPr>
        <w:pStyle w:val="FirstParagraph"/>
        <w:rPr/>
      </w:pPr>
      <w:r>
        <w:rPr/>
        <w:t>Descriptive statistics provide initial delineations of variable distributions and interrelations, laying the groundwork for subsequent inferential analyses. The Regulatory Clarity Index, which consolidates stakeholder perceptions of CBN–SEC harmonization on a 5-point Likert scale, yields a mean of 4.40 (SD = 0.42), signifying cautious optimism in light of gradual post-2020 alignments, including collaborative directives under CBN Guidelines 2023. The Compliance Index, reflecting conformity to NCCG 2018 stipulations, stabilizes at 85.20 (SD = 4.76), whereas NPL ratios exhibit substantial variability (M = 4.31, SD = 1.30; winsorized at 1 Bootstrapped mediation employing Hayes Process Model 4 (Hayes, 2018) dissects effects while incorporating bank size controls. The total effect of clarity on NPL ratios emerges as negative but insignificant (</w:t>
      </w:r>
      <w:r>
        <w:rPr/>
      </w:r>
      <m:oMath xmlns:m="http://schemas.openxmlformats.org/officeDocument/2006/math">
        <m:r>
          <w:rPr>
            <w:rFonts w:ascii="Cambria Math" w:hAnsi="Cambria Math"/>
          </w:rPr>
          <m:t xml:space="preserve">β</m:t>
        </m:r>
        <m:r>
          <m:rPr>
            <m:lit/>
            <m:nor/>
          </m:rPr>
          <w:rPr>
            <w:rFonts w:ascii="Cambria Math" w:hAnsi="Cambria Math"/>
          </w:rPr>
          <m:t xml:space="preserve">=</m:t>
        </m:r>
        <m:r>
          <w:rPr>
            <w:rFonts w:ascii="Cambria Math" w:hAnsi="Cambria Math"/>
          </w:rPr>
          <m:t xml:space="preserve">−</m:t>
        </m:r>
        <m:r>
          <w:rPr>
            <w:rFonts w:ascii="Cambria Math" w:hAnsi="Cambria Math"/>
          </w:rPr>
          <m:t xml:space="preserve">0.927</m:t>
        </m:r>
      </m:oMath>
      <w:r>
        <w:rPr/>
        <w:t>, 95 Qualitative triangulation through thematic coding assimilates executive accounts, surfacing recurrent motifs like regulatory confusion” (e.g., enduring CBN–SEC overlaps hindering directive rollout) and enforcement gaps” (e.g., erratic penalties during 2024 inflation exceeding 24</w:t>
      </w:r>
      <w:bookmarkEnd w:id="143"/>
    </w:p>
    <w:p>
      <w:pPr>
        <w:pStyle w:val="Heading2"/>
        <w:rPr/>
      </w:pPr>
      <w:bookmarkStart w:id="144" w:name="X4238b4244ae5f0bd29472aa6445e85f6c2e2515"/>
      <w:r>
        <w:rPr/>
        <w:t>5.4.</w:t>
      </w:r>
      <w:r>
        <w:rPr/>
        <w:t xml:space="preserve">4 </w:t>
      </w:r>
      <w:r>
        <w:rPr/>
        <w:t>Analytical Interpretation and Theoretical Insights</w:t>
      </w:r>
    </w:p>
    <w:p>
      <w:pPr>
        <w:pStyle w:val="FirstParagraph"/>
        <w:rPr/>
      </w:pPr>
      <w:r>
        <w:rPr/>
        <w:t xml:space="preserve">The null total and mediated effects temper institutional theory’s harmonization-causality premise, wherein CBN–SEC alignments (2020–2025) fail to engender substantive NPL declines despite moderate perceptual clarity (M = 4.40), revealing contextual boundaries where regulatory fragmentation—overlaps among CBN, SEC, and NDIC—erodes reform potency in patronage-laden emerging markets (North, 1990; Scott, 2014; Natufe &amp; Evbayiro-Osagie, 2023). This pre-harmonization inertia, rooted in multiplicity that fueled post-2016 recession NPL aftershocks, persists as clarity signals intent but shocks like 2024 devaluation (exceeding 20 Correspondingly, this evidences a sophisticated theoretical amalgamation: institutional pressures require cultural and enforcement moderators to activate mediation, with Nigeria’s high power distance distorting clarity cues and perpetuating null paths (Hofstede, 2011). The tentative negative direct effect (ADE = -0.861) intimates stewardship’s partial resilience, as insiders navigate shocks through intrinsic compliance, yet mediation lapses (ACME = -0.066) underscore agency theory’s constraints where asymmetries endure absent unified scaffolds. Emerging hybrid models propose moderated mediation frameworks incorporating shock moderators (e.g., devaluation index &gt; 20 Expanding this interpretive scaffold, the null causality invites a multi-theoretical reconfiguration, fusing institutional voids with resource dependence to explain why harmonization—despite NCCG 2018 and CAMA 2020—fails to precipitate </w:t>
      </w:r>
      <w:r>
        <w:rPr/>
      </w:r>
      <m:oMath xmlns:m="http://schemas.openxmlformats.org/officeDocument/2006/math">
        <m:r>
          <w:rPr>
            <w:rFonts w:ascii="Cambria Math" w:hAnsi="Cambria Math"/>
          </w:rPr>
          <m:t xml:space="preserve">β</m:t>
        </m:r>
        <m:r>
          <m:rPr>
            <m:lit/>
            <m:nor/>
          </m:rPr>
          <w:rPr>
            <w:rFonts w:ascii="Cambria Math" w:hAnsi="Cambria Math"/>
          </w:rPr>
          <m:t xml:space="preserve">&lt;</m:t>
        </m:r>
        <m:r>
          <w:rPr>
            <w:rFonts w:ascii="Cambria Math" w:hAnsi="Cambria Math"/>
          </w:rPr>
          <m:t xml:space="preserve">0</m:t>
        </m:r>
      </m:oMath>
      <w:r>
        <w:rPr/>
        <w:t>, as interview narratives of “overload” highlight mimetic isomorphism toward patronage over normative adoption (DiMaggio &amp; Powell, 1983). Stewardship’s intrinsic drives are contingent upon coercive clarity that post-2020 efforts have only partially achieved, with shocks overwhelming alignment, precipitating mediation breakdowns. This engenders testable propositions: in low-fragmentation subsamples, clarity yields mediated NPL reductions (</w:t>
      </w:r>
      <w:r>
        <w:rPr/>
      </w:r>
      <m:oMath xmlns:m="http://schemas.openxmlformats.org/officeDocument/2006/math">
        <m:r>
          <w:rPr>
            <w:rFonts w:ascii="Cambria Math" w:hAnsi="Cambria Math"/>
          </w:rPr>
          <m:t xml:space="preserve">β</m:t>
        </m:r>
      </m:oMath>
      <w:r>
        <w:rPr/>
        <w:t xml:space="preserve"> indirect &lt; -0.10); in high-shock quartiles, direct effects dominate yet remain insignificant. Such syntheses challenge causality’s universality, advocating hybrids where cultural power distance moderates institutional paths, delineating why perceptual improvements fail to modulate declines amid devaluation. To further deepen this analysis, contrasts among agency, stewardship, and institutional theories reveal inherent tensions in emerging market governance. Agency theory underscores principal-agent conflicts exacerbated by regulatory ambiguity, wherein fragmented directives foster opportunistic behaviors that inflate NPLs through lax lending practices (Jensen &amp; Meckling, 1976). Stewardship theory counters this by emphasizing managers’ intrinsic motivations toward collective welfare, yet in Nigeria’s context, such alignments falter without institutional supports to shield against exogenous volatilities (Donaldson &amp; Davis, 1991). Institutional theory bridges these perspectives, positing that normative and coercive isomorphism from harmonization initiatives could reconcile agency frictions with stewardship ideals, but empirical nulls herein demonstrate that weak enforcement perpetuates voids, aligning with recent critiques in patronage-driven economies (Scott, 2014; Natufe &amp; Evbayiro-Osagie, 2023). This triadic synthesis posits a contingent framework: agency mechanisms prevail in high-fragmentation settings, stewardship in stable ones, and institutional isomorphism as the moderator activating transitions, a proposition empirically testable via multi-level modeling in future studies. Building upon post-2014 empirical scholarship, these findings resonate with evidence from emerging economies where governance reforms yield uneven NPL impacts. For instance, in Pakistan, Shahbaz et al. (2023) found that compliance indices attenuate NPLs by 15–20 Contextualizing Nigerian DMBs globally, the findings underscore deviations from OECD principles, wherein regulatory harmonization fosters isomorphism in advanced economies but falters in institutionally frail ones due to cultural distortions (OECD, 2023). Basel III’s emphasis on liquidity norms (e.g., net stable funding ratios) could mitigate devaluation shocks if integrated into CBN–SEC alignments, yet Nigeria’s implementation lags, perpetuating NPL vulnerabilities as evidenced by IMF projections of inflation-driven risks (IMF, 2024). This global lens advocates policy unification, such as BOFIA 2020 amendments to prohibit monetary financing and bolster governance, potentially activating mediated pathways (Okafor, 2022). Managerially, DMB leaders should internalize stewardship through training on perceptual clarity, while regulators enforce NDIC integration to address voids. These implications reinforce the thesis’s call for harmonized reforms to mitigate default risks in Nigeria’s oil-dependent economy.</w:t>
      </w:r>
      <w:bookmarkEnd w:id="144"/>
    </w:p>
    <w:p>
      <w:pPr>
        <w:pStyle w:val="Heading2"/>
        <w:rPr/>
      </w:pPr>
      <w:bookmarkStart w:id="145" w:name="synthesis-with-extant-scholarship"/>
      <w:r>
        <w:rPr/>
        <w:t>5.4.</w:t>
      </w:r>
      <w:r>
        <w:rPr/>
        <w:t>5</w:t>
      </w:r>
      <w:r>
        <w:rPr/>
        <w:t xml:space="preserve"> Synthesis with Extant Scholarship</w:t>
      </w:r>
    </w:p>
    <w:p>
      <w:pPr>
        <w:pStyle w:val="FirstParagraph"/>
        <w:rPr/>
      </w:pPr>
      <w:r>
        <w:rPr/>
        <w:t>Empirical investigations post-2014 in emerging economies both corroborate and diverge from the present findings, emphasizing the conditional efficacy of regulatory clarity in attenuating non-performing loan (NPL) ratios. This comparative review situates the null causality observed in Nigeria’s deposit money banking (DMB) sector—where perceived improvements in CBN–SEC harmonization (2020–2025) fail to precipitate significant NPL declines (</w:t>
      </w:r>
      <w:r>
        <w:rPr/>
      </w:r>
      <m:oMath xmlns:m="http://schemas.openxmlformats.org/officeDocument/2006/math">
        <m:r>
          <w:rPr>
            <w:rFonts w:ascii="Cambria Math" w:hAnsi="Cambria Math"/>
          </w:rPr>
          <m:t xml:space="preserve">β</m:t>
        </m:r>
        <m:r>
          <m:rPr>
            <m:lit/>
            <m:nor/>
          </m:rPr>
          <w:rPr>
            <w:rFonts w:ascii="Cambria Math" w:hAnsi="Cambria Math"/>
          </w:rPr>
          <m:t xml:space="preserve">&lt;</m:t>
        </m:r>
        <m:r>
          <w:rPr>
            <w:rFonts w:ascii="Cambria Math" w:hAnsi="Cambria Math"/>
          </w:rPr>
          <m:t xml:space="preserve">0</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.05</m:t>
        </m:r>
      </m:oMath>
      <w:r>
        <w:rPr/>
        <w:t xml:space="preserve">), even after controlling for economic shocks such as devaluation and inflation—within broader discourses on governance reforms. Building upon this foundation, the analysis synthesizes theoretical contrasts across agency, stewardship, and institutional lenses, incorporating recent studies that highlight enforcement thresholds, institutional voids, and macroeconomic contingencies as pivotal moderators in emerging markets. In Pakistan, Shahbaz et al. (2023) demonstrated that governance indices, encompassing compliance proxies, mitigate NPLs by 15–20 Within Sub-Saharan Africa, Agyemang and Castellini (2015) identified partial NPL abatements from harmonization efforts in Ghana, contingent upon anti-corruption pacts that bolster stewardship alignments, contrasting Nigeria’s protracted progress under entrenched patronage influences. This divergence highlights stewardship theory’s limitations in frail institutional settings, where intrinsic managerial drives falter without complementary anti-corruption scaffolds (Donaldson &amp; Davis, 1991). More contemporaneously, Abbas and Awan (2025) in a post-2020 global NPL review elucidated that regulatory granularity enhances crowdfunding viability in emerging contexts but stumbles in banking sectors absent explicit clarity, mirroring the tentative direct effect (ADE = -0.861) and negligible mediation (ACME = -0.066) herein. Extending this, a 2025 study on internal corporate governance mechanisms (ICGMs) in listed banks revealed their effectiveness in curbing NPLs, yet emphasized that regulatory convergence amplifies these outcomes only in harmonized regimes, aligning with RQ4’s nulls amid Nigeria’s persistent CBN–SEC overlaps. Further depth emerges from Basel III-focused inquiries, which contextualize Nigerian DMBs within global reform trajectories. For instance, a 2025 examination of Basel III regulatory harmonization across 21 African nations (2011–2022) found that convergence bolsters banking resilience, reducing NPL sensitivities by up to 12 Nigerian-centric scholarship further enriches this synthesis. Balogun et al. (2023) reported partial adoption of corporate governance principles in merely 40 This comparative lens not only validates RQ4’s circumscribed causality but also informs policy implications: accelerated CBN–SEC unification under CAMA 2020 could surmount enforcement thresholds, potentially yielding </w:t>
      </w:r>
      <w:r>
        <w:rPr/>
      </w:r>
      <m:oMath xmlns:m="http://schemas.openxmlformats.org/officeDocument/2006/math">
        <m:r>
          <w:rPr>
            <w:rFonts w:ascii="Cambria Math" w:hAnsi="Cambria Math"/>
          </w:rPr>
          <m:t xml:space="preserve">β</m:t>
        </m:r>
        <m:r>
          <m:rPr>
            <m:lit/>
            <m:nor/>
          </m:rPr>
          <w:rPr>
            <w:rFonts w:ascii="Cambria Math" w:hAnsi="Cambria Math"/>
          </w:rPr>
          <m:t xml:space="preserve">&lt;</m:t>
        </m:r>
        <m:r>
          <w:rPr>
            <w:rFonts w:ascii="Cambria Math" w:hAnsi="Cambria Math"/>
          </w:rPr>
          <m:t xml:space="preserve">0</m:t>
        </m:r>
      </m:oMath>
      <w:r>
        <w:rPr/>
        <w:t xml:space="preserve"> in future iterations. Managerially, DMB executives might prioritize stewardship training to internalize clarity cues, while regulators enforce NDIC integration to address voids, fostering NPL reductions aligned with global benchmarks.</w:t>
      </w:r>
      <w:bookmarkEnd w:id="145"/>
    </w:p>
    <w:p>
      <w:pPr>
        <w:pStyle w:val="Heading2"/>
        <w:rPr/>
      </w:pPr>
      <w:bookmarkStart w:id="146" w:name="X0d80c0569791e6d4612d1a86b9c3bbaebfee8bb"/>
      <w:r>
        <w:rPr/>
        <w:t>5.4.</w:t>
      </w:r>
      <w:r>
        <w:rPr/>
        <w:t>6</w:t>
      </w:r>
      <w:r>
        <w:rPr/>
        <w:t xml:space="preserve"> Ramifications for Policy, Management, and Regulation</w:t>
      </w:r>
    </w:p>
    <w:p>
      <w:pPr>
        <w:pStyle w:val="FirstParagraph"/>
        <w:rPr/>
      </w:pPr>
      <w:r>
        <w:rPr/>
        <w:t>The empirical nulls pertaining to Hypothesis 4 (H4), wherein perceived regulatory clarity enhancements from Central Bank of Nigeria (CBN) and Securities and Exchange Commission (SEC) harmonization (2020–2025) fail to elicit significant non-performing loan (NPL) ratio declines (</w:t>
      </w:r>
      <w:r>
        <w:rPr/>
      </w:r>
      <m:oMath xmlns:m="http://schemas.openxmlformats.org/officeDocument/2006/math">
        <m:r>
          <w:rPr>
            <w:rFonts w:ascii="Cambria Math" w:hAnsi="Cambria Math"/>
          </w:rPr>
          <m:t xml:space="preserve">β</m:t>
        </m:r>
        <m:r>
          <m:rPr>
            <m:lit/>
            <m:nor/>
          </m:rPr>
          <w:rPr>
            <w:rFonts w:ascii="Cambria Math" w:hAnsi="Cambria Math"/>
          </w:rPr>
          <m:t xml:space="preserve">&lt;</m:t>
        </m:r>
        <m:r>
          <w:rPr>
            <w:rFonts w:ascii="Cambria Math" w:hAnsi="Cambria Math"/>
          </w:rPr>
          <m:t xml:space="preserve">0</m:t>
        </m:r>
      </m:oMath>
      <w:r>
        <w:rPr/>
        <w:t xml:space="preserve">, </w:t>
      </w:r>
      <w:r>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.05</m:t>
        </m:r>
      </m:oMath>
      <w:r>
        <w:rPr/>
        <w:t>) despite controls for economic shocks such as naira devaluation and inflation, engender multifaceted implications. These extend beyond immediate perceptual gains, advocating systemic reforms to bridge institutional voids and activate mediated pathways in Nigeria’s deposit money banking (DMB) sector. Grounded in institutional theory’s emphasis on normative isomorphism (DiMaggio &amp; Powell, 1983; Scott, 2014), the recommendations synthesize agency-stewardship tensions, wherein managerial opportunism persists absent cohesive enforcement (Jensen &amp; Meckling, 1976; Donaldson &amp; Davis, 1991). Correspondingly, resource dependence theory underscores the need for shock-resistant scaffolds to buffer external volatilities, such as 2024 inflation exceeding 24</w:t>
      </w:r>
    </w:p>
    <w:p>
      <w:pPr>
        <w:pStyle w:val="Heading3"/>
        <w:numPr>
          <w:ilvl w:val="2"/>
          <w:numId w:val="1"/>
        </w:numPr>
        <w:ind w:hanging="0" w:left="0"/>
        <w:rPr/>
      </w:pPr>
      <w:bookmarkStart w:id="147" w:name="X066e8486392eef0b2610c0ac5efb8227f540f05"/>
      <w:r>
        <w:rPr/>
        <w:t>5.</w:t>
      </w:r>
      <w:r>
        <w:rPr/>
        <w:t xml:space="preserve">5 </w:t>
      </w:r>
      <w:r>
        <w:rPr/>
        <w:t>Policy Recommendations for Regulatory Unification</w:t>
      </w:r>
    </w:p>
    <w:p>
      <w:pPr>
        <w:pStyle w:val="FirstParagraph"/>
        <w:rPr/>
      </w:pPr>
      <w:r>
        <w:rPr/>
        <w:t xml:space="preserve">Policy imperatives advocate expedited unification of CBN and SEC frameworks under the Companies and Allied Matters Act (CAMA) 2020, mandating joint enforcement protocols to surmount perceptual thresholds and precipitate </w:t>
      </w:r>
      <w:r>
        <w:rPr/>
      </w:r>
      <m:oMath xmlns:m="http://schemas.openxmlformats.org/officeDocument/2006/math">
        <m:r>
          <w:rPr>
            <w:rFonts w:ascii="Cambria Math" w:hAnsi="Cambria Math"/>
          </w:rPr>
          <m:t xml:space="preserve">β</m:t>
        </m:r>
        <m:r>
          <m:rPr>
            <m:lit/>
            <m:nor/>
          </m:rPr>
          <w:rPr>
            <w:rFonts w:ascii="Cambria Math" w:hAnsi="Cambria Math"/>
          </w:rPr>
          <m:t xml:space="preserve">&lt;</m:t>
        </m:r>
        <m:r>
          <w:rPr>
            <w:rFonts w:ascii="Cambria Math" w:hAnsi="Cambria Math"/>
          </w:rPr>
          <m:t xml:space="preserve">0</m:t>
        </m:r>
      </m:oMath>
      <w:r>
        <w:rPr/>
        <w:t>, potentially attenuating NPL ratios by 10–15</w:t>
      </w:r>
      <w:bookmarkEnd w:id="147"/>
    </w:p>
    <w:p>
      <w:pPr>
        <w:pStyle w:val="Heading3"/>
        <w:numPr>
          <w:ilvl w:val="2"/>
          <w:numId w:val="1"/>
        </w:numPr>
        <w:ind w:hanging="0" w:left="0"/>
        <w:rPr/>
      </w:pPr>
      <w:r>
        <w:rPr/>
        <w:t>5.</w:t>
      </w:r>
      <w:r>
        <w:rPr/>
        <w:t>5.2</w:t>
      </w:r>
      <w:bookmarkStart w:id="148" w:name="X06c8628978f5836cabeafd3475532c577cfc618"/>
      <w:r>
        <w:rPr/>
        <w:t xml:space="preserve"> Managerial Strategies for Enhancing Stewardship</w:t>
      </w:r>
    </w:p>
    <w:p>
      <w:pPr>
        <w:pStyle w:val="FirstParagraph"/>
        <w:rPr/>
      </w:pPr>
      <w:r>
        <w:rPr/>
        <w:t>Managerially, DMB executives ought to prioritize stewardship-oriented training programs to internalize regulatory clarity cues, thereby cultivating compliance mechanisms that buffer devaluation impacts and attenuate agency conflicts through enhanced fiduciary diligence. This strategy resonates with stewardship theory’s intrinsic motivation paradigm, wherein perceptual clarity fosters managerial alignments toward collective welfare, yet requires enforcement to overcome extrinsic volatilities in emerging markets (Donaldson &amp; Davis, 1991). Empirical depth from post-2014 studies reinforces this: a 2025 investigation into corporate governance’s effects on financial performance in Nigerian DMBs (2016–2022) reveals that board composition and risk management training reduce NPL sensitivities by fostering operational resilience. Correspondingly, executives could implement perceptual audits aligned with OECD principles, integrating scenario planning for inflation spikes to amplify direct effects (ADE = -0.861), as advocated in UUBO’s 2024 review of CBN-driven regulatory changes. In practice, this entails whistleblowing safeguards and diversity mandates under NCCG 2018, mitigating patronage biases that dilute mediation pathways (ACME = -0.066). Such strategies extend beyond compliance to institutionalize resource dependence buffers, enabling DMBs to navigate oil-price dependencies and promote sustainable default risk mitigation in Nigeria’s volatile economy (Pfeffer &amp; Salancik, 1978).</w:t>
      </w:r>
      <w:bookmarkEnd w:id="148"/>
    </w:p>
    <w:p>
      <w:pPr>
        <w:pStyle w:val="Heading3"/>
        <w:numPr>
          <w:ilvl w:val="2"/>
          <w:numId w:val="1"/>
        </w:numPr>
        <w:ind w:hanging="0" w:left="0"/>
        <w:rPr/>
      </w:pPr>
      <w:bookmarkStart w:id="149" w:name="Xc581211dab5f70dcda15562bee6f108f58cd679"/>
      <w:r>
        <w:rPr/>
        <w:t>5.</w:t>
      </w:r>
      <w:r>
        <w:rPr/>
        <w:t>5.3</w:t>
      </w:r>
      <w:r>
        <w:rPr/>
        <w:t xml:space="preserve"> Regulatory Enhancements through Basel III Integration</w:t>
      </w:r>
    </w:p>
    <w:p>
      <w:pPr>
        <w:pStyle w:val="FirstParagraph"/>
        <w:spacing w:before="0" w:after="140"/>
        <w:rPr/>
      </w:pPr>
      <w:bookmarkStart w:id="150" w:name="X757fdf043fcc718e0898ea2ccc45b4111efef67"/>
      <w:bookmarkStart w:id="151" w:name="X0d80c0569791e6d4612d1a86b9c3bbaebfee8bb"/>
      <w:bookmarkStart w:id="152" w:name="Xc581211dab5f70dcda15562bee6f108f58cd679"/>
      <w:r>
        <w:rPr/>
        <w:t>Regulatorily, integrating NDIC into CBN–SEC harmonization frameworks could rectify institutional voids, enforcing Basel III liquidity norms to augment mediation effects amid inflationary pressures and devaluation shocks. This prescription draws from institutional theory’s focus on normative convergence, wherein unified oversight activates compliance efficacy to yield significant NPL attenuations (Scott, 2014). Recent scholarship provides depth: a 2025 study on risk management in Nigerian commercial banks highlights board independence’s role in curbing NPLs through enhanced liquidity coverage ratios (LCR), yet notes multiplicity’s dilutive impact absent integration. Similarly, a 2024 analysis of corporate governance’s liquidity effects in listed DMBs recommends stringent enforcement of capital adequacy under BOFIA 2020 amendments to counteract NPL persistence. In addressing RQ4, regulators should mandate zero-tolerance governance policies per CBN reforms, aligning with OECD’s 2023 critiques of emerging opacity to foster isomorphic adoption (CBN, 2025; OECD, 2023). Practically, this involves liquidity stress testing and anti-corruption audits, potentially reducing provisioning costs by USD 200–300 million annually across sampled DMBs, as inferred from economic magnitude assessments in analogous contexts (Elias, 2024). Collectively, these implications synthesize the thesis’s overarching narrative, wherein perceptual reforms necessitate enforcement moderators to modulate NPL declines, informing unified frameworks that reconcile agency frictions with stewardship ideals for enhanced fiscal stability in Nigeria’s DMB sector.</w:t>
      </w:r>
      <w:bookmarkEnd w:id="150"/>
      <w:bookmarkEnd w:id="151"/>
      <w:bookmarkEnd w:id="152"/>
    </w:p>
    <w:sectPr>
      <w:type w:val="nextPage"/>
      <w:pgSz w:w="12240" w:h="15840"/>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imbus Roman">
    <w:charset w:val="01"/>
    <w:family w:val="roman"/>
    <w:pitch w:val="variable"/>
  </w:font>
  <w:font w:name="Aptos Display">
    <w:charset w:val="01"/>
    <w:family w:val="roman"/>
    <w:pitch w:val="variable"/>
  </w:font>
  <w:font w:name="Nimbus Sans">
    <w:charset w:val="01"/>
    <w:family w:val="swiss"/>
    <w:pitch w:val="variable"/>
  </w:font>
  <w:font w:name="Liberation Serif">
    <w:altName w:val="Times New Roman"/>
    <w:charset w:val="01"/>
    <w:family w:val="roman"/>
    <w:pitch w:val="variable"/>
  </w:font>
  <w:font w:name="Arial">
    <w:charset w:val="01"/>
    <w:family w:val="swiss"/>
    <w:pitch w:val="variable"/>
  </w:font>
  <w:font w:name="Times New Roman">
    <w:charset w:val="01"/>
    <w:family w:val="roman"/>
    <w:pitch w:val="variable"/>
  </w:font>
  <w:font w:name="Apto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ind w:right="360"/>
      <w:jc w:val="left"/>
      <w:rPr/>
    </w:pPr>
    <w:r>
      <w:rPr/>
      <mc:AlternateContent>
        <mc:Choice Requires="wps">
          <w:drawing>
            <wp:anchor behindDoc="1" distT="0" distB="0" distL="635" distR="0" simplePos="0" locked="0" layoutInCell="0" allowOverlap="1" relativeHeight="2">
              <wp:simplePos x="0" y="0"/>
              <wp:positionH relativeFrom="margin">
                <wp:align>right</wp:align>
              </wp:positionH>
              <wp:positionV relativeFrom="paragraph">
                <wp:posOffset>635</wp:posOffset>
              </wp:positionV>
              <wp:extent cx="153035" cy="283210"/>
              <wp:effectExtent l="635" t="0" r="0" b="0"/>
              <wp:wrapNone/>
              <wp:docPr id="2" name="Frame6"/>
              <a:graphic xmlns:a="http://schemas.openxmlformats.org/drawingml/2006/main">
                <a:graphicData uri="http://schemas.microsoft.com/office/word/2010/wordprocessingShape">
                  <wps:wsp>
                    <wps:cNvSpPr/>
                    <wps:spPr>
                      <a:xfrm>
                        <a:off x="0" y="0"/>
                        <a:ext cx="153000" cy="283320"/>
                      </a:xfrm>
                      <a:prstGeom prst="rect">
                        <a:avLst/>
                      </a:prstGeom>
                      <a:noFill/>
                      <a:ln w="0">
                        <a:noFill/>
                      </a:ln>
                    </wps:spPr>
                    <wps:style>
                      <a:lnRef idx="0"/>
                      <a:fillRef idx="0"/>
                      <a:effectRef idx="0"/>
                      <a:fontRef idx="minor"/>
                    </wps:style>
                    <wps:txbx>
                      <w:txbxContent>
                        <w:p>
                          <w:pPr>
                            <w:pStyle w:val="Quote"/>
                            <w:bidi w:val="0"/>
                            <w:spacing w:before="160" w:after="0"/>
                            <w:jc w:val="center"/>
                            <w:rPr/>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15</w:t>
                          </w:r>
                          <w:r>
                            <w:rPr>
                              <w:rStyle w:val="Heading7Char"/>
                              <w:color w:val="000000"/>
                            </w:rPr>
                            <w:fldChar w:fldCharType="end"/>
                          </w:r>
                        </w:p>
                      </w:txbxContent>
                    </wps:txbx>
                    <wps:bodyPr lIns="0" rIns="0" tIns="0" bIns="0" anchor="t">
                      <a:spAutoFit/>
                    </wps:bodyPr>
                  </wps:wsp>
                </a:graphicData>
              </a:graphic>
            </wp:anchor>
          </w:drawing>
        </mc:Choice>
        <mc:Fallback>
          <w:pict>
            <v:rect id="shape_0" ID="Frame6" path="m0,0l-2147483645,0l-2147483645,-2147483646l0,-2147483646xe" stroked="f" o:allowincell="f" style="position:absolute;margin-left:666.5pt;margin-top:0.05pt;width:12pt;height:22.25pt;mso-wrap-style:square;v-text-anchor:top;mso-position-horizontal:right;mso-position-horizontal-relative:margin">
              <v:fill o:detectmouseclick="t" on="false"/>
              <v:stroke color="#3465a4" joinstyle="round" endcap="flat"/>
              <v:textbox>
                <w:txbxContent>
                  <w:p>
                    <w:pPr>
                      <w:pStyle w:val="Quote"/>
                      <w:bidi w:val="0"/>
                      <w:spacing w:before="160" w:after="0"/>
                      <w:jc w:val="center"/>
                      <w:rPr/>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15</w:t>
                    </w:r>
                    <w:r>
                      <w:rPr>
                        <w:rStyle w:val="Heading7Char"/>
                        <w:color w:val="00000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ind w:right="360"/>
      <w:jc w:val="left"/>
      <w:rPr/>
    </w:pPr>
    <w:r>
      <w:rPr/>
      <mc:AlternateContent>
        <mc:Choice Requires="wps">
          <w:drawing>
            <wp:anchor behindDoc="1" distT="0" distB="0" distL="635" distR="0" simplePos="0" locked="0" layoutInCell="0" allowOverlap="1" relativeHeight="2">
              <wp:simplePos x="0" y="0"/>
              <wp:positionH relativeFrom="margin">
                <wp:align>right</wp:align>
              </wp:positionH>
              <wp:positionV relativeFrom="paragraph">
                <wp:posOffset>635</wp:posOffset>
              </wp:positionV>
              <wp:extent cx="153035" cy="283210"/>
              <wp:effectExtent l="635" t="0" r="0" b="0"/>
              <wp:wrapNone/>
              <wp:docPr id="3" name="Frame6"/>
              <a:graphic xmlns:a="http://schemas.openxmlformats.org/drawingml/2006/main">
                <a:graphicData uri="http://schemas.microsoft.com/office/word/2010/wordprocessingShape">
                  <wps:wsp>
                    <wps:cNvSpPr/>
                    <wps:spPr>
                      <a:xfrm>
                        <a:off x="0" y="0"/>
                        <a:ext cx="153000" cy="283320"/>
                      </a:xfrm>
                      <a:prstGeom prst="rect">
                        <a:avLst/>
                      </a:prstGeom>
                      <a:noFill/>
                      <a:ln w="0">
                        <a:noFill/>
                      </a:ln>
                    </wps:spPr>
                    <wps:style>
                      <a:lnRef idx="0"/>
                      <a:fillRef idx="0"/>
                      <a:effectRef idx="0"/>
                      <a:fontRef idx="minor"/>
                    </wps:style>
                    <wps:txbx>
                      <w:txbxContent>
                        <w:p>
                          <w:pPr>
                            <w:pStyle w:val="Quote"/>
                            <w:bidi w:val="0"/>
                            <w:spacing w:before="160" w:after="0"/>
                            <w:jc w:val="center"/>
                            <w:rPr/>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15</w:t>
                          </w:r>
                          <w:r>
                            <w:rPr>
                              <w:rStyle w:val="Heading7Char"/>
                              <w:color w:val="000000"/>
                            </w:rPr>
                            <w:fldChar w:fldCharType="end"/>
                          </w:r>
                        </w:p>
                      </w:txbxContent>
                    </wps:txbx>
                    <wps:bodyPr lIns="0" rIns="0" tIns="0" bIns="0" anchor="t">
                      <a:spAutoFit/>
                    </wps:bodyPr>
                  </wps:wsp>
                </a:graphicData>
              </a:graphic>
            </wp:anchor>
          </w:drawing>
        </mc:Choice>
        <mc:Fallback>
          <w:pict>
            <v:rect id="shape_0" ID="Frame6" path="m0,0l-2147483645,0l-2147483645,-2147483646l0,-2147483646xe" stroked="f" o:allowincell="f" style="position:absolute;margin-left:666.5pt;margin-top:0.05pt;width:12pt;height:22.25pt;mso-wrap-style:square;v-text-anchor:top;mso-position-horizontal:right;mso-position-horizontal-relative:margin">
              <v:fill o:detectmouseclick="t" on="false"/>
              <v:stroke color="#3465a4" joinstyle="round" endcap="flat"/>
              <v:textbox>
                <w:txbxContent>
                  <w:p>
                    <w:pPr>
                      <w:pStyle w:val="Quote"/>
                      <w:bidi w:val="0"/>
                      <w:spacing w:before="160" w:after="0"/>
                      <w:jc w:val="center"/>
                      <w:rPr/>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15</w:t>
                    </w:r>
                    <w:r>
                      <w:rPr>
                        <w:rStyle w:val="Heading7Char"/>
                        <w:color w:val="000000"/>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imbus Roman" w:hAnsi="Nimbus Roman" w:eastAsia="Nimbus Sans" w:cs="Nimbus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Nimbus Roman" w:hAnsi="Nimbus Roman" w:eastAsia="Nimbus Sans" w:cs="Nimbus Sans"/>
      <w:color w:val="auto"/>
      <w:kern w:val="2"/>
      <w:sz w:val="24"/>
      <w:szCs w:val="24"/>
      <w:lang w:val="en-US" w:eastAsia="zh-CN" w:bidi="hi-IN"/>
    </w:rPr>
  </w:style>
  <w:style w:type="paragraph" w:styleId="Heading1">
    <w:name w:val="heading 1"/>
    <w:basedOn w:val="Normal"/>
    <w:next w:val="BodyText"/>
    <w:qFormat/>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qFormat/>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spacing w:before="120" w:after="120"/>
      <w:outlineLvl w:val="3"/>
    </w:pPr>
    <w:rPr>
      <w:rFonts w:ascii="Nimbus Roman" w:hAnsi="Nimbus Roman" w:eastAsia="Nimbus Sans" w:cs="Nimbus Sans"/>
      <w:b/>
      <w:bCs/>
      <w:sz w:val="24"/>
      <w:szCs w:val="24"/>
    </w:rPr>
  </w:style>
  <w:style w:type="character" w:styleId="EndnoteCharactersuser">
    <w:name w:val="Endnote Characters (user)"/>
    <w:qFormat/>
    <w:rPr/>
  </w:style>
  <w:style w:type="character" w:styleId="DefaultParagraphFont">
    <w:name w:val="Default Paragraph Font"/>
    <w:qFormat/>
    <w:rPr/>
  </w:style>
  <w:style w:type="character" w:styleId="Heading7Char">
    <w:name w:val="Heading 7 Char"/>
    <w:basedOn w:val="DefaultParagraphFont"/>
    <w:qFormat/>
    <w:rPr>
      <w:rFonts w:eastAsia="Calibri" w:cs="FreeSerif"/>
      <w:color w:themeColor="dark1" w:themeTint="a6" w:val="595959"/>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Nimbus Sans" w:hAnsi="Nimbus Sans" w:eastAsia="Nimbus Sans" w:cs="Nimbus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Normal"/>
    <w:pPr>
      <w:tabs>
        <w:tab w:val="clear" w:pos="709"/>
        <w:tab w:val="center" w:pos="4513" w:leader="none"/>
        <w:tab w:val="right" w:pos="9026" w:leader="none"/>
      </w:tabs>
      <w:spacing w:lineRule="auto" w:line="240"/>
    </w:pPr>
    <w:rPr/>
  </w:style>
  <w:style w:type="paragraph" w:styleId="Quote">
    <w:name w:val="Quote"/>
    <w:basedOn w:val="Normal"/>
    <w:next w:val="Normal"/>
    <w:qFormat/>
    <w:pPr>
      <w:spacing w:before="160" w:after="0"/>
      <w:jc w:val="center"/>
    </w:pPr>
    <w:rPr>
      <w:i/>
      <w:iCs/>
      <w:color w:themeColor="dark1" w:themeTint="bf" w:val="404040"/>
    </w:rPr>
  </w:style>
  <w:style w:type="paragraph" w:styleId="FrameContentsuser">
    <w:name w:val="Frame Contents (user)"/>
    <w:basedOn w:val="Normal"/>
    <w:qFormat/>
    <w:pPr/>
    <w:rPr/>
  </w:style>
  <w:style w:type="paragraph" w:styleId="FrameContents">
    <w:name w:val="Frame Contents"/>
    <w:basedOn w:val="Normal"/>
    <w:qFormat/>
    <w:pPr/>
    <w:rPr/>
  </w:style>
  <w:style w:type="paragraph" w:styleId="Author">
    <w:name w:val="Author"/>
    <w:next w:val="BodyText"/>
    <w:qFormat/>
    <w:pPr>
      <w:keepNext w:val="true"/>
      <w:keepLines/>
      <w:widowControl/>
      <w:bidi w:val="0"/>
      <w:spacing w:before="0" w:after="200"/>
      <w:jc w:val="center"/>
    </w:pPr>
    <w:rPr>
      <w:rFonts w:ascii="Nimbus Roman" w:hAnsi="Nimbus Roman" w:eastAsia="Nimbus Sans" w:cs="Nimbus Sans"/>
      <w:color w:val="auto"/>
      <w:kern w:val="2"/>
      <w:sz w:val="24"/>
      <w:szCs w:val="24"/>
      <w:lang w:val="en-US" w:eastAsia="zh-CN" w:bidi="hi-IN"/>
    </w:rPr>
  </w:style>
  <w:style w:type="paragraph" w:styleId="Date">
    <w:name w:val="Date"/>
    <w:next w:val="BodyText"/>
    <w:qFormat/>
    <w:pPr>
      <w:keepNext w:val="true"/>
      <w:keepLines/>
      <w:widowControl/>
      <w:bidi w:val="0"/>
      <w:spacing w:before="0" w:after="200"/>
      <w:jc w:val="center"/>
    </w:pPr>
    <w:rPr>
      <w:rFonts w:ascii="Nimbus Roman" w:hAnsi="Nimbus Roman" w:eastAsia="Nimbus Sans" w:cs="Nimbus Sans"/>
      <w:color w:val="auto"/>
      <w:kern w:val="2"/>
      <w:sz w:val="24"/>
      <w:szCs w:val="24"/>
      <w:lang w:val="en-US" w:eastAsia="zh-CN" w:bidi="hi-IN"/>
    </w:rPr>
  </w:style>
  <w:style w:type="paragraph" w:styleId="FirstParagraph">
    <w:name w:val="First Paragraph"/>
    <w:basedOn w:val="BodyText"/>
    <w:next w:val="BodyText"/>
    <w:qFormat/>
    <w:pPr/>
    <w:rPr/>
  </w:style>
  <w:style w:type="paragraph" w:styleId="TableCaption">
    <w:name w:val="Table Caption"/>
    <w:basedOn w:val="Caption"/>
    <w:qFormat/>
    <w:pPr>
      <w:keepNext w:val="true"/>
    </w:pPr>
    <w:rPr/>
  </w:style>
  <w:style w:type="paragraph" w:styleId="Compact">
    <w:name w:val="Compact"/>
    <w:basedOn w:val="BodyText"/>
    <w:qFormat/>
    <w:pPr>
      <w:spacing w:before="36" w:after="36"/>
    </w:pPr>
    <w:rPr/>
  </w:style>
  <w:style w:type="paragraph" w:styleId="ImageCaption">
    <w:name w:val="Image Caption"/>
    <w:basedOn w:val="Caption"/>
    <w:qFormat/>
    <w:pPr/>
    <w:rPr/>
  </w:style>
  <w:style w:type="paragraph" w:styleId="Title">
    <w:name w:val="Title"/>
    <w:basedOn w:val="Normal"/>
    <w:next w:val="BodyText"/>
    <w:qFormat/>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footer" Target="footer6.xml"/><Relationship Id="rId9" Type="http://schemas.openxmlformats.org/officeDocument/2006/relationships/footer" Target="footer7.xml"/><Relationship Id="rId10" Type="http://schemas.openxmlformats.org/officeDocument/2006/relationships/footer" Target="footer8.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832</TotalTime>
  <Application>LibreOffice/25.8.2.2$Linux_X86_64 LibreOffice_project/580$Build-2</Application>
  <AppVersion>15.0000</AppVersion>
  <Pages>180</Pages>
  <Words>67371</Words>
  <Characters>465086</Characters>
  <CharactersWithSpaces>530411</CharactersWithSpaces>
  <Paragraphs>1553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2025-11-11T21:46:29Z</dcterms:created>
  <dc:creator/>
  <dc:description/>
  <dc:language>en-US</dc:language>
  <cp:lastModifiedBy/>
  <dcterms:modified xsi:type="dcterms:W3CDTF">2025-11-12T16:33:07Z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