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9D3FD" w14:textId="79263288" w:rsidR="00527D41" w:rsidRDefault="00681340" w:rsidP="00FD6599">
      <w:pPr>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Chapter 5: </w:t>
      </w:r>
      <w:r w:rsidR="00FD6599" w:rsidRPr="00A22C6F">
        <w:rPr>
          <w:rFonts w:ascii="Times New Roman" w:eastAsia="Times New Roman" w:hAnsi="Times New Roman" w:cs="Times New Roman"/>
          <w:b/>
          <w:bCs/>
          <w:sz w:val="24"/>
          <w:szCs w:val="24"/>
          <w:lang w:eastAsia="en-GB"/>
        </w:rPr>
        <w:t>Exploring the Dynamics of Corporate Governance in Nigeria</w:t>
      </w:r>
    </w:p>
    <w:p w14:paraId="744A25A1" w14:textId="10712E98" w:rsidR="00FD6599" w:rsidRPr="008A3211" w:rsidRDefault="00FD6599" w:rsidP="00B64809">
      <w:pPr>
        <w:jc w:val="both"/>
        <w:rPr>
          <w:rFonts w:ascii="Times New Roman" w:eastAsia="Times New Roman" w:hAnsi="Times New Roman" w:cs="Times New Roman"/>
          <w:b/>
          <w:bCs/>
          <w:sz w:val="24"/>
          <w:szCs w:val="24"/>
          <w:lang w:eastAsia="en-GB"/>
        </w:rPr>
      </w:pPr>
      <w:r w:rsidRPr="008A3211">
        <w:rPr>
          <w:rFonts w:ascii="Times New Roman" w:eastAsia="Times New Roman" w:hAnsi="Times New Roman" w:cs="Times New Roman"/>
          <w:b/>
          <w:bCs/>
          <w:sz w:val="24"/>
          <w:szCs w:val="24"/>
          <w:lang w:eastAsia="en-GB"/>
        </w:rPr>
        <w:t>Summary</w:t>
      </w:r>
    </w:p>
    <w:p w14:paraId="7E5DBBED" w14:textId="2A5BF450" w:rsidR="00FD6599" w:rsidRPr="008A3211" w:rsidRDefault="00FD6599" w:rsidP="00B64809">
      <w:pPr>
        <w:jc w:val="both"/>
        <w:rPr>
          <w:rFonts w:ascii="Times New Roman" w:hAnsi="Times New Roman" w:cs="Times New Roman"/>
          <w:sz w:val="24"/>
          <w:szCs w:val="24"/>
        </w:rPr>
      </w:pPr>
      <w:r w:rsidRPr="008A3211">
        <w:rPr>
          <w:rFonts w:ascii="Times New Roman" w:eastAsia="Times New Roman" w:hAnsi="Times New Roman" w:cs="Times New Roman"/>
          <w:sz w:val="24"/>
          <w:szCs w:val="24"/>
          <w:lang w:eastAsia="en-GB"/>
        </w:rPr>
        <w:t xml:space="preserve">Corporate governance in Nigeria is marred with certain challenges and complexities attributed to the implementation of reforms. In this study, several factors have been examined and they </w:t>
      </w:r>
      <w:r w:rsidR="007A006A" w:rsidRPr="008A3211">
        <w:rPr>
          <w:rFonts w:ascii="Times New Roman" w:eastAsia="Times New Roman" w:hAnsi="Times New Roman" w:cs="Times New Roman"/>
          <w:sz w:val="24"/>
          <w:szCs w:val="24"/>
          <w:lang w:eastAsia="en-GB"/>
        </w:rPr>
        <w:t xml:space="preserve">are attributed to </w:t>
      </w:r>
      <w:r w:rsidRPr="008A3211">
        <w:rPr>
          <w:rFonts w:ascii="Times New Roman" w:hAnsi="Times New Roman" w:cs="Times New Roman"/>
          <w:sz w:val="24"/>
          <w:szCs w:val="24"/>
        </w:rPr>
        <w:t>perceptions on risk management framework</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bank governance policies and stakeholder priorities</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external influence on senior management</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risk appetite and investment behavior</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board competence and financial expertise</w:t>
      </w:r>
      <w:r w:rsidR="007A006A" w:rsidRPr="008A3211">
        <w:rPr>
          <w:rFonts w:ascii="Times New Roman" w:hAnsi="Times New Roman" w:cs="Times New Roman"/>
          <w:sz w:val="24"/>
          <w:szCs w:val="24"/>
        </w:rPr>
        <w:t xml:space="preserve">, and </w:t>
      </w:r>
      <w:r w:rsidRPr="008A3211">
        <w:rPr>
          <w:rFonts w:ascii="Times New Roman" w:hAnsi="Times New Roman" w:cs="Times New Roman"/>
          <w:sz w:val="24"/>
          <w:szCs w:val="24"/>
        </w:rPr>
        <w:t>risk management department and responsibilities</w:t>
      </w:r>
      <w:r w:rsidR="007A006A" w:rsidRPr="008A3211">
        <w:rPr>
          <w:rFonts w:ascii="Times New Roman" w:hAnsi="Times New Roman" w:cs="Times New Roman"/>
          <w:sz w:val="24"/>
          <w:szCs w:val="24"/>
        </w:rPr>
        <w:t xml:space="preserve">. Other include </w:t>
      </w:r>
      <w:r w:rsidRPr="008A3211">
        <w:rPr>
          <w:rFonts w:ascii="Times New Roman" w:hAnsi="Times New Roman" w:cs="Times New Roman"/>
          <w:sz w:val="24"/>
          <w:szCs w:val="24"/>
        </w:rPr>
        <w:t>audit committee competence and independence</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transparency and falsification of information</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board oversight and expertise</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influence of ownership structures</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regulatory environment</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corporate governance guidelines and legislation</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governance codes and industry cohesion</w:t>
      </w:r>
      <w:r w:rsidR="007A006A" w:rsidRPr="008A3211">
        <w:rPr>
          <w:rFonts w:ascii="Times New Roman" w:hAnsi="Times New Roman" w:cs="Times New Roman"/>
          <w:sz w:val="24"/>
          <w:szCs w:val="24"/>
        </w:rPr>
        <w:t xml:space="preserve">, </w:t>
      </w:r>
      <w:r w:rsidRPr="008A3211">
        <w:rPr>
          <w:rFonts w:ascii="Times New Roman" w:hAnsi="Times New Roman" w:cs="Times New Roman"/>
          <w:sz w:val="24"/>
          <w:szCs w:val="24"/>
        </w:rPr>
        <w:t>transparency in audit processes and board accountability</w:t>
      </w:r>
      <w:r w:rsidR="007A006A" w:rsidRPr="008A3211">
        <w:rPr>
          <w:rFonts w:ascii="Times New Roman" w:hAnsi="Times New Roman" w:cs="Times New Roman"/>
          <w:sz w:val="24"/>
          <w:szCs w:val="24"/>
        </w:rPr>
        <w:t xml:space="preserve">, and </w:t>
      </w:r>
      <w:r w:rsidRPr="008A3211">
        <w:rPr>
          <w:rFonts w:ascii="Times New Roman" w:hAnsi="Times New Roman" w:cs="Times New Roman"/>
          <w:sz w:val="24"/>
          <w:szCs w:val="24"/>
        </w:rPr>
        <w:t>leadership structure</w:t>
      </w:r>
      <w:r w:rsidR="00580846" w:rsidRPr="008A3211">
        <w:rPr>
          <w:rFonts w:ascii="Times New Roman" w:hAnsi="Times New Roman" w:cs="Times New Roman"/>
          <w:sz w:val="24"/>
          <w:szCs w:val="24"/>
        </w:rPr>
        <w:t xml:space="preserve">. The descriptive analysis of these factors revealed the extent to which </w:t>
      </w:r>
      <w:proofErr w:type="spellStart"/>
      <w:r w:rsidR="00580846" w:rsidRPr="008A3211">
        <w:rPr>
          <w:rFonts w:ascii="Times New Roman" w:hAnsi="Times New Roman" w:cs="Times New Roman"/>
          <w:sz w:val="24"/>
          <w:szCs w:val="24"/>
        </w:rPr>
        <w:t>the</w:t>
      </w:r>
      <w:proofErr w:type="spellEnd"/>
      <w:r w:rsidR="00580846" w:rsidRPr="008A3211">
        <w:rPr>
          <w:rFonts w:ascii="Times New Roman" w:hAnsi="Times New Roman" w:cs="Times New Roman"/>
          <w:sz w:val="24"/>
          <w:szCs w:val="24"/>
        </w:rPr>
        <w:t xml:space="preserve"> were agreed or disagreed upon by the respondents.</w:t>
      </w:r>
    </w:p>
    <w:p w14:paraId="2610FBE9" w14:textId="6A6DEEBF" w:rsidR="00D34D6F" w:rsidRDefault="00580846" w:rsidP="008A3211">
      <w:pPr>
        <w:jc w:val="both"/>
        <w:rPr>
          <w:rFonts w:ascii="Times New Roman" w:hAnsi="Times New Roman" w:cs="Times New Roman"/>
          <w:sz w:val="24"/>
          <w:szCs w:val="24"/>
        </w:rPr>
      </w:pPr>
      <w:r w:rsidRPr="008A3211">
        <w:rPr>
          <w:rFonts w:ascii="Times New Roman" w:hAnsi="Times New Roman" w:cs="Times New Roman"/>
          <w:sz w:val="24"/>
          <w:szCs w:val="24"/>
        </w:rPr>
        <w:t xml:space="preserve">The study also employed inferential statistics to understand the associations between the variables. Specifically, regression analysis helped in identifying the underlying associations. The variables that were tested through multiple regression model include governance and risk management, bank governance practice, regulatory multiplicity, </w:t>
      </w:r>
      <w:proofErr w:type="gramStart"/>
      <w:r w:rsidRPr="008A3211">
        <w:rPr>
          <w:rFonts w:ascii="Times New Roman" w:hAnsi="Times New Roman" w:cs="Times New Roman"/>
          <w:sz w:val="24"/>
          <w:szCs w:val="24"/>
        </w:rPr>
        <w:t>transparency</w:t>
      </w:r>
      <w:proofErr w:type="gramEnd"/>
      <w:r w:rsidRPr="008A3211">
        <w:rPr>
          <w:rFonts w:ascii="Times New Roman" w:hAnsi="Times New Roman" w:cs="Times New Roman"/>
          <w:sz w:val="24"/>
          <w:szCs w:val="24"/>
        </w:rPr>
        <w:t xml:space="preserve"> and accountability. The results showed that there were no statistically significant differences between governance and risk management and corporate governance (p=0.042), bank governance practice and corporate governance (Pp=0.017), and transparency and accountability and corporate governance (p=0.303). noteworthy, these p-values were greater than 0.01 significance, thus rendering them insignificant. Conversely, the study confirmed that there were statistically significant differences between </w:t>
      </w:r>
      <w:r w:rsidR="006D0558" w:rsidRPr="008A3211">
        <w:rPr>
          <w:rFonts w:ascii="Times New Roman" w:hAnsi="Times New Roman" w:cs="Times New Roman"/>
          <w:sz w:val="24"/>
          <w:szCs w:val="24"/>
        </w:rPr>
        <w:t>regulatory multiplicity and corporate governance (p=0.002) and was less than 0.01 significance level. This provided sufficient evidence to reject null hypothesis</w:t>
      </w:r>
      <w:r w:rsidR="00D34D6F" w:rsidRPr="008A3211">
        <w:rPr>
          <w:rFonts w:ascii="Times New Roman" w:hAnsi="Times New Roman" w:cs="Times New Roman"/>
          <w:sz w:val="24"/>
          <w:szCs w:val="24"/>
        </w:rPr>
        <w:t>.</w:t>
      </w:r>
      <w:r w:rsidR="008A3211" w:rsidRPr="008A3211">
        <w:rPr>
          <w:rFonts w:ascii="Times New Roman" w:hAnsi="Times New Roman" w:cs="Times New Roman"/>
          <w:sz w:val="24"/>
          <w:szCs w:val="24"/>
        </w:rPr>
        <w:t xml:space="preserve"> </w:t>
      </w:r>
      <w:r w:rsidR="00D34D6F" w:rsidRPr="008A3211">
        <w:rPr>
          <w:rFonts w:ascii="Times New Roman" w:hAnsi="Times New Roman" w:cs="Times New Roman"/>
          <w:sz w:val="24"/>
          <w:szCs w:val="24"/>
        </w:rPr>
        <w:t xml:space="preserve">The analysis of variance (ANOVA) provided the foundation upon which the collective impact of the above variables was understood. </w:t>
      </w:r>
      <w:r w:rsidR="008A3211">
        <w:rPr>
          <w:rFonts w:ascii="Times New Roman" w:hAnsi="Times New Roman" w:cs="Times New Roman"/>
          <w:sz w:val="24"/>
          <w:szCs w:val="24"/>
        </w:rPr>
        <w:t>This study’s findings laid more emphasis on the practical implications for regulatory authorities in Nigeria</w:t>
      </w:r>
      <w:r w:rsidR="00820F66">
        <w:rPr>
          <w:rFonts w:ascii="Times New Roman" w:hAnsi="Times New Roman" w:cs="Times New Roman"/>
          <w:sz w:val="24"/>
          <w:szCs w:val="24"/>
        </w:rPr>
        <w:t xml:space="preserve"> in the wake of the country’s economic challenges</w:t>
      </w:r>
      <w:r w:rsidR="008A3211">
        <w:rPr>
          <w:rFonts w:ascii="Times New Roman" w:hAnsi="Times New Roman" w:cs="Times New Roman"/>
          <w:sz w:val="24"/>
          <w:szCs w:val="24"/>
        </w:rPr>
        <w:t xml:space="preserve">, with the model offering a robust understanding of the predictors influencing </w:t>
      </w:r>
      <w:r w:rsidR="007921B3">
        <w:rPr>
          <w:rFonts w:ascii="Times New Roman" w:hAnsi="Times New Roman" w:cs="Times New Roman"/>
          <w:sz w:val="24"/>
          <w:szCs w:val="24"/>
        </w:rPr>
        <w:t>corporate governance practices.</w:t>
      </w:r>
    </w:p>
    <w:p w14:paraId="041DFD9F" w14:textId="77777777" w:rsidR="00A41D54" w:rsidRPr="008A3211" w:rsidRDefault="00A41D54" w:rsidP="008A3211">
      <w:pPr>
        <w:jc w:val="both"/>
        <w:rPr>
          <w:rFonts w:ascii="Times New Roman" w:hAnsi="Times New Roman" w:cs="Times New Roman"/>
          <w:sz w:val="24"/>
          <w:szCs w:val="24"/>
        </w:rPr>
      </w:pPr>
    </w:p>
    <w:p w14:paraId="2D72F166" w14:textId="0D97763C" w:rsidR="008A3211" w:rsidRPr="00FD6599" w:rsidRDefault="008A3211" w:rsidP="00FD6599"/>
    <w:sectPr w:rsidR="008A3211" w:rsidRPr="00FD6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99"/>
    <w:rsid w:val="000360F6"/>
    <w:rsid w:val="000F1974"/>
    <w:rsid w:val="00277D95"/>
    <w:rsid w:val="003953F4"/>
    <w:rsid w:val="003B2E92"/>
    <w:rsid w:val="00527D41"/>
    <w:rsid w:val="00580846"/>
    <w:rsid w:val="00681340"/>
    <w:rsid w:val="006D0558"/>
    <w:rsid w:val="007921B3"/>
    <w:rsid w:val="007A006A"/>
    <w:rsid w:val="007A7AA0"/>
    <w:rsid w:val="00820F66"/>
    <w:rsid w:val="00826102"/>
    <w:rsid w:val="00894285"/>
    <w:rsid w:val="008A3211"/>
    <w:rsid w:val="00A41D54"/>
    <w:rsid w:val="00AC33B8"/>
    <w:rsid w:val="00B64809"/>
    <w:rsid w:val="00C032B1"/>
    <w:rsid w:val="00CD6FDE"/>
    <w:rsid w:val="00D34D6F"/>
    <w:rsid w:val="00FD5BB0"/>
    <w:rsid w:val="00FD6599"/>
    <w:rsid w:val="00FF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C72D"/>
  <w15:chartTrackingRefBased/>
  <w15:docId w15:val="{EF3133E4-2E29-4E52-B1C8-9C327433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D65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6599"/>
    <w:pPr>
      <w:keepNext/>
      <w:keepLines/>
      <w:spacing w:before="40" w:after="0"/>
      <w:outlineLvl w:val="3"/>
    </w:pPr>
    <w:rPr>
      <w:rFonts w:asciiTheme="majorHAnsi" w:eastAsiaTheme="majorEastAsia" w:hAnsiTheme="majorHAnsi" w:cstheme="majorBidi"/>
      <w:i/>
      <w:iCs/>
      <w:color w:val="2F5496" w:themeColor="accent1" w:themeShade="BF"/>
      <w:kern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D6599"/>
    <w:rPr>
      <w:rFonts w:asciiTheme="majorHAnsi" w:eastAsiaTheme="majorEastAsia" w:hAnsiTheme="majorHAnsi" w:cstheme="majorBidi"/>
      <w:i/>
      <w:iCs/>
      <w:color w:val="2F5496" w:themeColor="accent1" w:themeShade="BF"/>
      <w:kern w:val="0"/>
      <w:lang w:val="en-GB"/>
    </w:rPr>
  </w:style>
  <w:style w:type="character" w:customStyle="1" w:styleId="Heading3Char">
    <w:name w:val="Heading 3 Char"/>
    <w:basedOn w:val="DefaultParagraphFont"/>
    <w:link w:val="Heading3"/>
    <w:uiPriority w:val="9"/>
    <w:semiHidden/>
    <w:rsid w:val="00FD659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34D6F"/>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004712">
      <w:bodyDiv w:val="1"/>
      <w:marLeft w:val="0"/>
      <w:marRight w:val="0"/>
      <w:marTop w:val="0"/>
      <w:marBottom w:val="0"/>
      <w:divBdr>
        <w:top w:val="none" w:sz="0" w:space="0" w:color="auto"/>
        <w:left w:val="none" w:sz="0" w:space="0" w:color="auto"/>
        <w:bottom w:val="none" w:sz="0" w:space="0" w:color="auto"/>
        <w:right w:val="none" w:sz="0" w:space="0" w:color="auto"/>
      </w:divBdr>
      <w:divsChild>
        <w:div w:id="2035035538">
          <w:marLeft w:val="0"/>
          <w:marRight w:val="0"/>
          <w:marTop w:val="0"/>
          <w:marBottom w:val="0"/>
          <w:divBdr>
            <w:top w:val="none" w:sz="0" w:space="0" w:color="auto"/>
            <w:left w:val="none" w:sz="0" w:space="0" w:color="auto"/>
            <w:bottom w:val="none" w:sz="0" w:space="0" w:color="auto"/>
            <w:right w:val="none" w:sz="0" w:space="0" w:color="auto"/>
          </w:divBdr>
          <w:divsChild>
            <w:div w:id="1761441009">
              <w:marLeft w:val="0"/>
              <w:marRight w:val="0"/>
              <w:marTop w:val="0"/>
              <w:marBottom w:val="450"/>
              <w:divBdr>
                <w:top w:val="none" w:sz="0" w:space="0" w:color="auto"/>
                <w:left w:val="none" w:sz="0" w:space="0" w:color="auto"/>
                <w:bottom w:val="none" w:sz="0" w:space="0" w:color="auto"/>
                <w:right w:val="none" w:sz="0" w:space="0" w:color="auto"/>
              </w:divBdr>
              <w:divsChild>
                <w:div w:id="445925520">
                  <w:marLeft w:val="0"/>
                  <w:marRight w:val="0"/>
                  <w:marTop w:val="0"/>
                  <w:marBottom w:val="0"/>
                  <w:divBdr>
                    <w:top w:val="none" w:sz="0" w:space="0" w:color="auto"/>
                    <w:left w:val="none" w:sz="0" w:space="0" w:color="auto"/>
                    <w:bottom w:val="none" w:sz="0" w:space="0" w:color="auto"/>
                    <w:right w:val="none" w:sz="0" w:space="0" w:color="auto"/>
                  </w:divBdr>
                  <w:divsChild>
                    <w:div w:id="1356420343">
                      <w:marLeft w:val="0"/>
                      <w:marRight w:val="0"/>
                      <w:marTop w:val="0"/>
                      <w:marBottom w:val="0"/>
                      <w:divBdr>
                        <w:top w:val="none" w:sz="0" w:space="0" w:color="auto"/>
                        <w:left w:val="none" w:sz="0" w:space="0" w:color="auto"/>
                        <w:bottom w:val="none" w:sz="0" w:space="0" w:color="auto"/>
                        <w:right w:val="none" w:sz="0" w:space="0" w:color="auto"/>
                      </w:divBdr>
                      <w:divsChild>
                        <w:div w:id="7030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Jimoh-Ibrahim</dc:creator>
  <cp:keywords/>
  <dc:description/>
  <cp:lastModifiedBy>O. Jimoh-Ibrahim</cp:lastModifiedBy>
  <cp:revision>2</cp:revision>
  <dcterms:created xsi:type="dcterms:W3CDTF">2024-10-07T14:45:00Z</dcterms:created>
  <dcterms:modified xsi:type="dcterms:W3CDTF">2024-10-07T14:45:00Z</dcterms:modified>
  <cp:category/>
  <cp:contentStatus/>
  <dc:language/>
  <cp:version/>
</cp:coreProperties>
</file>