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Chapter One: Introduction</w:t>
      </w:r>
    </w:p>
    <w:p>
      <w:pPr>
        <w:pStyle w:val="Normal"/>
        <w:bidi w:val="0"/>
        <w:jc w:val="left"/>
        <w:rPr/>
      </w:pPr>
      <w:r>
        <w:rPr/>
      </w:r>
    </w:p>
    <w:p>
      <w:pPr>
        <w:pStyle w:val="Normal"/>
        <w:bidi w:val="0"/>
        <w:jc w:val="left"/>
        <w:rPr/>
      </w:pPr>
      <w:r>
        <w:rPr/>
        <w:t>Executive Summary</w:t>
      </w:r>
    </w:p>
    <w:p>
      <w:pPr>
        <w:pStyle w:val="Normal"/>
        <w:bidi w:val="0"/>
        <w:jc w:val="left"/>
        <w:rPr/>
      </w:pPr>
      <w:r>
        <w:rPr/>
      </w:r>
    </w:p>
    <w:p>
      <w:pPr>
        <w:pStyle w:val="Normal"/>
        <w:bidi w:val="0"/>
        <w:jc w:val="left"/>
        <w:rPr/>
      </w:pPr>
      <w:r>
        <w:rPr/>
        <w:t xml:space="preserve">Chapter One provides a concise exploration of the interrelationships between corporate governance, board structure, board committee, financial reporting quality, and the risk of bank default in Nigeria. This research paper aims to examine the concept of regulatory multiplicity, board composition, board committees and financial reporting processes and its impact on the Nigerian banking industry.  To provide an accurate portrayal of the financial industry's health in Nigeria, an ontological and epistemological approach to corporate governance principles is adopted. The First Principal approach is utilised to establish a comprehensive framework for corporate governance that accentuates the critical roles of the Audit committee and Nomination committees, Regulatory Multiplicity, and financial reporting process in the Nigerian banking industry. </w:t>
      </w:r>
    </w:p>
    <w:p>
      <w:pPr>
        <w:pStyle w:val="Normal"/>
        <w:bidi w:val="0"/>
        <w:jc w:val="left"/>
        <w:rPr/>
      </w:pPr>
      <w:r>
        <w:rPr/>
      </w:r>
    </w:p>
    <w:p>
      <w:pPr>
        <w:pStyle w:val="Normal"/>
        <w:bidi w:val="0"/>
        <w:jc w:val="left"/>
        <w:rPr/>
      </w:pPr>
      <w:r>
        <w:rPr/>
        <w:t>In examining board composition, this chapter highlights the adverse effects of poor oversight by the Board of Directors and its correlation with the Audit committee in influencing proper financial reporting. Additionally, it underscores the paucity of research in corporate governance with a specific focus on accountability and transparency within the financial services industry, and its consideration under the West African cultural dimension. Furthermore, this chapter assesses the various institutions responsible for corporate governance and their inadequacies in Nigeria. The chapter also engages in a critical discussion of the internal and external mechanisms of corporate governance, presenting various arguments and counter-arguments. Crucially, it addresses two pivotal questions: firstly, what are the significant factors that contribute to information transparency between managers, shareholders, and stakeholders? Secondly, what roles do the Board of Directors and Audit committee play in ensuring information transparency? Chapter one concludes by proposing methods for assessing the formulated variables and establishing the importance of this research.</w:t>
      </w:r>
    </w:p>
    <w:p>
      <w:pPr>
        <w:pStyle w:val="Normal"/>
        <w:bidi w:val="0"/>
        <w:jc w:val="left"/>
        <w:rPr/>
      </w:pPr>
      <w:r>
        <w:rPr/>
      </w:r>
    </w:p>
    <w:p>
      <w:pPr>
        <w:pStyle w:val="Normal"/>
        <w:bidi w:val="0"/>
        <w:jc w:val="left"/>
        <w:rPr/>
      </w:pPr>
      <w:r>
        <w:rPr/>
        <w:t>1.1 Overview</w:t>
      </w:r>
    </w:p>
    <w:p>
      <w:pPr>
        <w:pStyle w:val="Normal"/>
        <w:bidi w:val="0"/>
        <w:jc w:val="left"/>
        <w:rPr/>
      </w:pPr>
      <w:r>
        <w:rPr/>
      </w:r>
    </w:p>
    <w:p>
      <w:pPr>
        <w:pStyle w:val="Normal"/>
        <w:bidi w:val="0"/>
        <w:jc w:val="left"/>
        <w:rPr/>
      </w:pPr>
      <w:r>
        <w:rPr/>
        <w:t>In Nigeria, there have been instances where banks have not followed proper accounting standards and have chosen to apply codes that are less stringent regulatory codes (due to regulatory multiplicity), which benefits the manage menta instead of the shareholders and stakeholders. This lack of accountability and transparency in corporate governance can lead to false representation of the bank's financial status and therefore increase the risk of bank faults. The audit committee is a committee of the board of directors.The Audit Committee is a core component of corporate governance and plays a crucial role in promoting corporate openness and accountability. The committee conducts its oversight responsibilities by monitoring the operations of management, as the board allocates to the Audit Committee its oversight responsibilities for the company's financial reporting, audit functions, and internal control over financial reporting.</w:t>
      </w:r>
    </w:p>
    <w:p>
      <w:pPr>
        <w:pStyle w:val="Normal"/>
        <w:bidi w:val="0"/>
        <w:jc w:val="left"/>
        <w:rPr/>
      </w:pPr>
      <w:r>
        <w:rPr/>
      </w:r>
    </w:p>
    <w:p>
      <w:pPr>
        <w:pStyle w:val="Normal"/>
        <w:bidi w:val="0"/>
        <w:jc w:val="left"/>
        <w:rPr/>
      </w:pPr>
      <w:r>
        <w:rPr/>
        <w:t>In the context of Nigerian banks and the rising economy, it is essential to reassess the concepts of accountability (Board of Directors) and transparency (Audit Committee) in corporate governance in order to promote accurate financial reporting and lower the risk of bank defaults. This can be accomplished by aligning financial regulations with global standards. It is essential to highlight the roles of the audit committee and the Board of Directors in upholding accountability and openness, while ensuring the committee's independence. By examining the ontological and epistemological nature of accounting standards and regulatory multiplicity, a more accurate depiction of the financial health of the banking industry in Nigeria can be obtained (See Figure 1).</w:t>
      </w:r>
    </w:p>
    <w:p>
      <w:pPr>
        <w:pStyle w:val="Normal"/>
        <w:bidi w:val="0"/>
        <w:jc w:val="left"/>
        <w:rPr/>
      </w:pPr>
      <w:r>
        <w:rPr/>
      </w:r>
    </w:p>
    <w:p>
      <w:pPr>
        <w:pStyle w:val="Normal"/>
        <w:bidi w:val="0"/>
        <w:jc w:val="left"/>
        <w:rPr/>
      </w:pPr>
      <w:r>
        <w:rPr/>
        <w:t xml:space="preserve">The utilisation of 1First Principal Thinking is central to the establishment of a framework for corporate governance, which is founded on the fundamental principles of accountability and transparency. Accountability and Transparency as tenants of corporate governance is monitored primarily by the Audit Committee (Transparency) and Corporate Board (Accountability) in a corporation. The Audit committee executes its monitoring function by providing insight into management activities. The Audit Committee is viewed as an oversight function of corporate governance, financial reporting process, internal control structure and audit function Rezaee (2003). Additionally, the audit committee report has evolved from voluntary to mandatory.  For this reason, this paper primarily (amongst other ascendants of Corporate Governance i.e regulation and board structure) focuses on Accountability and Transparency in Corporate governance through the Audit Committee.  </w:t>
      </w:r>
    </w:p>
    <w:p>
      <w:pPr>
        <w:pStyle w:val="Normal"/>
        <w:bidi w:val="0"/>
        <w:jc w:val="left"/>
        <w:rPr/>
      </w:pPr>
      <w:r>
        <w:rPr/>
      </w:r>
    </w:p>
    <w:p>
      <w:pPr>
        <w:pStyle w:val="Normal"/>
        <w:bidi w:val="0"/>
        <w:jc w:val="left"/>
        <w:rPr/>
      </w:pPr>
      <w:r>
        <w:rPr/>
        <w:t>In the past few decades, Corporate Governance has become an increasingly important topic. The absence of effective monitoring by the Board of Directors and the failure of the Audit Committee to fulfil its responsibility to oversee financial reporting processes and the audit function are the leading causes of corporate defaults and institutional failures (Porter, 2009; Rezaee et al., 2003). Good governance attempts to enhance responsibility among business actors by holding management and the board accountable to shareholders. Board oversight consists of ensuring compliance with legal and ethical standards and rules, as well as adopting quality accounting methods and independent external auditors to prevent fraud and reduce financial risk. Hence, the success of the Audit Committee in discharging its oversight responsibilities is contingent upon its relationships with other corporate governance participants, such as management, internal and external auditors, legal counsel, and regulators, most notably the Board of Directors (Rezaee et al., 2003). Financial institution collapse is frequently ascribed to inadequate controls and oversight (Porter, 2009). For instance, Enron's demise was driven by inadequate director integrity and dishonesty, as well as external auditors' inability to probe the company's problems (Mallin, 2010). (See Figure 1.1).</w:t>
      </w:r>
    </w:p>
    <w:p>
      <w:pPr>
        <w:pStyle w:val="Normal"/>
        <w:bidi w:val="0"/>
        <w:jc w:val="left"/>
        <w:rPr/>
      </w:pPr>
      <w:r>
        <w:rPr/>
      </w:r>
    </w:p>
    <w:p>
      <w:pPr>
        <w:pStyle w:val="Normal"/>
        <w:bidi w:val="0"/>
        <w:jc w:val="left"/>
        <w:rPr/>
      </w:pPr>
      <w:r>
        <w:rPr/>
        <w:t xml:space="preserve">Figure 1.1: Sematic Analysis of the applied Nigerian Corporate Governance </w:t>
      </w:r>
    </w:p>
    <w:p>
      <w:pPr>
        <w:pStyle w:val="Normal"/>
        <w:bidi w:val="0"/>
        <w:jc w:val="left"/>
        <w:rPr/>
      </w:pPr>
      <w:r>
        <w:rPr/>
      </w:r>
    </w:p>
    <w:p>
      <w:pPr>
        <w:pStyle w:val="Normal"/>
        <w:bidi w:val="0"/>
        <w:jc w:val="left"/>
        <w:rPr/>
      </w:pPr>
      <w:r>
        <w:rPr/>
        <w:t xml:space="preserve">Mechanisms of this Study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The board of directors has a vital role in implementing corporate governance measures, particularly in monitoring management to reduce agency costs and enhance accountability (Gursoy and Aydogan, 2002; Conyon and Schwalbach, 2000; Singh et al., 2003). However, these efforts can sometimes fall short, increasing the risk of corporate default (inability to repay debt) (Elloumi et al., 2001; Parker et al., 2002; Vallelado et al., 2008). Studies in western societies have found a significant correlation between corporate governance variables and default, with corporate governance variables being early indicators of default (Darrat et al., 2016; Elloumi et al., 2001; Parker et al., 2002). Bank fault has far-reaching negative consequences for stakeholders, society, and the economy as a whole. Stakeholders, are those impacted by a company's actions (Freeman, 1984), are now demanding greater accountability and transparency from corporations. This is evident in the media, where public interest and scrutiny of corporations is increasingly common. For example, the public outcry over United Airlines' forceful removal of a paying customer from a flight to accommodate an employee resulted in a sharp decline in their stock price and CEO Oscar Muno's testimony before Congress (Shepardson, D, 2017). This highlights the significance of accountability to stakeholders in western societies (Porter, 2009; Osita et al, 2019).</w:t>
      </w:r>
    </w:p>
    <w:p>
      <w:pPr>
        <w:pStyle w:val="Normal"/>
        <w:bidi w:val="0"/>
        <w:jc w:val="left"/>
        <w:rPr/>
      </w:pPr>
      <w:r>
        <w:rPr/>
      </w:r>
    </w:p>
    <w:p>
      <w:pPr>
        <w:pStyle w:val="Normal"/>
        <w:bidi w:val="0"/>
        <w:jc w:val="left"/>
        <w:rPr/>
      </w:pPr>
      <w:r>
        <w:rPr/>
        <w:t xml:space="preserve">Furthermore there is a lacuna of research on CG and accountability and transparency in emerging markets, particularly Africa (Osita et al 2019, Tsamenyi et a., 2007. Nyamori et al, 2017). Adams &amp; Mehran (2003) posited that there is little known about boards' effectiveness, concluding that most empirical studies remove financial firms from their studies. Corporate governance is key to bank efficiency as it promotes transparency and accountability in the banking industry which is founded on best practices and reporting relationships (Okoye et al 2016). In a market economy, good corporate governance practices increase the flow of capital through increased investor confidence (Foreign and domestic), largely dependent on transparency and accountability (Okoye et al., 2016, Frost et al., 2002, Donaldson, 2003). In other words, a national economy that aims to be competitive and foster growth for corporations, corporate governance practices of transparency (effective audit committees) and accountability (effective board structures) are essential. </w:t>
      </w:r>
    </w:p>
    <w:p>
      <w:pPr>
        <w:pStyle w:val="Normal"/>
        <w:bidi w:val="0"/>
        <w:jc w:val="left"/>
        <w:rPr/>
      </w:pPr>
      <w:r>
        <w:rPr/>
      </w:r>
    </w:p>
    <w:p>
      <w:pPr>
        <w:pStyle w:val="Normal"/>
        <w:bidi w:val="0"/>
        <w:jc w:val="left"/>
        <w:rPr/>
      </w:pPr>
      <w:r>
        <w:rPr/>
        <w:t xml:space="preserve">The lack of transparency and accountability in CG practices has adverse effects on the Nigerian economy. The Governor of the Central Bank of Nigeria, Sanusi Lamido Sanusi, stated In 2007 that "Weak corporate governance at financial institutions were the root of the banking sector that almost collapsed in 2009". For example, Oceanic bank Nigeria, a family-owned business, had two family members on the board, Mrs Ibru and Mr Oboden Ibru, as a non-executive (contrary to best corporate governance practice). The Governor of the Central Bank of Nigeria, Sanusi (2009),stated that over 75% of the nonperforming loans in 2Oceanic Bank are directly related to companies owned or controlled by the Ibru family. The prominent breaches of best governance practices were seated to insider loans, transactions relating to acquiring assets to shell companies owned by family members and unauthorised credits. </w:t>
      </w:r>
    </w:p>
    <w:p>
      <w:pPr>
        <w:pStyle w:val="Normal"/>
        <w:bidi w:val="0"/>
        <w:jc w:val="left"/>
        <w:rPr/>
      </w:pPr>
      <w:r>
        <w:rPr/>
      </w:r>
    </w:p>
    <w:p>
      <w:pPr>
        <w:pStyle w:val="Normal"/>
        <w:bidi w:val="0"/>
        <w:jc w:val="left"/>
        <w:rPr/>
      </w:pPr>
      <w:r>
        <w:rPr/>
        <w:t xml:space="preserve">Since the establishment of the Nigeria Deposit Insurance Corporation (NDIC) in 1988, 425 banks have failed in Nigeria, as noted by John Abiodun, Assistant Director of the Insurance and Surveillance Department of the NDIC, in 2020 (Udo, B. 2020). Nigeria's banking system exhibits a broader distinction between management and ownership (Okoye et al. 2016). It can be inferred that the interests of the management are discordant with those of the bank's shareholders and stakeholders, thereby demonstrating a shortfall in the effective collaboration between the audit committee and the board of directors. This underscores the imperative nature of this study.  Where this is a prominent feature of a bank, it usually leads to bank failure (Okoye et al. 2016). Good corporate governance practices lead to increased valuation, less default risk, higher profit as well as providing substantial financial reports (Osita et al. 2019, Tsamenyi et a., 2007). Worryingly, it is usual to find banks currently that have non-performing loans. According to a recent research by the Nigerian Deposit Insurance Corporation (NDIC), non-performing loans exceeded the regulation threshold of 5% in December 2017, reaching nearly 20%. (Adegboye, 2020). Twenty banks and four merchant banks were subjected to a financial stress test to determine their resilience in the face of Credit quality, liquidity, interest rate changes, and systemic contagion-related risks. The results indicated that only the larger banks would endure if there was a 50% increase in nonperforming loans (Central Bank of Nigeria, 2017). Furthermore according to Ugochukwu (2000), the occurrence of multiple bank failures can result in a loss of confidence in the banking sector, causing a large-scale withdrawal of depositor funds. This, in turn, leads to a joint probability of default, regardless of the balance sheet strength of individual banks. This reiterates the importance of revisiting the core principles of Corporate Governance, specifically accountability (Board of Directors) and transparency (Audit Committee), in regards to the practices employed within the Nigerian Banking Industry and the importance of this study. </w:t>
      </w:r>
    </w:p>
    <w:p>
      <w:pPr>
        <w:pStyle w:val="Normal"/>
        <w:bidi w:val="0"/>
        <w:jc w:val="left"/>
        <w:rPr/>
      </w:pPr>
      <w:r>
        <w:rPr/>
      </w:r>
    </w:p>
    <w:p>
      <w:pPr>
        <w:pStyle w:val="Normal"/>
        <w:bidi w:val="0"/>
        <w:jc w:val="left"/>
        <w:rPr/>
      </w:pPr>
      <w:r>
        <w:rPr/>
        <w:t>According to Darrat, Ali F, et al. (2016), the effects of Corporate Governance (CG) are not uniform across all firms, thus making a universal approach to governance potentially counterproductive as suitable governance structures may only be effective for some firms and not others. On the other hand, this paper argues against Darrat, Ali F, et al. (2016) and proposes a one-size-fits-all approach to governance in the context of financial regulations that govern the practice of CG in Nigeria (Wilson, 2006), where the utilisation of multiple codes of CG has been found to be insufficient. Several papers link the cause root of corporate governance deficiency is due to an inadequate judicial system however this paper posits that a regulatory approach to enforcement of financial regulations can be more effective than judicial enforcement (Oman 2001).Several research studies link corporate governance to the risk of bankruptcy (Elloumi et al., 2001, Parker et al., 2002). Darrah et al. (2016), examined the individual nature of the firm (firm characteristics) (precisely company complexity and company requirements for special knowledge) and found that CG variables are significant early predictors for corporate default. Lack of accountability and transparency at the board level has led to individual bank defaults in the Nigerian banking sector.</w:t>
      </w:r>
    </w:p>
    <w:p>
      <w:pPr>
        <w:pStyle w:val="Normal"/>
        <w:bidi w:val="0"/>
        <w:jc w:val="left"/>
        <w:rPr/>
      </w:pPr>
      <w:r>
        <w:rPr/>
      </w:r>
    </w:p>
    <w:p>
      <w:pPr>
        <w:pStyle w:val="Normal"/>
        <w:bidi w:val="0"/>
        <w:jc w:val="left"/>
        <w:rPr/>
      </w:pPr>
      <w:r>
        <w:rPr/>
        <w:t>The ontological and epistemological nature of accounting standards and regulatory multiplicity must be examined to obtain a more accurate depiction of the financial health of the banking industry in Nigeria. The implementation of a framework for corporate governance based on the principles of accountability and transparency and the utilisation of first principle thinking is crucial in establishing a strong foundation for the banking industry in Nigeria. (See Fig Figure 1.1).</w:t>
      </w:r>
    </w:p>
    <w:p>
      <w:pPr>
        <w:pStyle w:val="Normal"/>
        <w:bidi w:val="0"/>
        <w:jc w:val="left"/>
        <w:rPr/>
      </w:pPr>
      <w:r>
        <w:rPr/>
      </w:r>
    </w:p>
    <w:p>
      <w:pPr>
        <w:pStyle w:val="Normal"/>
        <w:bidi w:val="0"/>
        <w:jc w:val="left"/>
        <w:rPr/>
      </w:pPr>
      <w:r>
        <w:rPr/>
        <w:t>1.2 Default Risk and Nigerian Banks</w:t>
      </w:r>
    </w:p>
    <w:p>
      <w:pPr>
        <w:pStyle w:val="Normal"/>
        <w:bidi w:val="0"/>
        <w:jc w:val="left"/>
        <w:rPr/>
      </w:pPr>
      <w:r>
        <w:rPr/>
      </w:r>
    </w:p>
    <w:p>
      <w:pPr>
        <w:pStyle w:val="Normal"/>
        <w:bidi w:val="0"/>
        <w:jc w:val="left"/>
        <w:rPr/>
      </w:pPr>
      <w:r>
        <w:rPr/>
        <w:t>The default risk of Nigerian banks is a result of the government's longstanding ties to the banking industry. Prior to the launch of the Structural Adjustment Plan (SAP) in 1986, the Nigerian government played a pivotal role in the operation and supervision of banking activities. The purpose was to prevent foreign control of a crucial economic sector, but this system created conflicts of interest because the government was both the owner and regulator of many of the largest banks (Ugochukwu, 2000). The adoption of SAP, however, resulted in the government selling its interests in the majority of banks, fundamentally altering the relationship between the government and the banks as regulators. The previous ownership of majority shares in the major banks by the government made it challenging for banks to challenge government actions, which weakened the banking industry (Ugochukwu, 2000). The current bank crises in Nigeria have been linked to government fiscal indiscipline and politically motivated appointments at the board level, which hinder effective dialogue with the government (Ugochukwu, 2000).  The impact of bank failure is particularly severe in the banking industry, as it affects individual businesses that rely on loan facilities. The collapse of a bank without government intervention can lead to a loss of confidence in the entire banking industry and result in mass withdrawals of depositors' funds (Bank of England, 1984). This highlights the need for regulations that promote a stable macro-economic environment and are updated to reflect advancements in financial regulations and advance technology. Unfortunately, some of the banks in Nigeria are unable to advocate for policy changes due to past government involvement, and regulators are unable to keep pace with developments in the banking sector (Ugochukwu, 2000). The legacy of government ownership and regulation of banks in Nigeria continues to impact the default risk of Nigerian banks primarily because of lack of constant legislations which negatively impacted accountability and transparency the board of director and board committee levels. The need for updated regulations that promote a stable macro-economic environment and align with current global standards, and the role of government fiscal discipline and effective communication with the banking sector are critical factors in reducing the risk of joint default in the Nigerian banking industry (Abdulmalik, 2020, Ugochukwu, 2000).</w:t>
      </w:r>
    </w:p>
    <w:p>
      <w:pPr>
        <w:pStyle w:val="Normal"/>
        <w:bidi w:val="0"/>
        <w:jc w:val="left"/>
        <w:rPr/>
      </w:pPr>
      <w:r>
        <w:rPr/>
      </w:r>
    </w:p>
    <w:p>
      <w:pPr>
        <w:pStyle w:val="Normal"/>
        <w:bidi w:val="0"/>
        <w:jc w:val="left"/>
        <w:rPr/>
      </w:pPr>
      <w:r>
        <w:rPr/>
        <w:t>Repeated bank failures in Nigeria necessitated the current research. Despite efforts to stabilise the banking industry, including the consolidation of Nigerian banks in 2004 that decreased the number of commercial banks from 89 to 25, the results have been poor. A clear indication of this can be seen in the high number of failing or failed banks among the 24 mega banks, with over 40% being classified as such (Kafidipe, 2021). Bank default is also attributed to the unpaid long term debt that as a result of credit risk facilities banks offer to customers without proper checks and balances and unethical conduct (Adeusi et al 2013). The causes of these frequent banking failures in Nigeria can be traced to the non-adherence to the principles of corporate governance codes and the lack of internal corporate governance structures that are in line with international standards. Additionally, the pervasive disregard for risk management principles on a societal level contributes to the ongoing banking distress and failures in Nigeria (Ugochukwu, 2000, Kafidipe, 2021). Sanusi Lamido Sanusi, a former governor of the Central Bank of Nigeria (CBN), stated:</w:t>
      </w:r>
    </w:p>
    <w:p>
      <w:pPr>
        <w:pStyle w:val="Normal"/>
        <w:bidi w:val="0"/>
        <w:jc w:val="left"/>
        <w:rPr/>
      </w:pPr>
      <w:r>
        <w:rPr/>
      </w:r>
    </w:p>
    <w:p>
      <w:pPr>
        <w:pStyle w:val="Normal"/>
        <w:bidi w:val="0"/>
        <w:jc w:val="left"/>
        <w:rPr/>
      </w:pPr>
      <w:r>
        <w:rPr/>
        <w:t>The Banks chairman/CEO often had an overbearing influence on the board and some board lacked independence; directors often failed to make contributions to safeguard and development of the bank and had weak ethical standards, the board committees were often inefficient or dormant” (Sanusi, 2014).</w:t>
      </w:r>
    </w:p>
    <w:p>
      <w:pPr>
        <w:pStyle w:val="Normal"/>
        <w:bidi w:val="0"/>
        <w:jc w:val="left"/>
        <w:rPr/>
      </w:pPr>
      <w:r>
        <w:rPr/>
      </w:r>
    </w:p>
    <w:p>
      <w:pPr>
        <w:pStyle w:val="Normal"/>
        <w:bidi w:val="0"/>
        <w:jc w:val="left"/>
        <w:rPr/>
      </w:pPr>
      <w:r>
        <w:rPr/>
        <w:t>More than 75% of non-performing loans in Oceanic Bank were directly linked to enterprises owned or managed by the Ibru family, as revealed by Sanusi (2009), who brings attention to the ethical difficulties in practise by publishing this fact. Sanusi further states that the most significant governance infractions involved insider loans, improper credits, and deals involving the acquisition of assets by family-owned shell corporations. Effective risk management in banks, aimed at lowering nonperforming loans due to internal restrictions, correlates positively with financial indicators in Nigerian banks, according to empirical research (Olalekan, 2018; Okere, 2018).</w:t>
      </w:r>
    </w:p>
    <w:p>
      <w:pPr>
        <w:pStyle w:val="Normal"/>
        <w:bidi w:val="0"/>
        <w:jc w:val="left"/>
        <w:rPr/>
      </w:pPr>
      <w:r>
        <w:rPr/>
      </w:r>
    </w:p>
    <w:p>
      <w:pPr>
        <w:pStyle w:val="Normal"/>
        <w:bidi w:val="0"/>
        <w:jc w:val="left"/>
        <w:rPr/>
      </w:pPr>
      <w:r>
        <w:rPr/>
        <w:t>The persistent banking failures in Nigeria are closely tied to the default risk faced by banks in the country, which can be attributed to several factors including inadequate board oversight, financial mismanagement, and even instances of board complicity, as seen in the failures of Intercontinental Bank, Oceanic Bank, Fin Bank, and Bank PHB (Owolabi, 2013). It is critical to recognize the pivotal role played by the financial health and performance of banks in promoting the economic growth of Nigeria. Banks occupy a dominant position in the financial systems of developing economies and are widely recognized as engines of economic growth (King and Levine, 1993). They serve as the primary source of funds for entities, as well as the main repository for the economy's savings, providing the means for payment. Therefore, the contribution of the banking sector to the development of the Nigerian economy cannot be understated (Siyanbola, 2019).</w:t>
      </w:r>
    </w:p>
    <w:p>
      <w:pPr>
        <w:pStyle w:val="Normal"/>
        <w:bidi w:val="0"/>
        <w:jc w:val="left"/>
        <w:rPr/>
      </w:pPr>
      <w:r>
        <w:rPr/>
      </w:r>
    </w:p>
    <w:p>
      <w:pPr>
        <w:pStyle w:val="Normal"/>
        <w:bidi w:val="0"/>
        <w:jc w:val="left"/>
        <w:rPr/>
      </w:pPr>
      <w:r>
        <w:rPr/>
        <w:t>The issue of financial crises in the banking sector has been a source of concern for both bank regulators and owners due to its increasing prevalence (Chiejina, 2016). This is largely attributed to the frequent bank failures. The Nigerian banking sector, in particular, faces challenges with regard to credit-risk management and the need for both internal and external supervision, which impact the stability and profitability of banks (Obi, 2012). Nweze (2012) argues that poor credit-risk management leading to non-performing loans (NPLs) is one of the most critical symptoms of bank defaults in Nigeria.The role of the board of directors as an integral internal control mechanism within the framework of corporate governance has been well established. Moreover, empirical evidence has shown that the adequacy of governance structures can have a partial impact on the risk of bankruptcy (Siyanbola et al. 2019).</w:t>
      </w:r>
    </w:p>
    <w:p>
      <w:pPr>
        <w:pStyle w:val="Normal"/>
        <w:bidi w:val="0"/>
        <w:jc w:val="left"/>
        <w:rPr/>
      </w:pPr>
      <w:r>
        <w:rPr/>
      </w:r>
    </w:p>
    <w:p>
      <w:pPr>
        <w:pStyle w:val="Normal"/>
        <w:bidi w:val="0"/>
        <w:jc w:val="left"/>
        <w:rPr/>
      </w:pPr>
      <w:r>
        <w:rPr/>
        <w:t>The relationship between Corporate Governance (CG) and risk management through default correlation is a crucial topic in finance. According to Fernando et al. (2019), companies with different ownership structures have varying levels of default correlation, with concentrated ownership leading to higher correlation. Effective boards and financial transparency are also linked to low default correlation. Therefore, in order to migate this negative effective of concentrated ownership structures on the Nigerian financial industry, regulators can benefit by developing legislation that directly address affects the influence of ownership on the board of directors, board committee and management through mandated structures of Audit committee and nomination committee. The of inefficient structure and compliance of the Audit committee, nomination currently in the Nigerian banking sector will be discussed in the following chapter.</w:t>
      </w:r>
    </w:p>
    <w:p>
      <w:pPr>
        <w:pStyle w:val="Normal"/>
        <w:bidi w:val="0"/>
        <w:jc w:val="left"/>
        <w:rPr/>
      </w:pPr>
      <w:r>
        <w:rPr/>
      </w:r>
    </w:p>
    <w:p>
      <w:pPr>
        <w:pStyle w:val="Normal"/>
        <w:bidi w:val="0"/>
        <w:jc w:val="left"/>
        <w:rPr/>
      </w:pPr>
      <w:r>
        <w:rPr/>
      </w:r>
    </w:p>
    <w:p>
      <w:pPr>
        <w:pStyle w:val="Normal"/>
        <w:bidi w:val="0"/>
        <w:jc w:val="left"/>
        <w:rPr/>
      </w:pPr>
      <w:r>
        <w:rPr/>
        <w:t xml:space="preserve"> </w:t>
      </w:r>
      <w:r>
        <w:rPr/>
        <w:t>First principal thinking is a problem-solving and decision-making approach that involves breaking down a complex issue or problem into its fundamental, underlying principles or components. The goal of this approach is to gain a deeper understanding of the problem by examining it at its most basic level, rather than relying on assumptions, traditions, or preconceived notions. The term "first principles" comes from the ancient Greek philosopher Aristotle, who believed that understanding the world and making decisions required a clear understanding of the basic building blocks or first principles from which everything else can be derived. In practice, first principle thinking involves asking questions such as "What are the basic ingredients or components that make up this system?" and "What are the underlying physical laws or principles that govern this system. First principal thinking can be applied to a wide range of fields, including corporate governance. It is often used to simplify complex problems, find new and innovative solutions.</w:t>
      </w:r>
    </w:p>
    <w:p>
      <w:pPr>
        <w:pStyle w:val="Normal"/>
        <w:bidi w:val="0"/>
        <w:jc w:val="left"/>
        <w:rPr/>
      </w:pPr>
      <w:r>
        <w:rPr/>
      </w:r>
    </w:p>
    <w:p>
      <w:pPr>
        <w:pStyle w:val="Normal"/>
        <w:bidi w:val="0"/>
        <w:jc w:val="left"/>
        <w:rPr/>
      </w:pPr>
      <w:r>
        <w:rPr/>
        <w:t xml:space="preserve"> </w:t>
      </w:r>
      <w:r>
        <w:rPr/>
        <w:t>The individual at the helm of the banking industry in Nigeria is a member of the prestigious Ibru family. In 1990, she assumed the role of General Manager at Oceanic Bank, and subsequently progressed to the position of Managing Director and CEO in 1997. However, her tenure was abruptly terminated in 2009 due to allegations of a multibillion-dollar banking scandal. The accusations centered around the provision of inadequate loan practices, which ultimately undermined the financial sntability of Oceanic Bank. On October 8, 2010, she was convicted of 25 counts of fraud, pleading guilty to three, and was subsequently sentenced to six months imprisonment and ordered to forfeit a sum of $1.2 billion (£786 million) in cash and assets.</w:t>
      </w:r>
    </w:p>
    <w:p>
      <w:pPr>
        <w:pStyle w:val="Normal"/>
        <w:bidi w:val="0"/>
        <w:jc w:val="left"/>
        <w:rPr/>
      </w:pPr>
      <w:r>
        <w:rPr/>
      </w:r>
    </w:p>
    <w:p>
      <w:pPr>
        <w:pStyle w:val="Normal"/>
        <w:bidi w:val="0"/>
        <w:jc w:val="left"/>
        <w:rPr/>
      </w:pPr>
      <w:r>
        <w:rPr/>
        <w:t>2 | Page</w:t>
      </w:r>
    </w:p>
    <w:p>
      <w:pPr>
        <w:pStyle w:val="Normal"/>
        <w:bidi w:val="0"/>
        <w:jc w:val="left"/>
        <w:rPr/>
      </w:pPr>
      <w:r>
        <w:rPr/>
      </w:r>
    </w:p>
    <w:p>
      <w:pPr>
        <w:pStyle w:val="Normal"/>
        <w:bidi w:val="0"/>
        <w:jc w:val="left"/>
        <w:rPr/>
      </w:pPr>
      <w:r>
        <w:rPr/>
        <w:t xml:space="preserve">1.3 Issues of Financial Regulatory Multiplicity </w:t>
      </w:r>
    </w:p>
    <w:p>
      <w:pPr>
        <w:pStyle w:val="Normal"/>
        <w:bidi w:val="0"/>
        <w:jc w:val="left"/>
        <w:rPr/>
      </w:pPr>
      <w:r>
        <w:rPr/>
      </w:r>
    </w:p>
    <w:p>
      <w:pPr>
        <w:pStyle w:val="Normal"/>
        <w:bidi w:val="0"/>
        <w:jc w:val="left"/>
        <w:rPr/>
      </w:pPr>
      <w:r>
        <w:rPr/>
        <w:t>The concept of regulatory multiplicity in corporate governance refers to the existence of multiple codes of conduct that regulate the various stakeholders within an industry (Ofo, 2013; Agebite, 2014). There is a need for greater clarity in the definition and application of corporate governance codes, which outline the expected behavior of employees in specific situations (Brooks, 1989). This phenomenon is particularly pronounced in Nigeria, where conflicting laws undermine the independence of the Board of Directors and the Audit Committee, which arises from the nature of firm ownership structures and contributes to suboptimal accounting and internal governance practices (Abdulmalik, 2020). This issue is compounded by the fact that Nigeria's corporate governance practices are still in their infancy, with 40% of listed companies lacking an understanding of what corporate governance entails (Wilson, 2006).</w:t>
      </w:r>
    </w:p>
    <w:p>
      <w:pPr>
        <w:pStyle w:val="Normal"/>
        <w:bidi w:val="0"/>
        <w:jc w:val="left"/>
        <w:rPr/>
      </w:pPr>
      <w:r>
        <w:rPr/>
      </w:r>
    </w:p>
    <w:p>
      <w:pPr>
        <w:pStyle w:val="Normal"/>
        <w:bidi w:val="0"/>
        <w:jc w:val="left"/>
        <w:rPr/>
      </w:pPr>
      <w:r>
        <w:rPr/>
        <w:t>To effectively address the unique characteristics of a country, including cultural and political ideologies, it is important for countries to have corporate governance regulations that cater to their specific needs and reflect their colonial influences (Senaratne &amp; Gunaratne, 2008; Lu et al., 2009; Ahunwan 2002; Adebite and Nakajima 2011; Okike &amp; Adegbite, 2012). Governments regulate companies and companies are held legally accountable through their directors to shareholders and stakeholders through the concept of the 'corporate social contract' (Brooks, 1989). Cultural peculiarities and colonial influence have resulted in a lack of objective regulations in the Nigerian context, where banks are unable to facilitate the development of effective legislation in the baking industry (Ugochukwu, 2000).</w:t>
      </w:r>
    </w:p>
    <w:p>
      <w:pPr>
        <w:pStyle w:val="Normal"/>
        <w:bidi w:val="0"/>
        <w:jc w:val="left"/>
        <w:rPr/>
      </w:pPr>
      <w:r>
        <w:rPr/>
      </w:r>
    </w:p>
    <w:p>
      <w:pPr>
        <w:pStyle w:val="Normal"/>
        <w:bidi w:val="0"/>
        <w:jc w:val="left"/>
        <w:rPr/>
      </w:pPr>
      <w:r>
        <w:rPr/>
        <w:t>Despite the increasing recognition of the need for effective corporate governance regulations, there is a lack of literature on the implications of regulatory multiplicity at the national level (Adgebite, 2012; Adebite, 2014). On one hand, soft law promotes autonomy by encouraging voluntary compliance with good governance practices (See Figure 1.3), while on the other hand, statutes carry a legal burden of responsibility for non-compliance (Adegbite, 2012; Adegbite, 2014) (See Figure 1.2). The argument for a statutory system of corporate governance in Nigeria is reinforced by the frequent failures of listed companies, linked to inadequate enforcement of regulations by regulatory agencies in addition to the saturation of regulations. This position is substantiated by Wilson (2006), emphasizing the crucial role of strict to fundamental principles of corporate governance.</w:t>
      </w:r>
    </w:p>
    <w:p>
      <w:pPr>
        <w:pStyle w:val="Normal"/>
        <w:bidi w:val="0"/>
        <w:jc w:val="left"/>
        <w:rPr/>
      </w:pPr>
      <w:r>
        <w:rPr/>
      </w:r>
    </w:p>
    <w:p>
      <w:pPr>
        <w:pStyle w:val="Normal"/>
        <w:bidi w:val="0"/>
        <w:jc w:val="left"/>
        <w:rPr/>
      </w:pPr>
      <w:r>
        <w:rPr/>
        <w:t xml:space="preserve">The argument for an effective statutory system of corporate governance in Nigeria is further supported by the position of the Organization for Economic Cooperation and Development (OECD). The OECD posits that, in countries with weak judicial systems, such as Nigeria (Abdulmalik, 2020), independent regulatory enforcement may be more effective than judicial enforcement (Oman, 2001). This highlights the importance of regulatory agencies in promoting compliance with corporate governance principles and ensuring the accountability and transparency of listed companies. The issues of regulatory multiplicity continue to evolve with the development of new codes of conduct or revisions to existing regulations, exacerbating the proliferation of codes within Nigeria (Wilson 2006, Adebite, 2014, Ofo, 2010, Abdulmalik 2020). </w:t>
      </w:r>
    </w:p>
    <w:p>
      <w:pPr>
        <w:pStyle w:val="Normal"/>
        <w:bidi w:val="0"/>
        <w:jc w:val="left"/>
        <w:rPr/>
      </w:pPr>
      <w:r>
        <w:rPr/>
      </w:r>
    </w:p>
    <w:p>
      <w:pPr>
        <w:pStyle w:val="Normal"/>
        <w:bidi w:val="0"/>
        <w:jc w:val="left"/>
        <w:rPr/>
      </w:pPr>
      <w:r>
        <w:rPr/>
        <w:t xml:space="preserve">Figure 1.2: Regulatory Multiplicity in Nigerian Banking industry </w:t>
      </w:r>
    </w:p>
    <w:p>
      <w:pPr>
        <w:pStyle w:val="Normal"/>
        <w:bidi w:val="0"/>
        <w:jc w:val="left"/>
        <w:rPr/>
      </w:pPr>
      <w:r>
        <w:rPr/>
      </w:r>
    </w:p>
    <w:p>
      <w:pPr>
        <w:pStyle w:val="Normal"/>
        <w:bidi w:val="0"/>
        <w:jc w:val="left"/>
        <w:rPr/>
      </w:pPr>
      <w:r>
        <w:rPr/>
        <w:t>2 | Page</w:t>
      </w:r>
    </w:p>
    <w:p>
      <w:pPr>
        <w:pStyle w:val="Normal"/>
        <w:bidi w:val="0"/>
        <w:jc w:val="left"/>
        <w:rPr/>
      </w:pPr>
      <w:r>
        <w:rPr/>
      </w:r>
    </w:p>
    <w:p>
      <w:pPr>
        <w:pStyle w:val="Normal"/>
        <w:bidi w:val="0"/>
        <w:jc w:val="left"/>
        <w:rPr/>
      </w:pPr>
      <w:r>
        <w:rPr/>
        <w:t>Codes</w:t>
      </w:r>
    </w:p>
    <w:p>
      <w:pPr>
        <w:pStyle w:val="Normal"/>
        <w:bidi w:val="0"/>
        <w:jc w:val="left"/>
        <w:rPr/>
      </w:pPr>
      <w:r>
        <w:rPr/>
      </w:r>
    </w:p>
    <w:p>
      <w:pPr>
        <w:pStyle w:val="Normal"/>
        <w:bidi w:val="0"/>
        <w:jc w:val="left"/>
        <w:rPr/>
      </w:pPr>
      <w:r>
        <w:rPr/>
        <w:t xml:space="preserve">Year of Establishment </w:t>
      </w:r>
    </w:p>
    <w:p>
      <w:pPr>
        <w:pStyle w:val="Normal"/>
        <w:bidi w:val="0"/>
        <w:jc w:val="left"/>
        <w:rPr/>
      </w:pPr>
      <w:r>
        <w:rPr/>
      </w:r>
    </w:p>
    <w:p>
      <w:pPr>
        <w:pStyle w:val="Normal"/>
        <w:bidi w:val="0"/>
        <w:jc w:val="left"/>
        <w:rPr/>
      </w:pPr>
      <w:r>
        <w:rPr/>
        <w:t xml:space="preserve">Industry </w:t>
      </w:r>
    </w:p>
    <w:p>
      <w:pPr>
        <w:pStyle w:val="Normal"/>
        <w:bidi w:val="0"/>
        <w:jc w:val="left"/>
        <w:rPr/>
      </w:pPr>
      <w:r>
        <w:rPr/>
      </w:r>
    </w:p>
    <w:p>
      <w:pPr>
        <w:pStyle w:val="Normal"/>
        <w:bidi w:val="0"/>
        <w:jc w:val="left"/>
        <w:rPr/>
      </w:pPr>
      <w:r>
        <w:rPr/>
        <w:t>Mandatory/Voluntary</w:t>
      </w:r>
    </w:p>
    <w:p>
      <w:pPr>
        <w:pStyle w:val="Normal"/>
        <w:bidi w:val="0"/>
        <w:jc w:val="left"/>
        <w:rPr/>
      </w:pPr>
      <w:r>
        <w:rPr/>
      </w:r>
    </w:p>
    <w:p>
      <w:pPr>
        <w:pStyle w:val="Normal"/>
        <w:bidi w:val="0"/>
        <w:jc w:val="left"/>
        <w:rPr/>
      </w:pPr>
      <w:r>
        <w:rPr/>
        <w:t>SEC Code</w:t>
      </w:r>
    </w:p>
    <w:p>
      <w:pPr>
        <w:pStyle w:val="Normal"/>
        <w:bidi w:val="0"/>
        <w:jc w:val="left"/>
        <w:rPr/>
      </w:pPr>
      <w:r>
        <w:rPr/>
      </w:r>
    </w:p>
    <w:p>
      <w:pPr>
        <w:pStyle w:val="Normal"/>
        <w:bidi w:val="0"/>
        <w:jc w:val="left"/>
        <w:rPr/>
      </w:pPr>
      <w:r>
        <w:rPr/>
        <w:t xml:space="preserve">2003; 2011; 2018 Revised </w:t>
      </w:r>
    </w:p>
    <w:p>
      <w:pPr>
        <w:pStyle w:val="Normal"/>
        <w:bidi w:val="0"/>
        <w:jc w:val="left"/>
        <w:rPr/>
      </w:pPr>
      <w:r>
        <w:rPr/>
      </w:r>
    </w:p>
    <w:p>
      <w:pPr>
        <w:pStyle w:val="Normal"/>
        <w:bidi w:val="0"/>
        <w:jc w:val="left"/>
        <w:rPr/>
      </w:pPr>
      <w:r>
        <w:rPr/>
        <w:t xml:space="preserve">All Listed Companies in the Nigerian Stick Exchange </w:t>
      </w:r>
    </w:p>
    <w:p>
      <w:pPr>
        <w:pStyle w:val="Normal"/>
        <w:bidi w:val="0"/>
        <w:jc w:val="left"/>
        <w:rPr/>
      </w:pPr>
      <w:r>
        <w:rPr/>
      </w:r>
    </w:p>
    <w:p>
      <w:pPr>
        <w:pStyle w:val="Normal"/>
        <w:bidi w:val="0"/>
        <w:jc w:val="left"/>
        <w:rPr/>
      </w:pPr>
      <w:r>
        <w:rPr/>
        <w:t>Voluntary</w:t>
      </w:r>
    </w:p>
    <w:p>
      <w:pPr>
        <w:pStyle w:val="Normal"/>
        <w:bidi w:val="0"/>
        <w:jc w:val="left"/>
        <w:rPr/>
      </w:pPr>
      <w:r>
        <w:rPr/>
      </w:r>
    </w:p>
    <w:p>
      <w:pPr>
        <w:pStyle w:val="Normal"/>
        <w:bidi w:val="0"/>
        <w:jc w:val="left"/>
        <w:rPr/>
      </w:pPr>
      <w:r>
        <w:rPr/>
        <w:t>CBN Code</w:t>
      </w:r>
    </w:p>
    <w:p>
      <w:pPr>
        <w:pStyle w:val="Normal"/>
        <w:bidi w:val="0"/>
        <w:jc w:val="left"/>
        <w:rPr/>
      </w:pPr>
      <w:r>
        <w:rPr/>
      </w:r>
    </w:p>
    <w:p>
      <w:pPr>
        <w:pStyle w:val="Normal"/>
        <w:bidi w:val="0"/>
        <w:jc w:val="left"/>
        <w:rPr/>
      </w:pPr>
      <w:r>
        <w:rPr/>
        <w:t>2006; 2018</w:t>
      </w:r>
    </w:p>
    <w:p>
      <w:pPr>
        <w:pStyle w:val="Normal"/>
        <w:bidi w:val="0"/>
        <w:jc w:val="left"/>
        <w:rPr/>
      </w:pPr>
      <w:r>
        <w:rPr/>
      </w:r>
    </w:p>
    <w:p>
      <w:pPr>
        <w:pStyle w:val="Normal"/>
        <w:bidi w:val="0"/>
        <w:jc w:val="left"/>
        <w:rPr/>
      </w:pPr>
      <w:r>
        <w:rPr/>
        <w:t xml:space="preserve">All Banks </w:t>
      </w:r>
    </w:p>
    <w:p>
      <w:pPr>
        <w:pStyle w:val="Normal"/>
        <w:bidi w:val="0"/>
        <w:jc w:val="left"/>
        <w:rPr/>
      </w:pPr>
      <w:r>
        <w:rPr/>
      </w:r>
    </w:p>
    <w:p>
      <w:pPr>
        <w:pStyle w:val="Normal"/>
        <w:bidi w:val="0"/>
        <w:jc w:val="left"/>
        <w:rPr/>
      </w:pPr>
      <w:r>
        <w:rPr/>
        <w:t xml:space="preserve">Mandatory </w:t>
      </w:r>
    </w:p>
    <w:p>
      <w:pPr>
        <w:pStyle w:val="Normal"/>
        <w:bidi w:val="0"/>
        <w:jc w:val="left"/>
        <w:rPr/>
      </w:pPr>
      <w:r>
        <w:rPr/>
      </w:r>
    </w:p>
    <w:p>
      <w:pPr>
        <w:pStyle w:val="Normal"/>
        <w:bidi w:val="0"/>
        <w:jc w:val="left"/>
        <w:rPr/>
      </w:pPr>
      <w:r>
        <w:rPr/>
        <w:t xml:space="preserve">SEC Code for Shareholders </w:t>
      </w:r>
    </w:p>
    <w:p>
      <w:pPr>
        <w:pStyle w:val="Normal"/>
        <w:bidi w:val="0"/>
        <w:jc w:val="left"/>
        <w:rPr/>
      </w:pPr>
      <w:r>
        <w:rPr/>
      </w:r>
    </w:p>
    <w:p>
      <w:pPr>
        <w:pStyle w:val="Normal"/>
        <w:bidi w:val="0"/>
        <w:jc w:val="left"/>
        <w:rPr/>
      </w:pPr>
      <w:r>
        <w:rPr/>
        <w:t>2007</w:t>
      </w:r>
    </w:p>
    <w:p>
      <w:pPr>
        <w:pStyle w:val="Normal"/>
        <w:bidi w:val="0"/>
        <w:jc w:val="left"/>
        <w:rPr/>
      </w:pPr>
      <w:r>
        <w:rPr/>
      </w:r>
    </w:p>
    <w:p>
      <w:pPr>
        <w:pStyle w:val="Normal"/>
        <w:bidi w:val="0"/>
        <w:jc w:val="left"/>
        <w:rPr/>
      </w:pPr>
      <w:r>
        <w:rPr/>
        <w:t xml:space="preserve">Shareholders’ practitioners and Associations </w:t>
      </w:r>
    </w:p>
    <w:p>
      <w:pPr>
        <w:pStyle w:val="Normal"/>
        <w:bidi w:val="0"/>
        <w:jc w:val="left"/>
        <w:rPr/>
      </w:pPr>
      <w:r>
        <w:rPr/>
      </w:r>
    </w:p>
    <w:p>
      <w:pPr>
        <w:pStyle w:val="Normal"/>
        <w:bidi w:val="0"/>
        <w:jc w:val="left"/>
        <w:rPr/>
      </w:pPr>
      <w:r>
        <w:rPr/>
        <w:t>Voluntary</w:t>
      </w:r>
    </w:p>
    <w:p>
      <w:pPr>
        <w:pStyle w:val="Normal"/>
        <w:bidi w:val="0"/>
        <w:jc w:val="left"/>
        <w:rPr/>
      </w:pPr>
      <w:r>
        <w:rPr/>
      </w:r>
    </w:p>
    <w:p>
      <w:pPr>
        <w:pStyle w:val="Normal"/>
        <w:bidi w:val="0"/>
        <w:jc w:val="left"/>
        <w:rPr/>
      </w:pPr>
      <w:r>
        <w:rPr/>
        <w:t>PENCOM</w:t>
      </w:r>
    </w:p>
    <w:p>
      <w:pPr>
        <w:pStyle w:val="Normal"/>
        <w:bidi w:val="0"/>
        <w:jc w:val="left"/>
        <w:rPr/>
      </w:pPr>
      <w:r>
        <w:rPr/>
      </w:r>
    </w:p>
    <w:p>
      <w:pPr>
        <w:pStyle w:val="Normal"/>
        <w:bidi w:val="0"/>
        <w:jc w:val="left"/>
        <w:rPr/>
      </w:pPr>
      <w:r>
        <w:rPr/>
        <w:t>2008</w:t>
      </w:r>
    </w:p>
    <w:p>
      <w:pPr>
        <w:pStyle w:val="Normal"/>
        <w:bidi w:val="0"/>
        <w:jc w:val="left"/>
        <w:rPr/>
      </w:pPr>
      <w:r>
        <w:rPr/>
      </w:r>
    </w:p>
    <w:p>
      <w:pPr>
        <w:pStyle w:val="Normal"/>
        <w:bidi w:val="0"/>
        <w:jc w:val="left"/>
        <w:rPr/>
      </w:pPr>
      <w:r>
        <w:rPr/>
        <w:t xml:space="preserve">Licensed Operators </w:t>
      </w:r>
    </w:p>
    <w:p>
      <w:pPr>
        <w:pStyle w:val="Normal"/>
        <w:bidi w:val="0"/>
        <w:jc w:val="left"/>
        <w:rPr/>
      </w:pPr>
      <w:r>
        <w:rPr/>
      </w:r>
    </w:p>
    <w:p>
      <w:pPr>
        <w:pStyle w:val="Normal"/>
        <w:bidi w:val="0"/>
        <w:jc w:val="left"/>
        <w:rPr/>
      </w:pPr>
      <w:r>
        <w:rPr/>
        <w:t>Mandatory</w:t>
      </w:r>
    </w:p>
    <w:p>
      <w:pPr>
        <w:pStyle w:val="Normal"/>
        <w:bidi w:val="0"/>
        <w:jc w:val="left"/>
        <w:rPr/>
      </w:pPr>
      <w:r>
        <w:rPr/>
      </w:r>
    </w:p>
    <w:p>
      <w:pPr>
        <w:pStyle w:val="Normal"/>
        <w:bidi w:val="0"/>
        <w:jc w:val="left"/>
        <w:rPr/>
      </w:pPr>
      <w:r>
        <w:rPr/>
        <w:t>NAICOM</w:t>
      </w:r>
    </w:p>
    <w:p>
      <w:pPr>
        <w:pStyle w:val="Normal"/>
        <w:bidi w:val="0"/>
        <w:jc w:val="left"/>
        <w:rPr/>
      </w:pPr>
      <w:r>
        <w:rPr/>
      </w:r>
    </w:p>
    <w:p>
      <w:pPr>
        <w:pStyle w:val="Normal"/>
        <w:bidi w:val="0"/>
        <w:jc w:val="left"/>
        <w:rPr/>
      </w:pPr>
      <w:r>
        <w:rPr/>
        <w:t>2009</w:t>
      </w:r>
    </w:p>
    <w:p>
      <w:pPr>
        <w:pStyle w:val="Normal"/>
        <w:bidi w:val="0"/>
        <w:jc w:val="left"/>
        <w:rPr/>
      </w:pPr>
      <w:r>
        <w:rPr/>
      </w:r>
    </w:p>
    <w:p>
      <w:pPr>
        <w:pStyle w:val="Normal"/>
        <w:bidi w:val="0"/>
        <w:jc w:val="left"/>
        <w:rPr/>
      </w:pPr>
      <w:r>
        <w:rPr/>
        <w:t xml:space="preserve">Insurance Companies </w:t>
      </w:r>
    </w:p>
    <w:p>
      <w:pPr>
        <w:pStyle w:val="Normal"/>
        <w:bidi w:val="0"/>
        <w:jc w:val="left"/>
        <w:rPr/>
      </w:pPr>
      <w:r>
        <w:rPr/>
      </w:r>
    </w:p>
    <w:p>
      <w:pPr>
        <w:pStyle w:val="Normal"/>
        <w:bidi w:val="0"/>
        <w:jc w:val="left"/>
        <w:rPr/>
      </w:pPr>
      <w:r>
        <w:rPr/>
        <w:t>Mandatory</w:t>
      </w:r>
    </w:p>
    <w:p>
      <w:pPr>
        <w:pStyle w:val="Normal"/>
        <w:bidi w:val="0"/>
        <w:jc w:val="left"/>
        <w:rPr/>
      </w:pPr>
      <w:r>
        <w:rPr/>
      </w:r>
    </w:p>
    <w:p>
      <w:pPr>
        <w:pStyle w:val="Normal"/>
        <w:bidi w:val="0"/>
        <w:jc w:val="left"/>
        <w:rPr/>
      </w:pPr>
      <w:r>
        <w:rPr/>
        <w:t xml:space="preserve">Figure 1.3: Table of Voluntary and Mandatory Codes in Nigeria </w:t>
      </w:r>
    </w:p>
    <w:p>
      <w:pPr>
        <w:pStyle w:val="Normal"/>
        <w:bidi w:val="0"/>
        <w:jc w:val="left"/>
        <w:rPr/>
      </w:pPr>
      <w:r>
        <w:rPr/>
      </w:r>
    </w:p>
    <w:p>
      <w:pPr>
        <w:pStyle w:val="Normal"/>
        <w:bidi w:val="0"/>
        <w:jc w:val="left"/>
        <w:rPr/>
      </w:pPr>
      <w:r>
        <w:rPr/>
        <w:t>2 | Page</w:t>
      </w:r>
    </w:p>
    <w:p>
      <w:pPr>
        <w:pStyle w:val="Normal"/>
        <w:bidi w:val="0"/>
        <w:jc w:val="left"/>
        <w:rPr/>
      </w:pPr>
      <w:r>
        <w:rPr/>
      </w:r>
    </w:p>
    <w:p>
      <w:pPr>
        <w:pStyle w:val="Normal"/>
        <w:bidi w:val="0"/>
        <w:jc w:val="left"/>
        <w:rPr/>
      </w:pPr>
      <w:r>
        <w:rPr/>
        <w:t xml:space="preserve">However, the existence of multiple codes within a single country can address the specific needs of different firms and industries (Engle 2007, Moghalu 2011). Despite its potential benefits, this approach to corporate governance is also met with controversy (See Figure 1.2 and 1.3). Some argue that multiple self-regulatory codes increase investor confidence (Macey and O’Hara, 2003, BCBS, 2005, BCBS 2006; Hoffmann, 1998), while others argue that it creates an environment of uncertainty and lack of cohesion among firms (Agebite, 2014). Additionally, this uncertainty of applicable code can lead to weak enforcement and difficulty in distinguishing between firms that comply with good governance practices and those that do not, as the is the case in Nigeria (Brooks, 1989, Abdulmalik 2020, Wilson 2006) (Figure 1.2 &amp; 1.3). </w:t>
      </w:r>
    </w:p>
    <w:p>
      <w:pPr>
        <w:pStyle w:val="Normal"/>
        <w:bidi w:val="0"/>
        <w:jc w:val="left"/>
        <w:rPr/>
      </w:pPr>
      <w:r>
        <w:rPr/>
      </w:r>
    </w:p>
    <w:p>
      <w:pPr>
        <w:pStyle w:val="Normal"/>
        <w:bidi w:val="0"/>
        <w:jc w:val="left"/>
        <w:rPr/>
      </w:pPr>
      <w:r>
        <w:rPr/>
        <w:t>The reality of regulatory multicity is illustrated by Brooks (1989), who identifies the challenges with Multiplicity of codes in Canada (See Figure 1.2). Applying the same theoretical concept Nigerian banks may be subject to codes established by internal policies, as well as the regulations imposed by regulators with respect to their operations in Ghana. Additionally, banks may also be governed by a separate code of the Nigerian Stock Exchange and the Securities Exchange Commission, leading to ambiguity regarding the enforceability of these multiple codes (See Figure 1.2). A present example of regulatory multiplicity in the financial industry is the collision between the Financial Reporting Council of Nigeria (FRCN) code and Central Bank of Nigeria (CBN) codes. In a peculiar case the Central Bank of Nigeria retrained Stanbic Bank from complying with the regulations of the Financial Reporting Council of Nigeria stating that as the CBN is the apex regulator in Nigeria the CBN is error free (Abdulmalik, 2020, Udo 2020). The FRCN dismissed the action stating that the CBN was not competent to review the action of the FRCN as a regulatory body. The challenge posed by the presence of multiple regulatory bodies in the financial sector is a source of ambiguity. According to Section 1.3 G of the Central Bank of Nigeria (CBN) Code 2011, in the event of a discrepancy between codes, firms are obligated to adhere to the more stringent code. However, some industry-specific regulatory entities, such as the National Pension Commission (PENCOM) and the National Insurance Commission (NAICOM), impose mandatory compliance with their respective codes (See Figure 1.2).</w:t>
      </w:r>
    </w:p>
    <w:p>
      <w:pPr>
        <w:pStyle w:val="Normal"/>
        <w:bidi w:val="0"/>
        <w:jc w:val="left"/>
        <w:rPr/>
      </w:pPr>
      <w:r>
        <w:rPr/>
      </w:r>
    </w:p>
    <w:p>
      <w:pPr>
        <w:pStyle w:val="Normal"/>
        <w:bidi w:val="0"/>
        <w:jc w:val="left"/>
        <w:rPr/>
      </w:pPr>
      <w:r>
        <w:rPr/>
        <w:t xml:space="preserve">To provide a full understanding the issues and challenges caused by Regulatory Multiplicity in Nigeria two questions are fundamental. What are the important factors that contribute to information transparency between manager, shareholder including stakeholders? Secondly, what role does the Board of Directors and Audit committee play in ensuring information transparency? Through the brief assessment of these issues this paper aims to evaluate Nigeria’s intuitional setting and pinpoint specific issues required to establish an precise and effective regulatory framework.  </w:t>
      </w:r>
    </w:p>
    <w:p>
      <w:pPr>
        <w:pStyle w:val="Normal"/>
        <w:bidi w:val="0"/>
        <w:jc w:val="left"/>
        <w:rPr/>
      </w:pPr>
      <w:r>
        <w:rPr/>
      </w:r>
    </w:p>
    <w:p>
      <w:pPr>
        <w:pStyle w:val="Normal"/>
        <w:bidi w:val="0"/>
        <w:jc w:val="left"/>
        <w:rPr/>
      </w:pPr>
      <w:r>
        <w:rPr/>
        <w:t>What are the important factors that contribute to information transparency between manager, shareholder including stakeholders?</w:t>
      </w:r>
    </w:p>
    <w:p>
      <w:pPr>
        <w:pStyle w:val="Normal"/>
        <w:bidi w:val="0"/>
        <w:jc w:val="left"/>
        <w:rPr/>
      </w:pPr>
      <w:r>
        <w:rPr/>
      </w:r>
    </w:p>
    <w:p>
      <w:pPr>
        <w:pStyle w:val="Normal"/>
        <w:bidi w:val="0"/>
        <w:jc w:val="left"/>
        <w:rPr/>
      </w:pPr>
      <w:r>
        <w:rPr/>
        <w:t xml:space="preserve">In addressing the apparent conflict between manager, shareholder including stakeholders, quality accounting is essential (Bushman, 2001). In discharging the accountability duty of managers, the quality and voluntary nature of the annual report is essential which shapes stakeholders perception of the strength of the company (Song et al. 2004, Coy et al 1998 ). In order to catalyze information transparency between manager and shareholder including stakeholders accounting regulators are the focal point that determine the level of disclosure aimed at reducing information asymmetry. According to Adegbite et al (2012) regulators that ensure the credible disbursement of information in Nigeria is weak, this is coupled with the additional weakness of corporate law enforcement in Nigeria. </w:t>
      </w:r>
    </w:p>
    <w:p>
      <w:pPr>
        <w:pStyle w:val="Normal"/>
        <w:bidi w:val="0"/>
        <w:jc w:val="left"/>
        <w:rPr/>
      </w:pPr>
      <w:r>
        <w:rPr/>
      </w:r>
    </w:p>
    <w:p>
      <w:pPr>
        <w:pStyle w:val="Normal"/>
        <w:bidi w:val="0"/>
        <w:jc w:val="left"/>
        <w:rPr/>
      </w:pPr>
      <w:r>
        <w:rPr/>
        <w:t xml:space="preserve">Currently the FRCN and the Nigerian Securities and exchange Commission (NSEC) regulate the required disclosure of financial regulations, in addition to industry specific regulators for listed companies in Nigeria. The two main factor that cause institutional weakness of accounting regulations in Nigeria are: weak enforcement and regulatory multiplicity (Adegbite et al 2014, Adegbite et al, 2012). Although there may be a rationale for Nigeria to adopt International Financial Reporting Standards (IFRS), Ball (2006) argues that the regulatory environment has a greater impact on the quality of accounting disclosure than the adoption of IFRS alone. In other words, there can be no effective result from the adoption of international best accounting practices without a concise regulatory framework in place. Due to regulatory multiply, listed companies prepare different account to satisfy different regulatory bodies (Abdulmalik, 2020). Where the audit committee prepare conflicting accounts to satisfy the saturation of regulators there can only be a lack of quality reporting. </w:t>
      </w:r>
    </w:p>
    <w:p>
      <w:pPr>
        <w:pStyle w:val="Normal"/>
        <w:bidi w:val="0"/>
        <w:jc w:val="left"/>
        <w:rPr/>
      </w:pPr>
      <w:r>
        <w:rPr/>
      </w:r>
    </w:p>
    <w:p>
      <w:pPr>
        <w:pStyle w:val="Normal"/>
        <w:bidi w:val="0"/>
        <w:jc w:val="left"/>
        <w:rPr/>
      </w:pPr>
      <w:r>
        <w:rPr/>
        <w:t xml:space="preserve">It seems that regulators are either unwilling or incapable (due to lack of resources as a result of multifarious regulators) to take on their constitutional duty of enforcing compliance and sanctioning violators leading to major deficiencies on accounting report quality in Nigeria. Therefore it can be concluded, from the above, that multiplicity of accounting regulations and lack of proper market forces (regulators) depict annual report as, a source of information transparency, as trivial in presenting the financial health of companies to shareholder and stakeholders. </w:t>
      </w:r>
    </w:p>
    <w:p>
      <w:pPr>
        <w:pStyle w:val="Normal"/>
        <w:bidi w:val="0"/>
        <w:jc w:val="left"/>
        <w:rPr/>
      </w:pPr>
      <w:r>
        <w:rPr/>
      </w:r>
    </w:p>
    <w:p>
      <w:pPr>
        <w:pStyle w:val="Normal"/>
        <w:bidi w:val="0"/>
        <w:jc w:val="left"/>
        <w:rPr/>
      </w:pPr>
      <w:r>
        <w:rPr/>
        <w:t>What role does the Board of Directors and Audit committee play in ensuring information transparency?</w:t>
      </w:r>
    </w:p>
    <w:p>
      <w:pPr>
        <w:pStyle w:val="Normal"/>
        <w:bidi w:val="0"/>
        <w:jc w:val="left"/>
        <w:rPr/>
      </w:pPr>
      <w:r>
        <w:rPr/>
      </w:r>
    </w:p>
    <w:p>
      <w:pPr>
        <w:pStyle w:val="Normal"/>
        <w:bidi w:val="0"/>
        <w:jc w:val="left"/>
        <w:rPr/>
      </w:pPr>
      <w:r>
        <w:rPr/>
        <w:t>As disused in the introductory chapter the primary functions of the Board of Director and Audit Committee is to advise management and monitor management in order to control agency conflict. To discharge this function a balance of internal knowledge of the corporation, external industry knowledge is required and independence is required. Directors and auditor appointment and the structure of the Board of Director and Audit Committee  is vital to the improvement or detriment of Board of Director and Audit Committee independence. Highlighting the importance of the nomination committee of a corporation. According to study undertaken in Nigeria, 39% of bank boards have a nominating committee, despite the fact that the CBN does not require it. Yet, this committee is regarded as an indispensable element of worldwide best practises. In contrast, the Companies Act (2008) mandates that the articles of incorporation contain an audit committee. As seen in Figures 1.2 and 1.3, it is possible to argue that the Nigerian banking industry is not in conformity with global best practises due to the absence of required nomination committees in most western regulations (Ogbechie, 2016). The 2011 Nigerian code of corporate governance contains provisions for board structure, specifically advocating for a composition of both executive and non-executive directors. In contrast, the regulations of the SEC are deemed insufficient with respect to board composition. The significant reliance on non-binding regulations regarding board composition has directly contributed to a multi-billion dollar scandal in Nigeria involving senior bank executives. This observation has been aptly summarized by the Governor of the Central Bank of Nigeria, Mr. Sanausi.</w:t>
      </w:r>
    </w:p>
    <w:p>
      <w:pPr>
        <w:pStyle w:val="Normal"/>
        <w:bidi w:val="0"/>
        <w:jc w:val="left"/>
        <w:rPr/>
      </w:pPr>
      <w:r>
        <w:rPr/>
      </w:r>
    </w:p>
    <w:p>
      <w:pPr>
        <w:pStyle w:val="Normal"/>
        <w:bidi w:val="0"/>
        <w:jc w:val="left"/>
        <w:rPr/>
      </w:pPr>
      <w:r>
        <w:rPr/>
        <w:t xml:space="preserve"> “</w:t>
      </w:r>
      <w:r>
        <w:rPr/>
        <w:t>Corporate governance in many banks failed because boards ignored these practices for reasons including being misled by executive management, participating themselves in obtaining unsecured loans at the expenses of depositors and not having the qualification to enforce good governance on bank management... The Banks chairman/CEO often had an overbearing influence on the board and some board lacked independence; directors often failed to make contributions to safeguard and development of the bank and had weak ethical standards, the board committees were often inefficient or dormant” (Saunsi, 2010)</w:t>
      </w:r>
    </w:p>
    <w:p>
      <w:pPr>
        <w:pStyle w:val="Normal"/>
        <w:bidi w:val="0"/>
        <w:jc w:val="left"/>
        <w:rPr/>
      </w:pPr>
      <w:r>
        <w:rPr/>
      </w:r>
    </w:p>
    <w:p>
      <w:pPr>
        <w:pStyle w:val="Normal"/>
        <w:bidi w:val="0"/>
        <w:jc w:val="left"/>
        <w:rPr/>
      </w:pPr>
      <w:r>
        <w:rPr/>
        <w:t>The typical corporate governance codes prescribe that the Board of Directors should establish a nomination committee to identify and select new members. However, it is a cause for concern that the primary hard law regulations governing financial regulations in Nigeria (CBN code) do not make this requirement mandatory (See Figure 1.3). Drawing from agency theory, the Board of Directors plays a crucial role in the internal monitoring and control mechanisms of the firm and its managers. Thus, it is crucial that nomination committees are structured without bias to raise directors' qualifications and board independence. An effective nomination committee with the purpose of selecting the "right" person for the Audit Committee and Board of Directors, free from ownership influence, can help mitigate issues of effective board composition, effectiveness, and performance (Ruigrok, 2006). However, as noted by Useem (2003) and Monks and Minow (2004), this is often not the case.</w:t>
      </w:r>
    </w:p>
    <w:p>
      <w:pPr>
        <w:pStyle w:val="Normal"/>
        <w:bidi w:val="0"/>
        <w:jc w:val="left"/>
        <w:rPr/>
      </w:pPr>
      <w:r>
        <w:rPr/>
      </w:r>
    </w:p>
    <w:p>
      <w:pPr>
        <w:pStyle w:val="Normal"/>
        <w:bidi w:val="0"/>
        <w:jc w:val="left"/>
        <w:rPr/>
      </w:pPr>
      <w:r>
        <w:rPr/>
        <w:t>Empirical studies in Western contexts have established a significant positive effect of an ineffective Nomination Committee on company performance (Daily, 2003). However, in West African contexts, diminutive empirical studies have shown that Nomination Committees have either a non-significant or negative effect on company performance (Owolabi, 2019, Puni 2015, Adegboye 2020, Osemene et al 2018, Olayinka 2019). As discussed earlier, this is expected since empirical data cannot account for the social phenomena in the selection process of Nomination Committee members influenced by concentrated ownership structures. In other words, owners of banks have influence on the selection process of Nomination Committee directors, leading to a null assessment when correlating Nomination Committee to performance metrics. An independent Nomination Committee member in the financial statement may be an inside director in actuality. This justifies the need for an epistemological and ontological investigation, as conducted in this study, to gain a true understanding of the effects that board committees and ownership structures have on the risk of bank default.</w:t>
      </w:r>
    </w:p>
    <w:p>
      <w:pPr>
        <w:pStyle w:val="Normal"/>
        <w:bidi w:val="0"/>
        <w:jc w:val="left"/>
        <w:rPr/>
      </w:pPr>
      <w:r>
        <w:rPr/>
      </w:r>
    </w:p>
    <w:p>
      <w:pPr>
        <w:pStyle w:val="Normal"/>
        <w:bidi w:val="0"/>
        <w:jc w:val="left"/>
        <w:rPr/>
      </w:pPr>
      <w:r>
        <w:rPr/>
        <w:t xml:space="preserve">In theory, in Nigeria, boards are independent. However, this is not reflected in practice has ownership structure has undue influence of the selection process of the Board of Directors and board committees (Osemene et al 2018, Puni 2015, Olayinka 2019). Additionally, the principle of COE duality is encapsulated in to the Nigerian Code of Good governance 2011, however in practice, as noted by Adegbite (2014) this usually not the case in listed companies where Chairmen are CEO of their companies. Supporting the argument of the undue influence ownership structures have on the board and its committees. </w:t>
      </w:r>
    </w:p>
    <w:p>
      <w:pPr>
        <w:pStyle w:val="Normal"/>
        <w:bidi w:val="0"/>
        <w:jc w:val="left"/>
        <w:rPr/>
      </w:pPr>
      <w:r>
        <w:rPr/>
      </w:r>
    </w:p>
    <w:p>
      <w:pPr>
        <w:pStyle w:val="Normal"/>
        <w:bidi w:val="0"/>
        <w:jc w:val="left"/>
        <w:rPr/>
      </w:pPr>
      <w:r>
        <w:rPr/>
        <w:t>This warrant the social phenomenal approach in this study in underdoing the true nature of board committee structure and its effect on the bank default. As shown by Section 359 (4) of CAMA, which stipulates that Audit Committees must have an equal number of insiders of board directors and shareholders, the statutory criteria for Audit Committees in Nigeria appear to be insufficient (Adegbite, 2014; Ofo, 2010). This compilation of concerns pertaining to board committees has resulted in many Nigerian public businesses having Audit Committees that accept financial statements without adequately scrutinising their contents, potentially favouring managers and majority shareholders (Adegbite, 2014; Modum, 2012; Abdulmalik, 2020).</w:t>
      </w:r>
    </w:p>
    <w:p>
      <w:pPr>
        <w:pStyle w:val="Normal"/>
        <w:bidi w:val="0"/>
        <w:jc w:val="left"/>
        <w:rPr/>
      </w:pPr>
      <w:r>
        <w:rPr/>
      </w:r>
    </w:p>
    <w:p>
      <w:pPr>
        <w:pStyle w:val="Normal"/>
        <w:bidi w:val="0"/>
        <w:jc w:val="left"/>
        <w:rPr/>
      </w:pPr>
      <w:r>
        <w:rPr/>
        <w:t>1.4: The Effect of corporate governance on default risk in commercial banks</w:t>
      </w:r>
    </w:p>
    <w:p>
      <w:pPr>
        <w:pStyle w:val="Normal"/>
        <w:bidi w:val="0"/>
        <w:jc w:val="left"/>
        <w:rPr/>
      </w:pPr>
      <w:r>
        <w:rPr/>
      </w:r>
    </w:p>
    <w:p>
      <w:pPr>
        <w:pStyle w:val="Normal"/>
        <w:bidi w:val="0"/>
        <w:jc w:val="left"/>
        <w:rPr/>
      </w:pPr>
      <w:r>
        <w:rPr/>
        <w:t xml:space="preserve">Ownership structure has a significant impact on the risk of default in commercial banks. Studies have found that commercial banks with more independent boards are associated with lower risk of default (Switzer 2018). Only a few studies have investigated the effect of governance practices on non-US companies (Beltratti and Stulz, 2012, Liu, Uchida, and Yang, 2012). During the financial crises of 2009 global banks with shareholder that had significant influence on board of directors had higher default risks. While boards less shareholder friendly boards, during the same time period performed better (Liu, Uchida, and Yang 2012). </w:t>
      </w:r>
    </w:p>
    <w:p>
      <w:pPr>
        <w:pStyle w:val="Normal"/>
        <w:bidi w:val="0"/>
        <w:jc w:val="left"/>
        <w:rPr/>
      </w:pPr>
      <w:r>
        <w:rPr/>
      </w:r>
    </w:p>
    <w:p>
      <w:pPr>
        <w:pStyle w:val="Normal"/>
        <w:bidi w:val="0"/>
        <w:jc w:val="left"/>
        <w:rPr/>
      </w:pPr>
      <w:r>
        <w:rPr/>
        <w:t>Agency problem arising from ownership structures that affect default risk has been a key tenant in corporate governance literature. Jensen and Mackling (1976) identified two types of corporate conflicts: the agency conflict between managers and shareholders and the conflict between shareholders and bondholders based on the moral hazard issue. These issues are mitigated by instituting corporate governance measures. The underlying moral hazard problem in the manager-shareholder conflict can be reduced through the use of debt financing, which restricts a corporation's free cash flow and prevents managers from investing in wasteful or self-serving ventures. (Jensen 1986, Stulz 1991, Grossman and Hart, 1982). However, increased debt financing increases conflict between shareholder and bond holders and increases the agency cost of debt (Switzer 2018). Shareholders tend to invest in risker projects at the expense of creditors which has the effect of wealth transfer from bond-holders to shareholders referred to as the risk shifting problem (Jensen and Meckling 1976). Hence the reason for shareholder are risk averse in companies with higher levels of debt that require value increasing projects when a company is in financial difficulty. This explains the debt overhanging problem. Companies may aim to mitigate this issue by constructing strict covenants in order to reduce the agency cost of debt financing. However strict covenants do not provide an adequate solution to this problem (Smith and Warner, 1979).</w:t>
      </w:r>
    </w:p>
    <w:p>
      <w:pPr>
        <w:pStyle w:val="Normal"/>
        <w:bidi w:val="0"/>
        <w:jc w:val="left"/>
        <w:rPr/>
      </w:pPr>
      <w:r>
        <w:rPr/>
      </w:r>
    </w:p>
    <w:p>
      <w:pPr>
        <w:pStyle w:val="Normal"/>
        <w:bidi w:val="0"/>
        <w:jc w:val="left"/>
        <w:rPr/>
      </w:pPr>
      <w:r>
        <w:rPr/>
        <w:t xml:space="preserve">1.5: Regulatory Multiplicity </w:t>
      </w:r>
    </w:p>
    <w:p>
      <w:pPr>
        <w:pStyle w:val="Normal"/>
        <w:bidi w:val="0"/>
        <w:jc w:val="left"/>
        <w:rPr/>
      </w:pPr>
      <w:r>
        <w:rPr/>
      </w:r>
    </w:p>
    <w:p>
      <w:pPr>
        <w:pStyle w:val="Normal"/>
        <w:bidi w:val="0"/>
        <w:jc w:val="left"/>
        <w:rPr/>
      </w:pPr>
      <w:r>
        <w:rPr/>
        <w:t xml:space="preserve">As highlighted, Nigerian commercial banks are faced with the challenge of conflicting regulatory codes. Specifically, these codes are found to be in opposition with one another, thereby creating a discrepancy that poses a significant concern for stakeholders. This calls for a comprehensive examination and evaluation of the codes in question, as well as the implementation and enforcement thereof, in order to address this issue and minimize its potential negative effects on the operations of banks. A recent study by by Osemeke and Adebite (2016) which investigated regulatory multiplicity in Nigeria has revealed that a substantial percentage (67%) of respondents concur that there exist disparities among codes, a finding that has elicited significant concern among stakeholders (See Figure 1.4). This highlights the need for a thorough examination of the codes in question, as well as the implementation and enforcement thereof, in order to address this issue and mitigate its potential negative impacts. Furthermore, a staggering 80% of those surveyed concurred that the codes within the industry are compacted, highlighting a pressing need for examination and resolution of this issue (See Figure 1.4). This finding is particularly concerning as it implies that the operations of these commercial banks may be hindered by the presence of these conflicting codes. (See Figure 1.4). Therefore, this on of the central tenants of this study (including investing the effect of Audit Committee and Nomination committee on the risk of bank default)  focuses on the issue of regulatory multiplicity in the Nigerian banking industry. </w:t>
      </w:r>
    </w:p>
    <w:p>
      <w:pPr>
        <w:pStyle w:val="Normal"/>
        <w:bidi w:val="0"/>
        <w:jc w:val="left"/>
        <w:rPr/>
      </w:pPr>
      <w:r>
        <w:rPr/>
      </w:r>
    </w:p>
    <w:p>
      <w:pPr>
        <w:pStyle w:val="Normal"/>
        <w:bidi w:val="0"/>
        <w:jc w:val="left"/>
        <w:rPr/>
      </w:pPr>
      <w:r>
        <w:rPr/>
        <w:t xml:space="preserve">Figure 1.4: Conflict of the Various Codes. Osemeke, L. &amp; Adegbite, E. (2016), "Regulatory multiplicity and conflict: Towards a combined code on corporate governance in Nigeria", </w:t>
      </w:r>
    </w:p>
    <w:p>
      <w:pPr>
        <w:pStyle w:val="Normal"/>
        <w:bidi w:val="0"/>
        <w:jc w:val="left"/>
        <w:rPr/>
      </w:pPr>
      <w:r>
        <w:rPr/>
      </w:r>
    </w:p>
    <w:p>
      <w:pPr>
        <w:pStyle w:val="Normal"/>
        <w:bidi w:val="0"/>
        <w:jc w:val="left"/>
        <w:rPr/>
      </w:pPr>
      <w:r>
        <w:rPr/>
      </w:r>
    </w:p>
    <w:p>
      <w:pPr>
        <w:pStyle w:val="Normal"/>
        <w:bidi w:val="0"/>
        <w:jc w:val="left"/>
        <w:rPr/>
      </w:pPr>
      <w:r>
        <w:rPr/>
        <w:t>2 | Page</w:t>
      </w:r>
    </w:p>
    <w:p>
      <w:pPr>
        <w:pStyle w:val="Normal"/>
        <w:bidi w:val="0"/>
        <w:jc w:val="left"/>
        <w:rPr/>
      </w:pPr>
      <w:r>
        <w:rPr/>
      </w:r>
    </w:p>
    <w:p>
      <w:pPr>
        <w:pStyle w:val="Normal"/>
        <w:bidi w:val="0"/>
        <w:jc w:val="left"/>
        <w:rPr/>
      </w:pPr>
      <w:r>
        <w:rPr/>
        <w:t xml:space="preserve">Figure 1.4: Conflict of the Various Codes. Osemeke, L. &amp; Adegbite, E. (2016), "Regulatory multiplicity and conflict: Towards a combined code on corporate governance in Nigeria", </w:t>
      </w:r>
    </w:p>
    <w:p>
      <w:pPr>
        <w:pStyle w:val="Normal"/>
        <w:bidi w:val="0"/>
        <w:jc w:val="left"/>
        <w:rPr/>
      </w:pPr>
      <w:r>
        <w:rPr/>
      </w:r>
    </w:p>
    <w:p>
      <w:pPr>
        <w:pStyle w:val="Normal"/>
        <w:bidi w:val="0"/>
        <w:jc w:val="left"/>
        <w:rPr/>
      </w:pPr>
      <w:r>
        <w:rPr/>
        <w:t>Conflict of the Various Codes</w:t>
      </w:r>
    </w:p>
    <w:p>
      <w:pPr>
        <w:pStyle w:val="Normal"/>
        <w:bidi w:val="0"/>
        <w:jc w:val="left"/>
        <w:rPr/>
      </w:pPr>
      <w:r>
        <w:rPr/>
      </w:r>
    </w:p>
    <w:p>
      <w:pPr>
        <w:pStyle w:val="Normal"/>
        <w:bidi w:val="0"/>
        <w:jc w:val="left"/>
        <w:rPr/>
      </w:pPr>
      <w:r>
        <w:rPr/>
        <w:t>Companies</w:t>
      </w:r>
    </w:p>
    <w:p>
      <w:pPr>
        <w:pStyle w:val="Normal"/>
        <w:bidi w:val="0"/>
        <w:jc w:val="left"/>
        <w:rPr/>
      </w:pPr>
      <w:r>
        <w:rPr/>
      </w:r>
    </w:p>
    <w:p>
      <w:pPr>
        <w:pStyle w:val="Normal"/>
        <w:bidi w:val="0"/>
        <w:jc w:val="left"/>
        <w:rPr/>
      </w:pPr>
      <w:r>
        <w:rPr/>
        <w:t>Yes</w:t>
      </w:r>
    </w:p>
    <w:p>
      <w:pPr>
        <w:pStyle w:val="Normal"/>
        <w:bidi w:val="0"/>
        <w:jc w:val="left"/>
        <w:rPr/>
      </w:pPr>
      <w:r>
        <w:rPr/>
      </w:r>
    </w:p>
    <w:p>
      <w:pPr>
        <w:pStyle w:val="Normal"/>
        <w:bidi w:val="0"/>
        <w:jc w:val="left"/>
        <w:rPr/>
      </w:pPr>
      <w:r>
        <w:rPr/>
        <w:t>No</w:t>
      </w:r>
    </w:p>
    <w:p>
      <w:pPr>
        <w:pStyle w:val="Normal"/>
        <w:bidi w:val="0"/>
        <w:jc w:val="left"/>
        <w:rPr/>
      </w:pPr>
      <w:r>
        <w:rPr/>
      </w:r>
    </w:p>
    <w:p>
      <w:pPr>
        <w:pStyle w:val="Normal"/>
        <w:bidi w:val="0"/>
        <w:jc w:val="left"/>
        <w:rPr/>
      </w:pPr>
      <w:r>
        <w:rPr/>
        <w:t>Did not Specify</w:t>
      </w:r>
    </w:p>
    <w:p>
      <w:pPr>
        <w:pStyle w:val="Normal"/>
        <w:bidi w:val="0"/>
        <w:jc w:val="left"/>
        <w:rPr/>
      </w:pPr>
      <w:r>
        <w:rPr/>
      </w:r>
    </w:p>
    <w:p>
      <w:pPr>
        <w:pStyle w:val="Normal"/>
        <w:bidi w:val="0"/>
        <w:jc w:val="left"/>
        <w:rPr/>
      </w:pPr>
      <w:r>
        <w:rPr/>
        <w:t>Total</w:t>
      </w:r>
    </w:p>
    <w:p>
      <w:pPr>
        <w:pStyle w:val="Normal"/>
        <w:bidi w:val="0"/>
        <w:jc w:val="left"/>
        <w:rPr/>
      </w:pPr>
      <w:r>
        <w:rPr/>
      </w:r>
    </w:p>
    <w:p>
      <w:pPr>
        <w:pStyle w:val="Normal"/>
        <w:bidi w:val="0"/>
        <w:jc w:val="left"/>
        <w:rPr/>
      </w:pPr>
      <w:r>
        <w:rPr/>
        <w:t xml:space="preserve">Commercial Banks </w:t>
      </w:r>
    </w:p>
    <w:p>
      <w:pPr>
        <w:pStyle w:val="Normal"/>
        <w:bidi w:val="0"/>
        <w:jc w:val="left"/>
        <w:rPr/>
      </w:pPr>
      <w:r>
        <w:rPr/>
      </w:r>
    </w:p>
    <w:p>
      <w:pPr>
        <w:pStyle w:val="Normal"/>
        <w:bidi w:val="0"/>
        <w:jc w:val="left"/>
        <w:rPr/>
      </w:pPr>
      <w:r>
        <w:rPr/>
        <w:t>21</w:t>
      </w:r>
    </w:p>
    <w:p>
      <w:pPr>
        <w:pStyle w:val="Normal"/>
        <w:bidi w:val="0"/>
        <w:jc w:val="left"/>
        <w:rPr/>
      </w:pPr>
      <w:r>
        <w:rPr/>
      </w:r>
    </w:p>
    <w:p>
      <w:pPr>
        <w:pStyle w:val="Normal"/>
        <w:bidi w:val="0"/>
        <w:jc w:val="left"/>
        <w:rPr/>
      </w:pPr>
      <w:r>
        <w:rPr/>
        <w:t>5</w:t>
      </w:r>
    </w:p>
    <w:p>
      <w:pPr>
        <w:pStyle w:val="Normal"/>
        <w:bidi w:val="0"/>
        <w:jc w:val="left"/>
        <w:rPr/>
      </w:pPr>
      <w:r>
        <w:rPr/>
      </w:r>
    </w:p>
    <w:p>
      <w:pPr>
        <w:pStyle w:val="Normal"/>
        <w:bidi w:val="0"/>
        <w:jc w:val="left"/>
        <w:rPr/>
      </w:pPr>
      <w:r>
        <w:rPr/>
        <w:t>0</w:t>
      </w:r>
    </w:p>
    <w:p>
      <w:pPr>
        <w:pStyle w:val="Normal"/>
        <w:bidi w:val="0"/>
        <w:jc w:val="left"/>
        <w:rPr/>
      </w:pPr>
      <w:r>
        <w:rPr/>
      </w:r>
    </w:p>
    <w:p>
      <w:pPr>
        <w:pStyle w:val="Normal"/>
        <w:bidi w:val="0"/>
        <w:jc w:val="left"/>
        <w:rPr/>
      </w:pPr>
      <w:r>
        <w:rPr/>
        <w:t>26</w:t>
      </w:r>
    </w:p>
    <w:p>
      <w:pPr>
        <w:pStyle w:val="Normal"/>
        <w:bidi w:val="0"/>
        <w:jc w:val="left"/>
        <w:rPr/>
      </w:pPr>
      <w:r>
        <w:rPr/>
      </w:r>
    </w:p>
    <w:p>
      <w:pPr>
        <w:pStyle w:val="Normal"/>
        <w:bidi w:val="0"/>
        <w:jc w:val="left"/>
        <w:rPr/>
      </w:pPr>
      <w:r>
        <w:rPr/>
        <w:t xml:space="preserve">Insurance </w:t>
      </w:r>
    </w:p>
    <w:p>
      <w:pPr>
        <w:pStyle w:val="Normal"/>
        <w:bidi w:val="0"/>
        <w:jc w:val="left"/>
        <w:rPr/>
      </w:pPr>
      <w:r>
        <w:rPr/>
      </w:r>
    </w:p>
    <w:p>
      <w:pPr>
        <w:pStyle w:val="Normal"/>
        <w:bidi w:val="0"/>
        <w:jc w:val="left"/>
        <w:rPr/>
      </w:pPr>
      <w:r>
        <w:rPr/>
        <w:t>10</w:t>
      </w:r>
    </w:p>
    <w:p>
      <w:pPr>
        <w:pStyle w:val="Normal"/>
        <w:bidi w:val="0"/>
        <w:jc w:val="left"/>
        <w:rPr/>
      </w:pPr>
      <w:r>
        <w:rPr/>
      </w:r>
    </w:p>
    <w:p>
      <w:pPr>
        <w:pStyle w:val="Normal"/>
        <w:bidi w:val="0"/>
        <w:jc w:val="left"/>
        <w:rPr/>
      </w:pPr>
      <w:r>
        <w:rPr/>
        <w:t>6</w:t>
      </w:r>
    </w:p>
    <w:p>
      <w:pPr>
        <w:pStyle w:val="Normal"/>
        <w:bidi w:val="0"/>
        <w:jc w:val="left"/>
        <w:rPr/>
      </w:pPr>
      <w:r>
        <w:rPr/>
      </w:r>
    </w:p>
    <w:p>
      <w:pPr>
        <w:pStyle w:val="Normal"/>
        <w:bidi w:val="0"/>
        <w:jc w:val="left"/>
        <w:rPr/>
      </w:pPr>
      <w:r>
        <w:rPr/>
        <w:t>0</w:t>
      </w:r>
    </w:p>
    <w:p>
      <w:pPr>
        <w:pStyle w:val="Normal"/>
        <w:bidi w:val="0"/>
        <w:jc w:val="left"/>
        <w:rPr/>
      </w:pPr>
      <w:r>
        <w:rPr/>
      </w:r>
    </w:p>
    <w:p>
      <w:pPr>
        <w:pStyle w:val="Normal"/>
        <w:bidi w:val="0"/>
        <w:jc w:val="left"/>
        <w:rPr/>
      </w:pPr>
      <w:r>
        <w:rPr/>
        <w:t>16</w:t>
      </w:r>
    </w:p>
    <w:p>
      <w:pPr>
        <w:pStyle w:val="Normal"/>
        <w:bidi w:val="0"/>
        <w:jc w:val="left"/>
        <w:rPr/>
      </w:pPr>
      <w:r>
        <w:rPr/>
      </w:r>
    </w:p>
    <w:p>
      <w:pPr>
        <w:pStyle w:val="Normal"/>
        <w:bidi w:val="0"/>
        <w:jc w:val="left"/>
        <w:rPr/>
      </w:pPr>
      <w:r>
        <w:rPr/>
        <w:t xml:space="preserve">Service </w:t>
      </w:r>
    </w:p>
    <w:p>
      <w:pPr>
        <w:pStyle w:val="Normal"/>
        <w:bidi w:val="0"/>
        <w:jc w:val="left"/>
        <w:rPr/>
      </w:pPr>
      <w:r>
        <w:rPr/>
      </w:r>
    </w:p>
    <w:p>
      <w:pPr>
        <w:pStyle w:val="Normal"/>
        <w:bidi w:val="0"/>
        <w:jc w:val="left"/>
        <w:rPr/>
      </w:pPr>
      <w:r>
        <w:rPr/>
        <w:t>9</w:t>
      </w:r>
    </w:p>
    <w:p>
      <w:pPr>
        <w:pStyle w:val="Normal"/>
        <w:bidi w:val="0"/>
        <w:jc w:val="left"/>
        <w:rPr/>
      </w:pPr>
      <w:r>
        <w:rPr/>
      </w:r>
    </w:p>
    <w:p>
      <w:pPr>
        <w:pStyle w:val="Normal"/>
        <w:bidi w:val="0"/>
        <w:jc w:val="left"/>
        <w:rPr/>
      </w:pPr>
      <w:r>
        <w:rPr/>
        <w:t>1</w:t>
      </w:r>
    </w:p>
    <w:p>
      <w:pPr>
        <w:pStyle w:val="Normal"/>
        <w:bidi w:val="0"/>
        <w:jc w:val="left"/>
        <w:rPr/>
      </w:pPr>
      <w:r>
        <w:rPr/>
      </w:r>
    </w:p>
    <w:p>
      <w:pPr>
        <w:pStyle w:val="Normal"/>
        <w:bidi w:val="0"/>
        <w:jc w:val="left"/>
        <w:rPr/>
      </w:pPr>
      <w:r>
        <w:rPr/>
        <w:t>4</w:t>
      </w:r>
    </w:p>
    <w:p>
      <w:pPr>
        <w:pStyle w:val="Normal"/>
        <w:bidi w:val="0"/>
        <w:jc w:val="left"/>
        <w:rPr/>
      </w:pPr>
      <w:r>
        <w:rPr/>
      </w:r>
    </w:p>
    <w:p>
      <w:pPr>
        <w:pStyle w:val="Normal"/>
        <w:bidi w:val="0"/>
        <w:jc w:val="left"/>
        <w:rPr/>
      </w:pPr>
      <w:r>
        <w:rPr/>
        <w:t>14</w:t>
      </w:r>
    </w:p>
    <w:p>
      <w:pPr>
        <w:pStyle w:val="Normal"/>
        <w:bidi w:val="0"/>
        <w:jc w:val="left"/>
        <w:rPr/>
      </w:pPr>
      <w:r>
        <w:rPr/>
      </w:r>
    </w:p>
    <w:p>
      <w:pPr>
        <w:pStyle w:val="Normal"/>
        <w:bidi w:val="0"/>
        <w:jc w:val="left"/>
        <w:rPr/>
      </w:pPr>
      <w:r>
        <w:rPr/>
        <w:t xml:space="preserve">Manufacturing </w:t>
      </w:r>
    </w:p>
    <w:p>
      <w:pPr>
        <w:pStyle w:val="Normal"/>
        <w:bidi w:val="0"/>
        <w:jc w:val="left"/>
        <w:rPr/>
      </w:pPr>
      <w:r>
        <w:rPr/>
      </w:r>
    </w:p>
    <w:p>
      <w:pPr>
        <w:pStyle w:val="Normal"/>
        <w:bidi w:val="0"/>
        <w:jc w:val="left"/>
        <w:rPr/>
      </w:pPr>
      <w:r>
        <w:rPr/>
        <w:t>11</w:t>
      </w:r>
    </w:p>
    <w:p>
      <w:pPr>
        <w:pStyle w:val="Normal"/>
        <w:bidi w:val="0"/>
        <w:jc w:val="left"/>
        <w:rPr/>
      </w:pPr>
      <w:r>
        <w:rPr/>
      </w:r>
    </w:p>
    <w:p>
      <w:pPr>
        <w:pStyle w:val="Normal"/>
        <w:bidi w:val="0"/>
        <w:jc w:val="left"/>
        <w:rPr/>
      </w:pPr>
      <w:r>
        <w:rPr/>
        <w:t>7</w:t>
      </w:r>
    </w:p>
    <w:p>
      <w:pPr>
        <w:pStyle w:val="Normal"/>
        <w:bidi w:val="0"/>
        <w:jc w:val="left"/>
        <w:rPr/>
      </w:pPr>
      <w:r>
        <w:rPr/>
      </w:r>
    </w:p>
    <w:p>
      <w:pPr>
        <w:pStyle w:val="Normal"/>
        <w:bidi w:val="0"/>
        <w:jc w:val="left"/>
        <w:rPr/>
      </w:pPr>
      <w:r>
        <w:rPr/>
        <w:t>3</w:t>
      </w:r>
    </w:p>
    <w:p>
      <w:pPr>
        <w:pStyle w:val="Normal"/>
        <w:bidi w:val="0"/>
        <w:jc w:val="left"/>
        <w:rPr/>
      </w:pPr>
      <w:r>
        <w:rPr/>
      </w:r>
    </w:p>
    <w:p>
      <w:pPr>
        <w:pStyle w:val="Normal"/>
        <w:bidi w:val="0"/>
        <w:jc w:val="left"/>
        <w:rPr/>
      </w:pPr>
      <w:r>
        <w:rPr/>
        <w:t>21</w:t>
      </w:r>
    </w:p>
    <w:p>
      <w:pPr>
        <w:pStyle w:val="Normal"/>
        <w:bidi w:val="0"/>
        <w:jc w:val="left"/>
        <w:rPr/>
      </w:pPr>
      <w:r>
        <w:rPr/>
      </w:r>
    </w:p>
    <w:p>
      <w:pPr>
        <w:pStyle w:val="Normal"/>
        <w:bidi w:val="0"/>
        <w:jc w:val="left"/>
        <w:rPr/>
      </w:pPr>
      <w:r>
        <w:rPr/>
        <w:t xml:space="preserve">Hotel </w:t>
      </w:r>
    </w:p>
    <w:p>
      <w:pPr>
        <w:pStyle w:val="Normal"/>
        <w:bidi w:val="0"/>
        <w:jc w:val="left"/>
        <w:rPr/>
      </w:pPr>
      <w:r>
        <w:rPr/>
      </w:r>
    </w:p>
    <w:p>
      <w:pPr>
        <w:pStyle w:val="Normal"/>
        <w:bidi w:val="0"/>
        <w:jc w:val="left"/>
        <w:rPr/>
      </w:pPr>
      <w:r>
        <w:rPr/>
        <w:t>10</w:t>
      </w:r>
    </w:p>
    <w:p>
      <w:pPr>
        <w:pStyle w:val="Normal"/>
        <w:bidi w:val="0"/>
        <w:jc w:val="left"/>
        <w:rPr/>
      </w:pPr>
      <w:r>
        <w:rPr/>
      </w:r>
    </w:p>
    <w:p>
      <w:pPr>
        <w:pStyle w:val="Normal"/>
        <w:bidi w:val="0"/>
        <w:jc w:val="left"/>
        <w:rPr/>
      </w:pPr>
      <w:r>
        <w:rPr/>
        <w:t>4</w:t>
      </w:r>
    </w:p>
    <w:p>
      <w:pPr>
        <w:pStyle w:val="Normal"/>
        <w:bidi w:val="0"/>
        <w:jc w:val="left"/>
        <w:rPr/>
      </w:pPr>
      <w:r>
        <w:rPr/>
      </w:r>
    </w:p>
    <w:p>
      <w:pPr>
        <w:pStyle w:val="Normal"/>
        <w:bidi w:val="0"/>
        <w:jc w:val="left"/>
        <w:rPr/>
      </w:pPr>
      <w:r>
        <w:rPr/>
        <w:t>1</w:t>
      </w:r>
    </w:p>
    <w:p>
      <w:pPr>
        <w:pStyle w:val="Normal"/>
        <w:bidi w:val="0"/>
        <w:jc w:val="left"/>
        <w:rPr/>
      </w:pPr>
      <w:r>
        <w:rPr/>
      </w:r>
    </w:p>
    <w:p>
      <w:pPr>
        <w:pStyle w:val="Normal"/>
        <w:bidi w:val="0"/>
        <w:jc w:val="left"/>
        <w:rPr/>
      </w:pPr>
      <w:r>
        <w:rPr/>
        <w:t>15</w:t>
      </w:r>
    </w:p>
    <w:p>
      <w:pPr>
        <w:pStyle w:val="Normal"/>
        <w:bidi w:val="0"/>
        <w:jc w:val="left"/>
        <w:rPr/>
      </w:pPr>
      <w:r>
        <w:rPr/>
      </w:r>
    </w:p>
    <w:p>
      <w:pPr>
        <w:pStyle w:val="Normal"/>
        <w:bidi w:val="0"/>
        <w:jc w:val="left"/>
        <w:rPr/>
      </w:pPr>
      <w:r>
        <w:rPr/>
        <w:t>Oil and Gas</w:t>
      </w:r>
    </w:p>
    <w:p>
      <w:pPr>
        <w:pStyle w:val="Normal"/>
        <w:bidi w:val="0"/>
        <w:jc w:val="left"/>
        <w:rPr/>
      </w:pPr>
      <w:r>
        <w:rPr/>
      </w:r>
    </w:p>
    <w:p>
      <w:pPr>
        <w:pStyle w:val="Normal"/>
        <w:bidi w:val="0"/>
        <w:jc w:val="left"/>
        <w:rPr/>
      </w:pPr>
      <w:r>
        <w:rPr/>
        <w:t>8</w:t>
      </w:r>
    </w:p>
    <w:p>
      <w:pPr>
        <w:pStyle w:val="Normal"/>
        <w:bidi w:val="0"/>
        <w:jc w:val="left"/>
        <w:rPr/>
      </w:pPr>
      <w:r>
        <w:rPr/>
      </w:r>
    </w:p>
    <w:p>
      <w:pPr>
        <w:pStyle w:val="Normal"/>
        <w:bidi w:val="0"/>
        <w:jc w:val="left"/>
        <w:rPr/>
      </w:pPr>
      <w:r>
        <w:rPr/>
        <w:t>2</w:t>
      </w:r>
    </w:p>
    <w:p>
      <w:pPr>
        <w:pStyle w:val="Normal"/>
        <w:bidi w:val="0"/>
        <w:jc w:val="left"/>
        <w:rPr/>
      </w:pPr>
      <w:r>
        <w:rPr/>
      </w:r>
    </w:p>
    <w:p>
      <w:pPr>
        <w:pStyle w:val="Normal"/>
        <w:bidi w:val="0"/>
        <w:jc w:val="left"/>
        <w:rPr/>
      </w:pPr>
      <w:r>
        <w:rPr/>
        <w:t>0</w:t>
      </w:r>
    </w:p>
    <w:p>
      <w:pPr>
        <w:pStyle w:val="Normal"/>
        <w:bidi w:val="0"/>
        <w:jc w:val="left"/>
        <w:rPr/>
      </w:pPr>
      <w:r>
        <w:rPr/>
      </w:r>
    </w:p>
    <w:p>
      <w:pPr>
        <w:pStyle w:val="Normal"/>
        <w:bidi w:val="0"/>
        <w:jc w:val="left"/>
        <w:rPr/>
      </w:pPr>
      <w:r>
        <w:rPr/>
        <w:t>10</w:t>
      </w:r>
    </w:p>
    <w:p>
      <w:pPr>
        <w:pStyle w:val="Normal"/>
        <w:bidi w:val="0"/>
        <w:jc w:val="left"/>
        <w:rPr/>
      </w:pPr>
      <w:r>
        <w:rPr/>
      </w:r>
    </w:p>
    <w:p>
      <w:pPr>
        <w:pStyle w:val="Normal"/>
        <w:bidi w:val="0"/>
        <w:jc w:val="left"/>
        <w:rPr/>
      </w:pPr>
      <w:r>
        <w:rPr/>
        <w:t xml:space="preserve">Overall </w:t>
      </w:r>
    </w:p>
    <w:p>
      <w:pPr>
        <w:pStyle w:val="Normal"/>
        <w:bidi w:val="0"/>
        <w:jc w:val="left"/>
        <w:rPr/>
      </w:pPr>
      <w:r>
        <w:rPr/>
      </w:r>
    </w:p>
    <w:p>
      <w:pPr>
        <w:pStyle w:val="Normal"/>
        <w:bidi w:val="0"/>
        <w:jc w:val="left"/>
        <w:rPr/>
      </w:pPr>
      <w:r>
        <w:rPr/>
        <w:t>69</w:t>
      </w:r>
    </w:p>
    <w:p>
      <w:pPr>
        <w:pStyle w:val="Normal"/>
        <w:bidi w:val="0"/>
        <w:jc w:val="left"/>
        <w:rPr/>
      </w:pPr>
      <w:r>
        <w:rPr/>
      </w:r>
    </w:p>
    <w:p>
      <w:pPr>
        <w:pStyle w:val="Normal"/>
        <w:bidi w:val="0"/>
        <w:jc w:val="left"/>
        <w:rPr/>
      </w:pPr>
      <w:r>
        <w:rPr/>
        <w:t>25</w:t>
      </w:r>
    </w:p>
    <w:p>
      <w:pPr>
        <w:pStyle w:val="Normal"/>
        <w:bidi w:val="0"/>
        <w:jc w:val="left"/>
        <w:rPr/>
      </w:pPr>
      <w:r>
        <w:rPr/>
      </w:r>
    </w:p>
    <w:p>
      <w:pPr>
        <w:pStyle w:val="Normal"/>
        <w:bidi w:val="0"/>
        <w:jc w:val="left"/>
        <w:rPr/>
      </w:pPr>
      <w:r>
        <w:rPr/>
        <w:t>8</w:t>
      </w:r>
    </w:p>
    <w:p>
      <w:pPr>
        <w:pStyle w:val="Normal"/>
        <w:bidi w:val="0"/>
        <w:jc w:val="left"/>
        <w:rPr/>
      </w:pPr>
      <w:r>
        <w:rPr/>
      </w:r>
    </w:p>
    <w:p>
      <w:pPr>
        <w:pStyle w:val="Normal"/>
        <w:bidi w:val="0"/>
        <w:jc w:val="left"/>
        <w:rPr/>
      </w:pPr>
      <w:r>
        <w:rPr/>
        <w:t>102</w:t>
      </w:r>
    </w:p>
    <w:p>
      <w:pPr>
        <w:pStyle w:val="Normal"/>
        <w:bidi w:val="0"/>
        <w:jc w:val="left"/>
        <w:rPr/>
      </w:pPr>
      <w:r>
        <w:rPr/>
      </w:r>
    </w:p>
    <w:p>
      <w:pPr>
        <w:pStyle w:val="Normal"/>
        <w:bidi w:val="0"/>
        <w:jc w:val="left"/>
        <w:rPr/>
      </w:pPr>
      <w:r>
        <w:rPr/>
        <w:t>2 | Page</w:t>
      </w:r>
    </w:p>
    <w:p>
      <w:pPr>
        <w:pStyle w:val="Normal"/>
        <w:bidi w:val="0"/>
        <w:jc w:val="left"/>
        <w:rPr/>
      </w:pPr>
      <w:r>
        <w:rPr/>
      </w:r>
    </w:p>
    <w:p>
      <w:pPr>
        <w:pStyle w:val="Normal"/>
        <w:bidi w:val="0"/>
        <w:jc w:val="left"/>
        <w:rPr/>
      </w:pPr>
      <w:r>
        <w:rPr/>
        <w:t>Figure 1.5: Moody’s BCA (Baseline Credit Assessment) 2019</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2 | Page</w:t>
      </w:r>
    </w:p>
    <w:p>
      <w:pPr>
        <w:pStyle w:val="Normal"/>
        <w:bidi w:val="0"/>
        <w:jc w:val="left"/>
        <w:rPr/>
      </w:pPr>
      <w:r>
        <w:rPr/>
      </w:r>
    </w:p>
    <w:p>
      <w:pPr>
        <w:pStyle w:val="Normal"/>
        <w:bidi w:val="0"/>
        <w:jc w:val="left"/>
        <w:rPr/>
      </w:pPr>
      <w:r>
        <w:rPr/>
        <w:t xml:space="preserve">The objective of the research is to analyse the impact of contradictory regulations existing within the sector and assess their execution and enforcement. Through this study, the adverse outcomes stemming from these inconsistent codes, such as breaches in ethical standards, feeble and inadequate establishments, and absence of openness and liability, are intended to be emphasized. This study aims to emphasis the need and provide solutions for a unified and consistent approach to corporate governance codes in the industry to promote transparency and accountability, by holistically evaluating, in addition, the effect of Audit Committee, Nomination committee and regulatory multicity on the risk of bank default. For instance, the Central Bank of Nigeria (CBN) code stipulates that no more than two members of the same family can hold the positions of chairman and CEO simultaneously. However, the Securities and Exchange Commission (SEC) code (2011) permits multiple individuals from the same family to hold these positions. This exemplifies the compacting codes within the Nigerian banking industry. In a study conducted by Osemeke and Adegbite (2016), a director at one of the largest banks in Nigeria emphasized the negative impact this has on the industry stating: </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w:t>
      </w:r>
      <w:r>
        <w:rPr/>
        <w:t>Some banks still flout these directives about family members occupying these positions in the board because the rules conflict’. What do you except when one rule say something and another rule say something different regarding a given directive or policy. This is appalling”</w:t>
      </w:r>
    </w:p>
    <w:p>
      <w:pPr>
        <w:pStyle w:val="Normal"/>
        <w:bidi w:val="0"/>
        <w:jc w:val="left"/>
        <w:rPr/>
      </w:pPr>
      <w:r>
        <w:rPr/>
      </w:r>
    </w:p>
    <w:p>
      <w:pPr>
        <w:pStyle w:val="Normal"/>
        <w:bidi w:val="0"/>
        <w:jc w:val="left"/>
        <w:rPr/>
      </w:pPr>
      <w:r>
        <w:rPr/>
        <w:t>According to Osemeke and Adebite's (2016) study, a notable Nigerian bank CEO underlined the need for enforced adherence to a single code to strengthen the country's weak and ineffective institutions. Additionally, when questioned about the unethical exploitation of regulatory multiplicity in regards to financial disclosure, the CEO stated that banks may use the mandatory nature of the CBN code as a cover to avoid compliance with the voluntary SEC code, allowing them to avoid unfavorable recommendations. This highlights the negative consequences of compacted codes within the Nigerian banking industry, as it allows for potential ethical violations and undermines the effectiveness of regulatory institutions. Further reinforcing the need for a unified and consistent approach to codes in the industry, in order to promote transparency and accountability.</w:t>
      </w:r>
    </w:p>
    <w:p>
      <w:pPr>
        <w:pStyle w:val="Normal"/>
        <w:bidi w:val="0"/>
        <w:jc w:val="left"/>
        <w:rPr/>
      </w:pPr>
      <w:r>
        <w:rPr/>
      </w:r>
    </w:p>
    <w:p>
      <w:pPr>
        <w:pStyle w:val="Normal"/>
        <w:bidi w:val="0"/>
        <w:jc w:val="left"/>
        <w:rPr/>
      </w:pPr>
      <w:r>
        <w:rPr/>
        <w:t xml:space="preserve">1.6: Corporate governance Mechanisms </w:t>
      </w:r>
    </w:p>
    <w:p>
      <w:pPr>
        <w:pStyle w:val="Normal"/>
        <w:bidi w:val="0"/>
        <w:jc w:val="left"/>
        <w:rPr/>
      </w:pPr>
      <w:r>
        <w:rPr/>
      </w:r>
    </w:p>
    <w:p>
      <w:pPr>
        <w:pStyle w:val="Normal"/>
        <w:bidi w:val="0"/>
        <w:jc w:val="left"/>
        <w:rPr/>
      </w:pPr>
      <w:r>
        <w:rPr/>
        <w:t>In recent years, acts of fraud and corruption committed by management and directors of major banks have complicated the corporate governance of the Nigerian banking industry. As a result, legislative reforms have been enacted in an effort to improve the corporate governance of listed firms and facilitate foreign investment in Nigeria. One area of concern in corporate governance is the relationship between board complexity and performance in the Nigerian banking industry. Despite previous research on the correlation between performance metrics and board size in the banking industry yielding mixed results, it is important to further investigate this relationship to gain a better understanding of its intricacies within the Nigerian context.</w:t>
      </w:r>
    </w:p>
    <w:p>
      <w:pPr>
        <w:pStyle w:val="Normal"/>
        <w:bidi w:val="0"/>
        <w:jc w:val="left"/>
        <w:rPr/>
      </w:pPr>
      <w:r>
        <w:rPr/>
      </w:r>
    </w:p>
    <w:p>
      <w:pPr>
        <w:pStyle w:val="Normal"/>
        <w:bidi w:val="0"/>
        <w:jc w:val="left"/>
        <w:rPr/>
      </w:pPr>
      <w:r>
        <w:rPr/>
        <w:t>The primary legal requirements governing Nigeria's financial institutions are the Central Bank of Nigeria Act (CBN Act), the Banks and Other Financial Institutions Act (BOFIA), and the Nigeria Deposit Insurance Corporation Act (NDIC Act). The CBN Act of 2007 stipulates that the CBN must operate as a completely independent body, responsible for carrying out its responsibilities under both the CBN Act and BOFIA. The purpose of these functions is to promote economic stability and continuity. In addition, BOFIA grants the CBN the authority to regulate both banking and non-banking financial entities. Nonetheless, the Central Bank of Nigeria (CBN) has been criticised for its inefficient regulation of financial firms, which is mostly attributable to insufficient capability.</w:t>
      </w:r>
    </w:p>
    <w:p>
      <w:pPr>
        <w:pStyle w:val="Normal"/>
        <w:bidi w:val="0"/>
        <w:jc w:val="left"/>
        <w:rPr/>
      </w:pPr>
      <w:r>
        <w:rPr/>
      </w:r>
    </w:p>
    <w:p>
      <w:pPr>
        <w:pStyle w:val="Normal"/>
        <w:bidi w:val="0"/>
        <w:jc w:val="left"/>
        <w:rPr/>
      </w:pPr>
      <w:r>
        <w:rPr/>
        <w:t>Nmehielle and Nwauche (2004) identified the absence of enforcement as a significant barrier to the application of statutory corporate governance norms in the Nigerian banking sector. This conclusion is supported by the ROSC (2004) report, which states that the CBN's enforcement of financial reporting obligations is hampered by outmoded sanctions and insufficient capacity. In addition, the research discloses that the CBN and the Nigerian Stock Exchange (NSE) occasionally dispute about the clearance of financial statements of listed banks. According to the ROSC, the Securities and Exchange Commission (SEC), which regulates the Nigerian capital market, confronts difficulties in enforcing compliance (2004).</w:t>
      </w:r>
    </w:p>
    <w:p>
      <w:pPr>
        <w:pStyle w:val="Normal"/>
        <w:bidi w:val="0"/>
        <w:jc w:val="left"/>
        <w:rPr/>
      </w:pPr>
      <w:r>
        <w:rPr/>
      </w:r>
    </w:p>
    <w:p>
      <w:pPr>
        <w:pStyle w:val="Normal"/>
        <w:bidi w:val="0"/>
        <w:jc w:val="left"/>
        <w:rPr/>
      </w:pPr>
      <w:r>
        <w:rPr/>
        <w:t>The Central Bank of Nigeria (CBN) acknowledges that the size of banks might provide difficulties in terms of the skill and competence of board directors and management. The obligatory CBN Code was developed as a solution of overcoming such obstacles while keeping enterprises' competitive edge. This programme is founded on the belief that there is a correlation between board complexity and organisational performance, and that the composition and governance structure of a board can have a significant impact on the performance of an organisation.</w:t>
      </w:r>
    </w:p>
    <w:p>
      <w:pPr>
        <w:pStyle w:val="Normal"/>
        <w:bidi w:val="0"/>
        <w:jc w:val="left"/>
        <w:rPr/>
      </w:pPr>
      <w:r>
        <w:rPr/>
      </w:r>
    </w:p>
    <w:p>
      <w:pPr>
        <w:pStyle w:val="Normal"/>
        <w:bidi w:val="0"/>
        <w:jc w:val="left"/>
        <w:rPr/>
      </w:pPr>
      <w:r>
        <w:rPr/>
        <w:t xml:space="preserve">Studies have found no correlation between performance metrics and board size, such as the work of Romano et al. (2012), Al Hawary (2011), Bino and Tomar (2007), Love and Rachinsky (2007), Zulkafli and Samad (2007), Mayur and Saravanan (2006), and Simpson and Gleason (1999). Other studies have yielded mixed results, such as Adams and Mehran (2003), Trabelsi (2010), Pathan et al. (2007), and Staikouras et al. (2007). These mixed results suggest that further research is needed to determine the relationship between corporate governance mechanisms and performance in the Nigerian banking industry. </w:t>
      </w:r>
    </w:p>
    <w:p>
      <w:pPr>
        <w:pStyle w:val="Normal"/>
        <w:bidi w:val="0"/>
        <w:jc w:val="left"/>
        <w:rPr/>
      </w:pPr>
      <w:r>
        <w:rPr/>
      </w:r>
    </w:p>
    <w:p>
      <w:pPr>
        <w:pStyle w:val="Normal"/>
        <w:bidi w:val="0"/>
        <w:jc w:val="left"/>
        <w:rPr/>
      </w:pPr>
      <w:r>
        <w:rPr/>
        <w:t>The ongoing challenges faced by the Nigerian banking industry pertaining to corporate governance have led to the implementation of regulatory reforms, such as the statutory requirements established by the CBN Act, BOFIA, and the NDIC Act. However, the enforcement of these regulations remains a challenge due to outdated sanctions and reduced capacity within the CBN and other regulatory bodies. As such, it is crucial to continue investigating the relationship between board complexity and performance in the Nigerian banking industry to identify best practices for effective corporate governance in this context.</w:t>
      </w:r>
    </w:p>
    <w:p>
      <w:pPr>
        <w:pStyle w:val="Normal"/>
        <w:bidi w:val="0"/>
        <w:jc w:val="left"/>
        <w:rPr/>
      </w:pPr>
      <w:r>
        <w:rPr/>
      </w:r>
    </w:p>
    <w:p>
      <w:pPr>
        <w:pStyle w:val="Normal"/>
        <w:bidi w:val="0"/>
        <w:jc w:val="left"/>
        <w:rPr/>
      </w:pPr>
      <w:r>
        <w:rPr/>
        <w:t>1.7: Problem Statement</w:t>
      </w:r>
    </w:p>
    <w:p>
      <w:pPr>
        <w:pStyle w:val="Normal"/>
        <w:bidi w:val="0"/>
        <w:jc w:val="left"/>
        <w:rPr/>
      </w:pPr>
      <w:r>
        <w:rPr/>
      </w:r>
    </w:p>
    <w:p>
      <w:pPr>
        <w:pStyle w:val="Normal"/>
        <w:bidi w:val="0"/>
        <w:jc w:val="left"/>
        <w:rPr/>
      </w:pPr>
      <w:r>
        <w:rPr/>
        <w:t>Most research on board accountability has focused on accountability mechanisms from the company's annual report (Sherma and Singh, 2009; Mohammad and Sulong, 2010). However, these studies' results are ontological and fail to explain the 'substance' ‘social phenomenon' of financial organizations (Amartey, 2022). For example, companies have a fiduciary duty to publish their records according to regulators. However, the epistemological nature of CG practices many contradict the ontological perspective. Company X may state in its record that it has a ratio of X: Y in NED to executive directors on the board. In investigating the social phenomena, a personal relationship may exist between NEDs and independent directors, compromising the board's integrity and its election process. The results may, therefore, contradict findings from an ontological perspective. Examining the epistemological nature of the ratio of NED to executive directors on the board may provide a contradictory and different explanation of the company's true nature. The lack of accountability and transparency of the corporate board in the Nigerian banking industry has led to the downgrade of the long-term rating of Nine of Nigeria's most prominent banks: Access Bank, Zenith Bank Plc, First Bank of Nigeria Limited, United bank of Africa Plc, Guaranty Trust Bank Limited, Union Bank of Nigeria plc, Fidelity Banks, FCMB and sterling bank Moody (2022). Moody's Service is an independent credit rating organisation that provides investors with thorough and transparent assessments of credit risk. Its decision to downgrade nine of Nigeria's banks highlights the possibility that foreign currency shortages will prevent the banks from meeting their foreign currency obligations. This could result in a considerable depreciation of the country's foreign currency rate and have a detrimental impact on the asset quality and capitalization of the banks (Moody, 2022). Moody's evaluation of the downgrades of the banks considers their independent financial strength, as shown in their Baseline Credit Assessment (BCA). The BCA consists of a macro profile, a financial profile, and qualitative adjustment elements that determine the probability of bank default in the absence of external support (Moody, 2019). (see Figure 1.5). In analysing the BCAs of banks, Moody's additionally analyses the following qualitative factors:</w:t>
      </w:r>
    </w:p>
    <w:p>
      <w:pPr>
        <w:pStyle w:val="Normal"/>
        <w:bidi w:val="0"/>
        <w:jc w:val="left"/>
        <w:rPr/>
      </w:pPr>
      <w:r>
        <w:rPr/>
      </w:r>
    </w:p>
    <w:p>
      <w:pPr>
        <w:pStyle w:val="Normal"/>
        <w:bidi w:val="0"/>
        <w:jc w:val="left"/>
        <w:rPr/>
      </w:pPr>
      <w:r>
        <w:rPr/>
        <w:t xml:space="preserve"> </w:t>
      </w:r>
      <w:r>
        <w:rPr/>
        <w:t xml:space="preserve">'the extent to which a bank's inherent complexity may heighten management challenges and the risk of strategic errors, and the degree to which financial statements are a reliable guide to its fundamentals…as well as…the extent to which a bank's strategy, management and its corporate policies may reduce or increase its overall risk profile.' - (Moody, 2022). </w:t>
      </w:r>
    </w:p>
    <w:p>
      <w:pPr>
        <w:pStyle w:val="Normal"/>
        <w:bidi w:val="0"/>
        <w:jc w:val="left"/>
        <w:rPr/>
      </w:pPr>
      <w:r>
        <w:rPr/>
      </w:r>
    </w:p>
    <w:p>
      <w:pPr>
        <w:pStyle w:val="Normal"/>
        <w:bidi w:val="0"/>
        <w:jc w:val="left"/>
        <w:rPr/>
      </w:pPr>
      <w:r>
        <w:rPr/>
        <w:t xml:space="preserve">In other words, accessing the financial stability of Nigerian banks, qualitative adjustment factors are essential to a baseline credit assessment of banks. Therefore in support of Amartey et al. (2022) and Moody (2002), examining corporate governance at the board level through an epistemological lens may reduce the risk of form-over-substance and provide new insights and solutions to better board accountability and transparency (See Figure 1.5). This study takes a similar  approach, by utilizing Moody’s KMV model to determine banks risk probability in Nigeria to capture the financial health of banks, by gauging the banks solvency and liquidity ratios encapsulated in the risk of default matrix and adjusting the financial profile of banks default to reflect non-financial qualitative judgment through aided by an epistemological investigation of board structure (ie, social nature of regulatory compliance of listed banks and the Audit Committee and Nomination Committee) </w:t>
      </w:r>
    </w:p>
    <w:p>
      <w:pPr>
        <w:pStyle w:val="Normal"/>
        <w:bidi w:val="0"/>
        <w:jc w:val="left"/>
        <w:rPr/>
      </w:pPr>
      <w:r>
        <w:rPr/>
      </w:r>
    </w:p>
    <w:p>
      <w:pPr>
        <w:pStyle w:val="Normal"/>
        <w:bidi w:val="0"/>
        <w:jc w:val="left"/>
        <w:rPr/>
      </w:pPr>
      <w:r>
        <w:rPr/>
        <w:t xml:space="preserve">1.8: Objective of Study </w:t>
      </w:r>
    </w:p>
    <w:p>
      <w:pPr>
        <w:pStyle w:val="Normal"/>
        <w:bidi w:val="0"/>
        <w:jc w:val="left"/>
        <w:rPr/>
      </w:pPr>
      <w:r>
        <w:rPr/>
      </w:r>
    </w:p>
    <w:p>
      <w:pPr>
        <w:pStyle w:val="Normal"/>
        <w:bidi w:val="0"/>
        <w:jc w:val="left"/>
        <w:rPr/>
      </w:pPr>
      <w:r>
        <w:rPr/>
        <w:t xml:space="preserve">This study aims to examine the 24 commercial banks listed on the Nigerian Stock Exchange, utilizing both an epistemological approach, by examining the social phenomenon through the administration of surveys, questionnaires, and observations, in addition to empirical evidence on corporate governance in the Nigerian banking sector. The primary focus of this study is to examine the impact of regulatory multiply and Board structures (proxied by Audit committee and nomination committee) on the risk of default in the Nigerian banking sector. Additionally, this research will compare the multiplicity of financial regulation with global standards in order to identify specifically the codes within Nigeria that conflict with global best practice in order to suggest solution while considering the peculiarities of Nigerian culture in finding effective solutions to regulatory multiplicity in Nigeria. </w:t>
      </w:r>
    </w:p>
    <w:p>
      <w:pPr>
        <w:pStyle w:val="Normal"/>
        <w:bidi w:val="0"/>
        <w:jc w:val="left"/>
        <w:rPr/>
      </w:pPr>
      <w:r>
        <w:rPr/>
      </w:r>
    </w:p>
    <w:p>
      <w:pPr>
        <w:pStyle w:val="Normal"/>
        <w:bidi w:val="0"/>
        <w:jc w:val="left"/>
        <w:rPr/>
      </w:pPr>
      <w:r>
        <w:rPr/>
        <w:t>Board Structure (Audit Committee and Nomination Committee)</w:t>
      </w:r>
    </w:p>
    <w:p>
      <w:pPr>
        <w:pStyle w:val="Normal"/>
        <w:bidi w:val="0"/>
        <w:jc w:val="left"/>
        <w:rPr/>
      </w:pPr>
      <w:r>
        <w:rPr/>
      </w:r>
    </w:p>
    <w:p>
      <w:pPr>
        <w:pStyle w:val="Normal"/>
        <w:bidi w:val="0"/>
        <w:jc w:val="left"/>
        <w:rPr/>
      </w:pPr>
      <w:r>
        <w:rPr/>
        <w:t xml:space="preserve"> </w:t>
      </w:r>
      <w:r>
        <w:rPr/>
        <w:t>A classification criteria for recognising the existence of a nomination committee (NC) in banks may be found in their annual reports, where the committee is responsible with proposing new board members. Some academics (e.g. Vafeas, 1999) regard a nomination committee to exist only if it has the exclusive responsibility of proposing new board members. If the annual report verifies the existence of a nominating committee, a binary variable will be set to one; otherwise, it will be set to zero. The size of the nominating committee will be assessed as a count variable for the number of directors identified in the annual report as committee members. The independence of the nominating committee will be recorded by a dummy variable with the value of one if more than half of the committee members are independent directors and the value of zero otherwise.</w:t>
      </w:r>
    </w:p>
    <w:p>
      <w:pPr>
        <w:pStyle w:val="Normal"/>
        <w:bidi w:val="0"/>
        <w:jc w:val="left"/>
        <w:rPr/>
      </w:pPr>
      <w:r>
        <w:rPr/>
      </w:r>
    </w:p>
    <w:p>
      <w:pPr>
        <w:pStyle w:val="Normal"/>
        <w:bidi w:val="0"/>
        <w:jc w:val="left"/>
        <w:rPr/>
      </w:pPr>
      <w:r>
        <w:rPr/>
        <w:t>Regarding the Audit Committee, institutions will be assessed to have one based on whether or not their annual reports indicate that the committee is responsible for independently evaluating the bank's financial statements. If the corporation reports the presence of an AC, a dummy variable will equal one; otherwise, it will equal zero. AC size will be a count variable that indicates the number of board members included in the yearly report. In addition, the presence of independent directors on the AC will be determined by a dummy variable whose value is one if more than half of the members of the AC are independent directors and zero otherwise.</w:t>
      </w:r>
    </w:p>
    <w:p>
      <w:pPr>
        <w:pStyle w:val="Normal"/>
        <w:bidi w:val="0"/>
        <w:jc w:val="left"/>
        <w:rPr/>
      </w:pPr>
      <w:r>
        <w:rPr/>
      </w:r>
    </w:p>
    <w:p>
      <w:pPr>
        <w:pStyle w:val="Normal"/>
        <w:bidi w:val="0"/>
        <w:jc w:val="left"/>
        <w:rPr/>
      </w:pPr>
      <w:r>
        <w:rPr/>
        <w:t xml:space="preserve">Research on the relationship between board size and performance in the banking industry (See Figure 4) has yielded mixed results globally and lack of research specify to sub-Saharan Africa. </w:t>
      </w:r>
    </w:p>
    <w:p>
      <w:pPr>
        <w:pStyle w:val="Normal"/>
        <w:bidi w:val="0"/>
        <w:jc w:val="left"/>
        <w:rPr/>
      </w:pPr>
      <w:r>
        <w:rPr/>
      </w:r>
    </w:p>
    <w:p>
      <w:pPr>
        <w:pStyle w:val="Normal"/>
        <w:bidi w:val="0"/>
        <w:jc w:val="left"/>
        <w:rPr/>
      </w:pPr>
      <w:r>
        <w:rPr/>
        <w:t>To achieve this objective in regards to Board mechanisms and performance in the Nigerian Banking industry four key corporate governance mechanisms will be evaluated, including audit committee composition and size, nomination committee composition and size. By analyzing the association between these mechanisms and performance metrics such as return on assets (ROA), the study will aim to understand the impact of corporate governance on the performance of listed Nigerian commercial banks. The study will focus on a sample of 24 commercial banks listed on the Nigerian Stock Exchange (NSE) and will collect data from various sources, including the Nigerian Stock Exchange, Central Bank of Nigeria, and the National Bureau of Statistics, Nigeria. Data will be collected for the period of 2012-2022 for money deposited listed banks.1In addition to ROA, the study will also employ other performance metrics such as return on average equity (ROAE), pre-tax operating income (PTOI), net interest margin (NIM), Tobin’s Q ratio (Q), and stock returns (SR) to investigate the relationship between board structure and bank performance. The results of this study will provide valuable insights into the role of corporate governance in the Nigerian banking industry and contribute to the ongoing discussion on the effectiveness of regulations and codes in promoting transparency and accountability in the financial sector  (See Figure 1.6).</w:t>
      </w:r>
    </w:p>
    <w:p>
      <w:pPr>
        <w:pStyle w:val="Normal"/>
        <w:bidi w:val="0"/>
        <w:jc w:val="left"/>
        <w:rPr/>
      </w:pPr>
      <w:r>
        <w:rPr/>
      </w:r>
    </w:p>
    <w:p>
      <w:pPr>
        <w:pStyle w:val="Normal"/>
        <w:bidi w:val="0"/>
        <w:jc w:val="left"/>
        <w:rPr/>
      </w:pPr>
      <w:r>
        <w:rPr/>
      </w:r>
    </w:p>
    <w:p>
      <w:pPr>
        <w:pStyle w:val="Normal"/>
        <w:bidi w:val="0"/>
        <w:jc w:val="left"/>
        <w:rPr/>
      </w:pPr>
      <w:r>
        <w:rPr/>
        <w:t xml:space="preserve"> </w:t>
      </w:r>
      <w:r>
        <w:rPr/>
        <w:t>Return on average assets (ROAA) is a financial ratio that measures a bank's efficiency in generating profits from its assets. It is computed by dividing the net income before interest and tax by the average book value of total assets. This ratio represents the bank's profitability as a percentage of its total assets and provides an indication of how well the bank is utilizing its assets to generate profits.Return on average equity (ROAE) is another financial ratio that measures a bank's profitability in relation to its shareholders' equity. It is computed by dividing the net income after tax by the average book value of total equity. This ratio represents the bank's profitability as a percentage of its shareholders' equity and provides an indication of how well the bank is utilizing its equity to generate profits. Pre-tax operating income (PTOI) is a measure of a bank's operating performance, calculated as the pre-tax operating income as a percentage of the average book value of total assets. This ratio represents the bank's operating profitability as a percentage of its total assets and provides an indication of how well the bank is utilizing its assets to generate operating income. Net interest margin (NIM) is a measure of the difference between the interest earned on loans and the interest paid on deposits, as a percentage of the average earning assets. This ratio represents the bank's profitability from its interest earning activities and provides an indication of how well the bank is managing its interest rate risk. Tobin's Q ratio (Q) is a measure of a bank's market value as compared to its book value. It is calculated by dividing the sum of the market value of equity plus the book value of liabilities by the book value of total assets. This ratio represents the bank's market value relative to its book value and provides an indication of how the market perceives the bank's worth. Stock returns (SR) is a measure of the bank's stock performance, calculated as the mean daily stock returns for each year. This ratio represents the bank's stock performance over a period of time, taking into account continuous returns and any capitalization changes including dividends and stock splits.</w:t>
      </w:r>
    </w:p>
    <w:p>
      <w:pPr>
        <w:pStyle w:val="Normal"/>
        <w:bidi w:val="0"/>
        <w:jc w:val="left"/>
        <w:rPr/>
      </w:pPr>
      <w:r>
        <w:rPr/>
      </w:r>
    </w:p>
    <w:p>
      <w:pPr>
        <w:pStyle w:val="Normal"/>
        <w:bidi w:val="0"/>
        <w:jc w:val="left"/>
        <w:rPr/>
      </w:pPr>
      <w:r>
        <w:rPr/>
        <w:t>2 | Page</w:t>
      </w:r>
    </w:p>
    <w:p>
      <w:pPr>
        <w:pStyle w:val="Normal"/>
        <w:bidi w:val="0"/>
        <w:jc w:val="left"/>
        <w:rPr/>
      </w:pPr>
      <w:r>
        <w:rPr/>
      </w:r>
    </w:p>
    <w:p>
      <w:pPr>
        <w:pStyle w:val="Normal"/>
        <w:bidi w:val="0"/>
        <w:jc w:val="left"/>
        <w:rPr/>
      </w:pPr>
      <w:r>
        <w:rPr/>
        <w:t xml:space="preserve">Figure: 1.6: The effect of Board Mechanisms on Bank Financial Performance </w:t>
      </w:r>
    </w:p>
    <w:p>
      <w:pPr>
        <w:pStyle w:val="Normal"/>
        <w:bidi w:val="0"/>
        <w:jc w:val="left"/>
        <w:rPr/>
      </w:pPr>
      <w:r>
        <w:rPr/>
      </w:r>
    </w:p>
    <w:p>
      <w:pPr>
        <w:pStyle w:val="Normal"/>
        <w:bidi w:val="0"/>
        <w:jc w:val="left"/>
        <w:rPr/>
      </w:pPr>
      <w:r>
        <w:rPr/>
        <w:t>2 | Page</w:t>
      </w:r>
    </w:p>
    <w:p>
      <w:pPr>
        <w:pStyle w:val="Normal"/>
        <w:bidi w:val="0"/>
        <w:jc w:val="left"/>
        <w:rPr/>
      </w:pPr>
      <w:r>
        <w:rPr/>
      </w:r>
    </w:p>
    <w:p>
      <w:pPr>
        <w:pStyle w:val="Normal"/>
        <w:bidi w:val="0"/>
        <w:jc w:val="left"/>
        <w:rPr/>
      </w:pPr>
      <w:r>
        <w:rPr/>
        <w:t>Transparency (quality of financial reporting) - In assessing the quality of financial reporting by the audit committee, as opposed to assessing the quality of account thought the lenses of the quality of the auditors. This study assess quality on the technical auditor’s process. This study aims to meets its objective of assessing the quality of audit reporting by first contracting listed banks to establish a list of audit committee members. Then to interview (26) auditors from the list of various bank AC including the chairmen of each audit committee. The interview will be dived into three parts. The first part will involve aimed at the observable stages of the audit process and then as ask questions about the qualitative attributes. Finally, this research aims to question the interviewees on the evaluation modalities of the audit quality and the communication methods with other auditors. This will then be transcribed. Then a two phases content analysis will be implemented, a thematic analysis interview by interview and then a vertical and horizontal thematic analysis of all the interviews conducted. Providing an overall consistent body of data produced as opposed to a singular consistency (ie the financial report). The final stage will involve drafting a questionnaire with a Likert seven-point scales (Sutton, 1993) for content validation and will be presented to researcher in audit to improve drafting and understanding for the AC.</w:t>
      </w:r>
    </w:p>
    <w:p>
      <w:pPr>
        <w:pStyle w:val="Normal"/>
        <w:bidi w:val="0"/>
        <w:jc w:val="left"/>
        <w:rPr/>
      </w:pPr>
      <w:r>
        <w:rPr/>
      </w:r>
    </w:p>
    <w:p>
      <w:pPr>
        <w:pStyle w:val="Normal"/>
        <w:bidi w:val="0"/>
        <w:jc w:val="left"/>
        <w:rPr/>
      </w:pPr>
      <w:r>
        <w:rPr/>
        <w:t>Regulatory multiplicity</w:t>
      </w:r>
    </w:p>
    <w:p>
      <w:pPr>
        <w:pStyle w:val="Normal"/>
        <w:bidi w:val="0"/>
        <w:jc w:val="left"/>
        <w:rPr/>
      </w:pPr>
      <w:r>
        <w:rPr/>
      </w:r>
    </w:p>
    <w:p>
      <w:pPr>
        <w:pStyle w:val="Normal"/>
        <w:bidi w:val="0"/>
        <w:jc w:val="left"/>
        <w:rPr/>
      </w:pPr>
      <w:r>
        <w:rPr/>
        <w:t>In investigating regulatory multiplicity this study adopts mixed method approach, including surveys interviews (36) and questionnaires. Questionnaire (quantitative) will be drafted with a Likert seven point scales (Sutton, 1993)  for content validation and presented with researcher and lawyers of financial regulations to improve drafting and understanding for participants. Questionnaires will be administered to the Audit committee, financial and legal officers in the listed banks. In addition to interview and focus groups. This interviews and focus group method approach will allow for a proper understanding of the implication of multiple codes of CG affecting listed banks in Nigeria, while the questionnaires allows for depiction of the banking population. Furthermore, documentary analysis will be utilised in order to provide best fit solutions to regulatory multiplicity by comparing and contrasting international best standards and Nigeria’s various financial codes on CG to provide insight into the missing elements of effective CG regulations applicable to the financial industry. In order to reduce the subjective nature of the methods listed above top management will be approached for data collection purposes therefore reducing position bias. Finally, regression analysis will be used to determine the cause-and-effect relationship between regulatory multiplicity, CG practice and bank default.</w:t>
      </w:r>
    </w:p>
    <w:p>
      <w:pPr>
        <w:pStyle w:val="Normal"/>
        <w:bidi w:val="0"/>
        <w:jc w:val="left"/>
        <w:rPr/>
      </w:pPr>
      <w:r>
        <w:rPr/>
      </w:r>
    </w:p>
    <w:p>
      <w:pPr>
        <w:pStyle w:val="Normal"/>
        <w:bidi w:val="0"/>
        <w:jc w:val="left"/>
        <w:rPr/>
      </w:pPr>
      <w:r>
        <w:rPr/>
        <w:t>Credit risk Assessment of commercial banks based on the KMV model</w:t>
      </w:r>
    </w:p>
    <w:p>
      <w:pPr>
        <w:pStyle w:val="Normal"/>
        <w:bidi w:val="0"/>
        <w:jc w:val="left"/>
        <w:rPr/>
      </w:pPr>
      <w:r>
        <w:rPr/>
      </w:r>
    </w:p>
    <w:p>
      <w:pPr>
        <w:pStyle w:val="Normal"/>
        <w:bidi w:val="0"/>
        <w:jc w:val="left"/>
        <w:rPr/>
      </w:pPr>
      <w:r>
        <w:rPr/>
        <w:t>Matanda (2022) proposes Kealhofer-Merton-Vasicek (KMV) type model for estimating default risk of banks in emerging economies. This is because the forward looking KMV model address the negative effects of probability-based credit risk metric models that are characterized by unrealistic assumptions of precise and consistent rate of returns. The financial data required from will be collected from participating banks to calculate the KMV model are: assets, the return on equity and cost of capital. The KMV model considers that market friction presented by presented by cost and uncertainty in emerging markets, the models captures practical conditions faces by banks that influence their risks of default. According to Bingzheng and Puxain, banks have been acknowledged as key financial intermediaries with the ability to affect the flow of money and increase the availability of funds on the market (2021).</w:t>
      </w:r>
    </w:p>
    <w:p>
      <w:pPr>
        <w:pStyle w:val="Normal"/>
        <w:bidi w:val="0"/>
        <w:jc w:val="left"/>
        <w:rPr/>
      </w:pPr>
      <w:r>
        <w:rPr/>
      </w:r>
    </w:p>
    <w:p>
      <w:pPr>
        <w:pStyle w:val="Normal"/>
        <w:bidi w:val="0"/>
        <w:jc w:val="left"/>
        <w:rPr/>
      </w:pPr>
      <w:r>
        <w:rPr/>
        <w:t>Jacoby and Fowler (2005) stated, from a behavioural and economic standpoint, that credit risk can be examined and explained by mathematical modelling. In their investigation of the causal association between macroeconomic variables and non-performing loans of commercial banks, Meyer and Yeager (2006) identified GDP growth rate, interest rate, and unemployment rate as influential factors. Moreover, according to Pesola (2008), a steep decrease in national debt and a low year-over-year GDP level have a major impact on nonperforming loans in commercial banks, hence influencing the default risk of banks.</w:t>
      </w:r>
    </w:p>
    <w:p>
      <w:pPr>
        <w:pStyle w:val="Normal"/>
        <w:bidi w:val="0"/>
        <w:jc w:val="left"/>
        <w:rPr/>
      </w:pPr>
      <w:r>
        <w:rPr/>
      </w:r>
    </w:p>
    <w:p>
      <w:pPr>
        <w:pStyle w:val="Normal"/>
        <w:bidi w:val="0"/>
        <w:jc w:val="left"/>
        <w:rPr/>
      </w:pPr>
      <w:r>
        <w:rPr/>
        <w:t>The KMV model, which is based on the theories of Scholes and Merton, is usually regarded as the dominant model for modern risk assessment. According to Mcquown (2005), a company's current operating conditions accurately reflect its financial state, while its current share price reflects its future trajectory. Thus, an effective credit evaluation necessitates contemporaneous examination of the share price and the company's present financial status. Several experts have investigated the KMV model and found that it is the most effective model for assessing risk (Arora et al., 2009; Koraclev and Dwyer, 2017).The narrow definition of credit risk in commercial banks is default risk, which occurs when bank borrowers fail to meet their loan covenants, resulting in losses for the banks. Yet, numerous credit risk models view credit as meeting a particular condition (Ying and Shouchaun, 2010). From a larger viewpoint, banks are anticipated to incur losses due to their diversified investment portfolios and the borrower's diminished credit rating. Thus, risk should generally be considered as the impact of unforeseen events on the creditworthiness of particular loans, resulting in a decline in the income of commercial banks and, eventually, losses (Bingzheng and Puxain, 2021).</w:t>
      </w:r>
    </w:p>
    <w:p>
      <w:pPr>
        <w:pStyle w:val="Normal"/>
        <w:bidi w:val="0"/>
        <w:jc w:val="left"/>
        <w:rPr/>
      </w:pPr>
      <w:r>
        <w:rPr/>
      </w:r>
    </w:p>
    <w:p>
      <w:pPr>
        <w:pStyle w:val="Normal"/>
        <w:bidi w:val="0"/>
        <w:jc w:val="left"/>
        <w:rPr/>
      </w:pPr>
      <w:r>
        <w:rPr/>
        <w:t>In terms of credit risk measurement, the KMV model, Credit Metrics Model, Credit Risk+ Model, and Credit Portfolio View model are the most often employed models. The KMV model evaluates the default rate of borrowing firms based on financial data and stock price, allowing for the forecast of future asset changes. Meanwhile, J.P. Morgan's 1997 Credit Metrics Model evaluates only the credit risk of the company and not the present market scenario. It utilises the company's credit rating as the sole evaluating factor and generates a transition probability matrix to assess the company's default risk. The Credit Risk+ Model, which was initially established by Bostin bank in 1996 for insurance computation, operates on the assumption that there is no link between loans and that the default bank of each loan is relatively modest, with varying probability. The Credit Portfolio View model, developed in 1997 by Wilson and McKinsey, is a multifactor credit quantitative model that analyses credit rating based on systematic macroeconomic and non-systematic shock variables. It evaluates the credit risk of consumers as a whole by calculating both the probability of default and the risk of default (see figure 1.7).</w:t>
      </w:r>
    </w:p>
    <w:p>
      <w:pPr>
        <w:pStyle w:val="Normal"/>
        <w:bidi w:val="0"/>
        <w:jc w:val="left"/>
        <w:rPr/>
      </w:pPr>
      <w:r>
        <w:rPr/>
      </w:r>
    </w:p>
    <w:p>
      <w:pPr>
        <w:pStyle w:val="Normal"/>
        <w:bidi w:val="0"/>
        <w:jc w:val="left"/>
        <w:rPr/>
      </w:pPr>
      <w:r>
        <w:rPr/>
        <w:t>Figure 1.7: Comparison of Modern probability-based credit risk metrics models</w:t>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t xml:space="preserve">Credit risk measurement model </w:t>
      </w:r>
    </w:p>
    <w:p>
      <w:pPr>
        <w:pStyle w:val="Normal"/>
        <w:bidi w:val="0"/>
        <w:jc w:val="left"/>
        <w:rPr/>
      </w:pPr>
      <w:r>
        <w:rPr/>
      </w:r>
    </w:p>
    <w:p>
      <w:pPr>
        <w:pStyle w:val="Normal"/>
        <w:bidi w:val="0"/>
        <w:jc w:val="left"/>
        <w:rPr/>
      </w:pPr>
      <w:r>
        <w:rPr/>
        <w:t xml:space="preserve">Credit metrics model </w:t>
      </w:r>
    </w:p>
    <w:p>
      <w:pPr>
        <w:pStyle w:val="Normal"/>
        <w:bidi w:val="0"/>
        <w:jc w:val="left"/>
        <w:rPr/>
      </w:pPr>
      <w:r>
        <w:rPr/>
      </w:r>
    </w:p>
    <w:p>
      <w:pPr>
        <w:pStyle w:val="Normal"/>
        <w:bidi w:val="0"/>
        <w:jc w:val="left"/>
        <w:rPr/>
      </w:pPr>
      <w:r>
        <w:rPr/>
        <w:t>Credit-portfolio -VIEW MODEL</w:t>
      </w:r>
    </w:p>
    <w:p>
      <w:pPr>
        <w:pStyle w:val="Normal"/>
        <w:bidi w:val="0"/>
        <w:jc w:val="left"/>
        <w:rPr/>
      </w:pPr>
      <w:r>
        <w:rPr/>
      </w:r>
    </w:p>
    <w:p>
      <w:pPr>
        <w:pStyle w:val="Normal"/>
        <w:bidi w:val="0"/>
        <w:jc w:val="left"/>
        <w:rPr/>
      </w:pPr>
      <w:r>
        <w:rPr/>
        <w:t xml:space="preserve">Credit Risk+ Model </w:t>
      </w:r>
    </w:p>
    <w:p>
      <w:pPr>
        <w:pStyle w:val="Normal"/>
        <w:bidi w:val="0"/>
        <w:jc w:val="left"/>
        <w:rPr/>
      </w:pPr>
      <w:r>
        <w:rPr/>
      </w:r>
    </w:p>
    <w:p>
      <w:pPr>
        <w:pStyle w:val="Normal"/>
        <w:bidi w:val="0"/>
        <w:jc w:val="left"/>
        <w:rPr/>
      </w:pPr>
      <w:r>
        <w:rPr/>
        <w:t xml:space="preserve">KMV Model </w:t>
      </w:r>
    </w:p>
    <w:p>
      <w:pPr>
        <w:pStyle w:val="Normal"/>
        <w:bidi w:val="0"/>
        <w:jc w:val="left"/>
        <w:rPr/>
      </w:pPr>
      <w:r>
        <w:rPr/>
      </w:r>
    </w:p>
    <w:p>
      <w:pPr>
        <w:pStyle w:val="Normal"/>
        <w:bidi w:val="0"/>
        <w:jc w:val="left"/>
        <w:rPr/>
      </w:pPr>
      <w:r>
        <w:rPr/>
        <w:t xml:space="preserve">Asset Value </w:t>
      </w:r>
    </w:p>
    <w:p>
      <w:pPr>
        <w:pStyle w:val="Normal"/>
        <w:bidi w:val="0"/>
        <w:jc w:val="left"/>
        <w:rPr/>
      </w:pPr>
      <w:r>
        <w:rPr/>
      </w:r>
    </w:p>
    <w:p>
      <w:pPr>
        <w:pStyle w:val="Normal"/>
        <w:bidi w:val="0"/>
        <w:jc w:val="left"/>
        <w:rPr/>
      </w:pPr>
      <w:r>
        <w:rPr/>
        <w:t>Discrete type</w:t>
      </w:r>
    </w:p>
    <w:p>
      <w:pPr>
        <w:pStyle w:val="Normal"/>
        <w:bidi w:val="0"/>
        <w:jc w:val="left"/>
        <w:rPr/>
      </w:pPr>
      <w:r>
        <w:rPr/>
      </w:r>
    </w:p>
    <w:p>
      <w:pPr>
        <w:pStyle w:val="Normal"/>
        <w:bidi w:val="0"/>
        <w:jc w:val="left"/>
        <w:rPr/>
      </w:pPr>
      <w:r>
        <w:rPr/>
        <w:t xml:space="preserve">Continuous and discrete type </w:t>
      </w:r>
    </w:p>
    <w:p>
      <w:pPr>
        <w:pStyle w:val="Normal"/>
        <w:bidi w:val="0"/>
        <w:jc w:val="left"/>
        <w:rPr/>
      </w:pPr>
      <w:r>
        <w:rPr/>
      </w:r>
    </w:p>
    <w:p>
      <w:pPr>
        <w:pStyle w:val="Normal"/>
        <w:bidi w:val="0"/>
        <w:jc w:val="left"/>
        <w:rPr/>
      </w:pPr>
      <w:r>
        <w:rPr/>
        <w:t>Discrete type</w:t>
      </w:r>
    </w:p>
    <w:p>
      <w:pPr>
        <w:pStyle w:val="Normal"/>
        <w:bidi w:val="0"/>
        <w:jc w:val="left"/>
        <w:rPr/>
      </w:pPr>
      <w:r>
        <w:rPr/>
      </w:r>
    </w:p>
    <w:p>
      <w:pPr>
        <w:pStyle w:val="Normal"/>
        <w:bidi w:val="0"/>
        <w:jc w:val="left"/>
        <w:rPr/>
      </w:pPr>
      <w:r>
        <w:rPr/>
        <w:t>Successive type</w:t>
      </w:r>
    </w:p>
    <w:p>
      <w:pPr>
        <w:pStyle w:val="Normal"/>
        <w:bidi w:val="0"/>
        <w:jc w:val="left"/>
        <w:rPr/>
      </w:pPr>
      <w:r>
        <w:rPr/>
      </w:r>
    </w:p>
    <w:p>
      <w:pPr>
        <w:pStyle w:val="Normal"/>
        <w:bidi w:val="0"/>
        <w:jc w:val="left"/>
        <w:rPr/>
      </w:pPr>
      <w:r>
        <w:rPr/>
        <w:t xml:space="preserve">Data Dependency </w:t>
      </w:r>
    </w:p>
    <w:p>
      <w:pPr>
        <w:pStyle w:val="Normal"/>
        <w:bidi w:val="0"/>
        <w:jc w:val="left"/>
        <w:rPr/>
      </w:pPr>
      <w:r>
        <w:rPr/>
      </w:r>
    </w:p>
    <w:p>
      <w:pPr>
        <w:pStyle w:val="Normal"/>
        <w:bidi w:val="0"/>
        <w:jc w:val="left"/>
        <w:rPr/>
      </w:pPr>
      <w:r>
        <w:rPr/>
        <w:t xml:space="preserve">long-term industry data based on credit rating evaluated by rating company, national and industry indexes and trading information </w:t>
      </w:r>
    </w:p>
    <w:p>
      <w:pPr>
        <w:pStyle w:val="Normal"/>
        <w:bidi w:val="0"/>
        <w:jc w:val="left"/>
        <w:rPr/>
      </w:pPr>
      <w:r>
        <w:rPr/>
      </w:r>
    </w:p>
    <w:p>
      <w:pPr>
        <w:pStyle w:val="Normal"/>
        <w:bidi w:val="0"/>
        <w:jc w:val="left"/>
        <w:rPr/>
      </w:pPr>
      <w:r>
        <w:rPr/>
        <w:t>High – Large amounts of historical data required and national macroeconomic data</w:t>
      </w:r>
    </w:p>
    <w:p>
      <w:pPr>
        <w:pStyle w:val="Normal"/>
        <w:bidi w:val="0"/>
        <w:jc w:val="left"/>
        <w:rPr/>
      </w:pPr>
      <w:r>
        <w:rPr/>
      </w:r>
    </w:p>
    <w:p>
      <w:pPr>
        <w:pStyle w:val="Normal"/>
        <w:bidi w:val="0"/>
        <w:jc w:val="left"/>
        <w:rPr/>
      </w:pPr>
      <w:r>
        <w:rPr/>
        <w:t xml:space="preserve">Medium – requires risk exposure level and company default probability data </w:t>
      </w:r>
    </w:p>
    <w:p>
      <w:pPr>
        <w:pStyle w:val="Normal"/>
        <w:bidi w:val="0"/>
        <w:jc w:val="left"/>
        <w:rPr/>
      </w:pPr>
      <w:r>
        <w:rPr/>
      </w:r>
    </w:p>
    <w:p>
      <w:pPr>
        <w:pStyle w:val="Normal"/>
        <w:bidi w:val="0"/>
        <w:jc w:val="left"/>
        <w:rPr/>
      </w:pPr>
      <w:r>
        <w:rPr/>
        <w:t xml:space="preserve">Medium – stock price information and financial index information of listed companies </w:t>
      </w:r>
    </w:p>
    <w:p>
      <w:pPr>
        <w:pStyle w:val="Normal"/>
        <w:bidi w:val="0"/>
        <w:jc w:val="left"/>
        <w:rPr/>
      </w:pPr>
      <w:r>
        <w:rPr/>
      </w:r>
    </w:p>
    <w:p>
      <w:pPr>
        <w:pStyle w:val="Normal"/>
        <w:bidi w:val="0"/>
        <w:jc w:val="left"/>
        <w:rPr/>
      </w:pPr>
      <w:r>
        <w:rPr/>
        <w:t>Risk Driver</w:t>
      </w:r>
    </w:p>
    <w:p>
      <w:pPr>
        <w:pStyle w:val="Normal"/>
        <w:bidi w:val="0"/>
        <w:jc w:val="left"/>
        <w:rPr/>
      </w:pPr>
      <w:r>
        <w:rPr/>
      </w:r>
    </w:p>
    <w:p>
      <w:pPr>
        <w:pStyle w:val="Normal"/>
        <w:bidi w:val="0"/>
        <w:jc w:val="left"/>
        <w:rPr/>
      </w:pPr>
      <w:r>
        <w:rPr/>
        <w:t xml:space="preserve">Value of company assets </w:t>
      </w:r>
    </w:p>
    <w:p>
      <w:pPr>
        <w:pStyle w:val="Normal"/>
        <w:bidi w:val="0"/>
        <w:jc w:val="left"/>
        <w:rPr/>
      </w:pPr>
      <w:r>
        <w:rPr/>
      </w:r>
    </w:p>
    <w:p>
      <w:pPr>
        <w:pStyle w:val="Normal"/>
        <w:bidi w:val="0"/>
        <w:jc w:val="left"/>
        <w:rPr/>
      </w:pPr>
      <w:r>
        <w:rPr/>
        <w:t xml:space="preserve">National macro economy </w:t>
      </w:r>
    </w:p>
    <w:p>
      <w:pPr>
        <w:pStyle w:val="Normal"/>
        <w:bidi w:val="0"/>
        <w:jc w:val="left"/>
        <w:rPr/>
      </w:pPr>
      <w:r>
        <w:rPr/>
      </w:r>
    </w:p>
    <w:p>
      <w:pPr>
        <w:pStyle w:val="Normal"/>
        <w:bidi w:val="0"/>
        <w:jc w:val="left"/>
        <w:rPr/>
      </w:pPr>
      <w:r>
        <w:rPr/>
        <w:t xml:space="preserve">Default rate of the company </w:t>
      </w:r>
    </w:p>
    <w:p>
      <w:pPr>
        <w:pStyle w:val="Normal"/>
        <w:bidi w:val="0"/>
        <w:jc w:val="left"/>
        <w:rPr/>
      </w:pPr>
      <w:r>
        <w:rPr/>
      </w:r>
    </w:p>
    <w:p>
      <w:pPr>
        <w:pStyle w:val="Normal"/>
        <w:bidi w:val="0"/>
        <w:jc w:val="left"/>
        <w:rPr/>
      </w:pPr>
      <w:r>
        <w:rPr/>
        <w:t xml:space="preserve">Value of Company assets </w:t>
      </w:r>
    </w:p>
    <w:p>
      <w:pPr>
        <w:pStyle w:val="Normal"/>
        <w:bidi w:val="0"/>
        <w:jc w:val="left"/>
        <w:rPr/>
      </w:pPr>
      <w:r>
        <w:rPr/>
      </w:r>
    </w:p>
    <w:p>
      <w:pPr>
        <w:pStyle w:val="Normal"/>
        <w:bidi w:val="0"/>
        <w:jc w:val="left"/>
        <w:rPr/>
      </w:pPr>
      <w:r>
        <w:rPr/>
        <w:t xml:space="preserve">Applicability of method </w:t>
      </w:r>
    </w:p>
    <w:p>
      <w:pPr>
        <w:pStyle w:val="Normal"/>
        <w:bidi w:val="0"/>
        <w:jc w:val="left"/>
        <w:rPr/>
      </w:pPr>
      <w:r>
        <w:rPr/>
      </w:r>
    </w:p>
    <w:p>
      <w:pPr>
        <w:pStyle w:val="Normal"/>
        <w:bidi w:val="0"/>
        <w:jc w:val="left"/>
        <w:rPr/>
      </w:pPr>
      <w:r>
        <w:rPr/>
        <w:t xml:space="preserve">Wide – requires large credit rating data </w:t>
      </w:r>
    </w:p>
    <w:p>
      <w:pPr>
        <w:pStyle w:val="Normal"/>
        <w:bidi w:val="0"/>
        <w:jc w:val="left"/>
        <w:rPr/>
      </w:pPr>
      <w:r>
        <w:rPr/>
      </w:r>
    </w:p>
    <w:p>
      <w:pPr>
        <w:pStyle w:val="Normal"/>
        <w:bidi w:val="0"/>
        <w:jc w:val="left"/>
        <w:rPr/>
      </w:pPr>
      <w:r>
        <w:rPr/>
        <w:t xml:space="preserve">Wide – requires historical price and transaction volume on loans </w:t>
      </w:r>
    </w:p>
    <w:p>
      <w:pPr>
        <w:pStyle w:val="Normal"/>
        <w:bidi w:val="0"/>
        <w:jc w:val="left"/>
        <w:rPr/>
      </w:pPr>
      <w:r>
        <w:rPr/>
      </w:r>
    </w:p>
    <w:p>
      <w:pPr>
        <w:pStyle w:val="Normal"/>
        <w:bidi w:val="0"/>
        <w:jc w:val="left"/>
        <w:rPr/>
      </w:pPr>
      <w:r>
        <w:rPr/>
        <w:t xml:space="preserve">Wide- model requires credit rating data </w:t>
      </w:r>
    </w:p>
    <w:p>
      <w:pPr>
        <w:pStyle w:val="Normal"/>
        <w:bidi w:val="0"/>
        <w:jc w:val="left"/>
        <w:rPr/>
      </w:pPr>
      <w:r>
        <w:rPr/>
      </w:r>
    </w:p>
    <w:p>
      <w:pPr>
        <w:pStyle w:val="Normal"/>
        <w:bidi w:val="0"/>
        <w:jc w:val="left"/>
        <w:rPr/>
      </w:pPr>
      <w:r>
        <w:rPr/>
        <w:t>Medium – applicable to only listed companies</w:t>
      </w:r>
    </w:p>
    <w:p>
      <w:pPr>
        <w:pStyle w:val="Normal"/>
        <w:bidi w:val="0"/>
        <w:jc w:val="left"/>
        <w:rPr/>
      </w:pPr>
      <w:r>
        <w:rPr/>
      </w:r>
    </w:p>
    <w:p>
      <w:pPr>
        <w:pStyle w:val="Normal"/>
        <w:bidi w:val="0"/>
        <w:jc w:val="left"/>
        <w:rPr/>
      </w:pPr>
      <w:r>
        <w:rPr/>
        <w:t xml:space="preserve">Evaluate the accuracy </w:t>
      </w:r>
    </w:p>
    <w:p>
      <w:pPr>
        <w:pStyle w:val="Normal"/>
        <w:bidi w:val="0"/>
        <w:jc w:val="left"/>
        <w:rPr/>
      </w:pPr>
      <w:r>
        <w:rPr/>
      </w:r>
    </w:p>
    <w:p>
      <w:pPr>
        <w:pStyle w:val="Normal"/>
        <w:bidi w:val="0"/>
        <w:jc w:val="left"/>
        <w:rPr/>
      </w:pPr>
      <w:r>
        <w:rPr/>
        <w:t xml:space="preserve">Results are accurate, ignoring situation of industry </w:t>
      </w:r>
    </w:p>
    <w:p>
      <w:pPr>
        <w:pStyle w:val="Normal"/>
        <w:bidi w:val="0"/>
        <w:jc w:val="left"/>
        <w:rPr/>
      </w:pPr>
      <w:r>
        <w:rPr/>
      </w:r>
    </w:p>
    <w:p>
      <w:pPr>
        <w:pStyle w:val="Normal"/>
        <w:bidi w:val="0"/>
        <w:jc w:val="left"/>
        <w:rPr/>
      </w:pPr>
      <w:r>
        <w:rPr/>
        <w:t xml:space="preserve">Accurate but has a time delay </w:t>
      </w:r>
    </w:p>
    <w:p>
      <w:pPr>
        <w:pStyle w:val="Normal"/>
        <w:bidi w:val="0"/>
        <w:jc w:val="left"/>
        <w:rPr/>
      </w:pPr>
      <w:r>
        <w:rPr/>
      </w:r>
    </w:p>
    <w:p>
      <w:pPr>
        <w:pStyle w:val="Normal"/>
        <w:bidi w:val="0"/>
        <w:jc w:val="left"/>
        <w:rPr/>
      </w:pPr>
      <w:r>
        <w:rPr/>
        <w:t xml:space="preserve">Accurate and continuous </w:t>
      </w:r>
    </w:p>
    <w:p>
      <w:pPr>
        <w:pStyle w:val="Normal"/>
        <w:bidi w:val="0"/>
        <w:jc w:val="left"/>
        <w:rPr/>
      </w:pPr>
      <w:r>
        <w:rPr/>
      </w:r>
    </w:p>
    <w:p>
      <w:pPr>
        <w:pStyle w:val="Normal"/>
        <w:bidi w:val="0"/>
        <w:jc w:val="left"/>
        <w:rPr/>
      </w:pPr>
      <w:r>
        <w:rPr/>
        <w:t xml:space="preserve">Accurate and real-time </w:t>
      </w:r>
    </w:p>
    <w:p>
      <w:pPr>
        <w:pStyle w:val="Normal"/>
        <w:bidi w:val="0"/>
        <w:jc w:val="left"/>
        <w:rPr/>
      </w:pPr>
      <w:r>
        <w:rPr/>
      </w:r>
    </w:p>
    <w:p>
      <w:pPr>
        <w:pStyle w:val="Normal"/>
        <w:bidi w:val="0"/>
        <w:jc w:val="left"/>
        <w:rPr/>
      </w:pPr>
      <w:r>
        <w:rPr/>
      </w:r>
    </w:p>
    <w:p>
      <w:pPr>
        <w:pStyle w:val="Normal"/>
        <w:bidi w:val="0"/>
        <w:jc w:val="left"/>
        <w:rPr/>
      </w:pPr>
      <w:r>
        <w:rPr/>
        <w:t>2 | Page</w:t>
      </w:r>
    </w:p>
    <w:p>
      <w:pPr>
        <w:pStyle w:val="Normal"/>
        <w:bidi w:val="0"/>
        <w:jc w:val="left"/>
        <w:rPr/>
      </w:pPr>
      <w:r>
        <w:rPr/>
      </w:r>
    </w:p>
    <w:p>
      <w:pPr>
        <w:pStyle w:val="Normal"/>
        <w:bidi w:val="0"/>
        <w:jc w:val="left"/>
        <w:rPr/>
      </w:pPr>
      <w:r>
        <w:rPr/>
        <w:t xml:space="preserve">1.9: Hypothesise development </w:t>
      </w:r>
    </w:p>
    <w:p>
      <w:pPr>
        <w:pStyle w:val="Normal"/>
        <w:bidi w:val="0"/>
        <w:jc w:val="left"/>
        <w:rPr/>
      </w:pPr>
      <w:r>
        <w:rPr/>
      </w:r>
    </w:p>
    <w:p>
      <w:pPr>
        <w:pStyle w:val="Normal"/>
        <w:bidi w:val="0"/>
        <w:jc w:val="left"/>
        <w:rPr/>
      </w:pPr>
      <w:r>
        <w:rPr/>
        <w:t xml:space="preserve">The basic problem addressed in this study is: do internal and external corporate governance mechanisms have a significant impact on the default risk of commercial banks in Nigeria?  To the best of our knowledge there is no direct evidence to the posited question, as the literature on this topic is based primarily on US, Asian and European data. Many scholars have argued that the external corporate governance mechanisms are more effective in western cultures as reflected by more frequent merger and acquisitions that act as a deterrent to the underperforming companies, a effective legal system that minority shareholder rights through appropriate financial audit requirements and functioning regulatory bodies, better enforcement for violating financial corporate governance  regulations and more frequent shareholder litigation activities. This study argues that external corporate governance mechanisms benefit Nigerian Commercial banks and will reduce their default risk. Compared to US, Asian and European countries, Nigeria has fewer (24) banks giving financial regulators in Nigeria the added advantage of having a closer relationship with banks and therefore the ability to closely monitor the activities of Nigerian commercial banks. In other words the small pool of 24 commercial banks provides Nigerian financial regulators an opportunity to monitor bank risk policies, procedures and maintain a close relationship with banks’ CEOs considering the opportunity cost compared to more banks. In order for banks to exhibit behaviours more in line with best international corporate governance practices compared to the pre consolidation period of Nigerian commercial banks. This study will use corporate governance variables proxied by board structure, board committees (nomination and audit committees) and financial audit procedures for financial statements to measure the extent to which individual Nigerian commercial banks are default risk and propose that financial regulatory multiplicity in Nigeria increases the risk of bank default. Based on this discussing this study proposes the following hypothesis: </w:t>
      </w:r>
    </w:p>
    <w:p>
      <w:pPr>
        <w:pStyle w:val="Normal"/>
        <w:bidi w:val="0"/>
        <w:jc w:val="left"/>
        <w:rPr/>
      </w:pPr>
      <w:r>
        <w:rPr/>
      </w:r>
    </w:p>
    <w:p>
      <w:pPr>
        <w:pStyle w:val="Normal"/>
        <w:bidi w:val="0"/>
        <w:jc w:val="left"/>
        <w:rPr/>
      </w:pPr>
      <w:r>
        <w:rPr/>
        <w:t>H1: External governance mechanisms proxied by regulatory multiplicity, captured in the financial audit procedures increases the default risk of Nigerian commercial banks.</w:t>
      </w:r>
    </w:p>
    <w:p>
      <w:pPr>
        <w:pStyle w:val="Normal"/>
        <w:bidi w:val="0"/>
        <w:jc w:val="left"/>
        <w:rPr/>
      </w:pPr>
      <w:r>
        <w:rPr/>
      </w:r>
    </w:p>
    <w:p>
      <w:pPr>
        <w:pStyle w:val="Normal"/>
        <w:bidi w:val="0"/>
        <w:jc w:val="left"/>
        <w:rPr/>
      </w:pPr>
      <w:r>
        <w:rPr/>
        <w:t xml:space="preserve">Considering the variations among commercial banks in Nigeria with respect to their internal governance mechanisms, it is pertinent to take into account divergences in the autonomy of audit and nomination committees, the composition of the board, and financial audit procedures, which may exhibit disparities across banks. For example, board structure (board size, CEO duality, independence) and board committee (audit and nomination committee) will vary between banks and therefore the board monitoring of banks in form and substance will vary. Based on this discussing this study proposes the following hypothesis: </w:t>
      </w:r>
    </w:p>
    <w:p>
      <w:pPr>
        <w:pStyle w:val="Normal"/>
        <w:bidi w:val="0"/>
        <w:jc w:val="left"/>
        <w:rPr/>
      </w:pPr>
      <w:r>
        <w:rPr/>
      </w:r>
    </w:p>
    <w:p>
      <w:pPr>
        <w:pStyle w:val="Normal"/>
        <w:bidi w:val="0"/>
        <w:jc w:val="left"/>
        <w:rPr/>
      </w:pPr>
      <w:r>
        <w:rPr/>
        <w:t>H2a: Internal corporate governance variables proxied by the board structure will have an impact in the default risk on commercial banks in Nigeria</w:t>
      </w:r>
    </w:p>
    <w:p>
      <w:pPr>
        <w:pStyle w:val="Normal"/>
        <w:bidi w:val="0"/>
        <w:jc w:val="left"/>
        <w:rPr/>
      </w:pPr>
      <w:r>
        <w:rPr/>
      </w:r>
    </w:p>
    <w:p>
      <w:pPr>
        <w:pStyle w:val="Normal"/>
        <w:bidi w:val="0"/>
        <w:jc w:val="left"/>
        <w:rPr/>
      </w:pPr>
      <w:r>
        <w:rPr/>
        <w:t>H2b: Internal corporate governance variables proxied by the board committees will have an impact in the default risk on commercial banks in Nigeria</w:t>
      </w:r>
    </w:p>
    <w:p>
      <w:pPr>
        <w:pStyle w:val="Normal"/>
        <w:bidi w:val="0"/>
        <w:jc w:val="left"/>
        <w:rPr/>
      </w:pPr>
      <w:r>
        <w:rPr/>
      </w:r>
    </w:p>
    <w:p>
      <w:pPr>
        <w:pStyle w:val="Normal"/>
        <w:bidi w:val="0"/>
        <w:jc w:val="left"/>
        <w:rPr/>
      </w:pPr>
      <w:r>
        <w:rPr/>
        <w:t>To investigate the effect of board structure, this study looks at board size, board independence and CEO duality. There are two leading perspectives in literature, that is the perspective of resource dependency theory (Pfeffer and Salancik 1978) and Agency theory (Jensen 1993).  Resource dependency theory posits that board size is negatively corelated to default risk probability because larger boards are more diverse therefore the wealth of knowledge to rely on when generating internal governance policies is greater and there are more resources available to monitor managers compared to smaller boards. In other words, it more difficult for larger boards to be influenced by concentrated ownership structures (Switzer and Wang 2013). Jensen (1993) argues that larger boards are subject to communication and coordination difficulties, resulting in internal conflicts that diminish the board's effectiveness. According to Yermack (1996) and Eisenberg and Sundgren (1998), board size has a detrimental effect on firm success. Unfortunately, these academics have not considered default risk. Thus, there is little information to establish a correlation between board structure and default risk, especially in Nigeria. This research intends to fill this vacuum in sub-Saharan African literature.</w:t>
      </w:r>
    </w:p>
    <w:p>
      <w:pPr>
        <w:pStyle w:val="Normal"/>
        <w:bidi w:val="0"/>
        <w:jc w:val="left"/>
        <w:rPr/>
      </w:pPr>
      <w:r>
        <w:rPr/>
      </w:r>
    </w:p>
    <w:p>
      <w:pPr>
        <w:pStyle w:val="Normal"/>
        <w:bidi w:val="0"/>
        <w:jc w:val="left"/>
        <w:rPr/>
      </w:pPr>
      <w:r>
        <w:rPr/>
        <w:t>The present research proposes three indicators for assessing board independence in Nigerian commercial banks, namely: the proportion of non-executive directors on the board, CEO duality as captured by a binary variable denoting the joint role of CEO and Chairman of the board, and financial transparency as appraised through the quality of the audit process and corroborated through 26 interviews, thereby yielding a cohesive and comprehensive dataset, as expounded in the Study Objectives section earlier. Furthermore to investigate board committee this study suggest six variables to measure board committee in Nigerian commercial banks; Nomination committee represented as a dummy variable equal to one if the bank reports the existence of a nomination committee; nomination committee size as a count variable for the number of directors listed in the annual report; independent directors of the nomination committee as dummy variable equal to one if more than half of the nomination committee ar In addition, in order to analyse the influence of board committee on default risk, this research suggests six variables for assessing board committee in Nigerian commercial banks. The first variable is Nomination committee, which is a binary variable equal to one if the bank reports the presence of a nomination committee. The size of the Nomination committee is the second variable, which is a count variable reflecting the number of directors included in the annual report. The third variable is the independence of directors on the nomination committee, which is likewise expressed as a binary variable equal to one if more than half of the members of the nomination committee are independent.</w:t>
      </w:r>
    </w:p>
    <w:p>
      <w:pPr>
        <w:pStyle w:val="Normal"/>
        <w:bidi w:val="0"/>
        <w:jc w:val="left"/>
        <w:rPr/>
      </w:pPr>
      <w:r>
        <w:rPr/>
      </w:r>
    </w:p>
    <w:p>
      <w:pPr>
        <w:pStyle w:val="Normal"/>
        <w:bidi w:val="0"/>
        <w:jc w:val="left"/>
        <w:rPr/>
      </w:pPr>
      <w:r>
        <w:rPr/>
        <w:t xml:space="preserve">Regarding the Audit committee, the fourth variable is whether the bank has a committee charged with independently checking the bank's annual financial report. This variable is represented as a binary variable with a value of one if the firm reports having an Audit committee. The fifth variable is the Audit committee size, which is a count variable indicating the number of named directors in the annual report. Sixthly, the independence of audit committee directors is expressed as a binary variable equal to one if more than half of the audit committee members are independent directors.e independent. In regards to the audit committee; a bank will be classified as having an audit committee if in their annual report task the committee is tasked with independently proving the financial annual report of the bank; Audit committee will be represented as dummy variable equal to one if the company reports the existence of an Audit committee and; audit committee will be represented as a count variable reflecting the number of directors listed in the annual report; independent director on the audit committee will be represented as dummy variable which is equal to one if more than half of the audit committee are independent directors.  </w:t>
      </w:r>
    </w:p>
    <w:p>
      <w:pPr>
        <w:pStyle w:val="Normal"/>
        <w:bidi w:val="0"/>
        <w:jc w:val="left"/>
        <w:rPr/>
      </w:pPr>
      <w:r>
        <w:rPr/>
      </w:r>
    </w:p>
    <w:p>
      <w:pPr>
        <w:pStyle w:val="Normal"/>
        <w:bidi w:val="0"/>
        <w:jc w:val="left"/>
        <w:rPr/>
      </w:pPr>
      <w:r>
        <w:rPr/>
        <w:t xml:space="preserve">The impact of board independence and by function the nomination committee on risk default is ambiguous. Observers have argued that independent boards provide objective monitoring of manager in order to mitigate the moral hazard problem posited by agency theory. However, if a more independent board allows for manager to act in the best interest of shareholders at the expense of creditors, agency cost will rise resulting in higher default risk. Studies of the effect of board independence on firm performance is conflicting in this regard. Studies have shown no correlation between board independence and firm performance (Black, 2001) while other studies have suggested more independent companies have may have a negative impact on performance (Kumar 2008). Substantive literature does not explore the effect on how internal mechanism affect default risk in commercial banks especially in Nigeria. Furthermore, in commercial banks, board independence, board structure and financial transparency are the main factors that affect how bank default risk is diversified (Switzer and Wang 2013, Switzer et al , 2018). Therefore, this study suggest a mixed result in regards to the relationship between board structure and financial performance in Nigerian banks. Based on the analysis above of board structure, board independence and committees, the study proposes the following hypothesis: </w:t>
      </w:r>
    </w:p>
    <w:p>
      <w:pPr>
        <w:pStyle w:val="Normal"/>
        <w:bidi w:val="0"/>
        <w:jc w:val="left"/>
        <w:rPr/>
      </w:pPr>
      <w:r>
        <w:rPr/>
      </w:r>
    </w:p>
    <w:p>
      <w:pPr>
        <w:pStyle w:val="Normal"/>
        <w:bidi w:val="0"/>
        <w:jc w:val="left"/>
        <w:rPr/>
      </w:pPr>
      <w:r>
        <w:rPr/>
        <w:t>H3: Board structure presents a mixed relationship with commercial bank financial performance in Nigeria.</w:t>
      </w:r>
    </w:p>
    <w:p>
      <w:pPr>
        <w:pStyle w:val="Normal"/>
        <w:bidi w:val="0"/>
        <w:jc w:val="left"/>
        <w:rPr/>
      </w:pPr>
      <w:r>
        <w:rPr/>
      </w:r>
    </w:p>
    <w:p>
      <w:pPr>
        <w:pStyle w:val="Normal"/>
        <w:bidi w:val="0"/>
        <w:jc w:val="left"/>
        <w:rPr/>
      </w:pPr>
      <w:r>
        <w:rPr/>
        <w:t xml:space="preserve">This study suggests analyzing the association between of board structure, board independence and committees and performance metrics (see Figure 1.6) (analyses explain the Objective of studies section). </w:t>
      </w:r>
    </w:p>
    <w:p>
      <w:pPr>
        <w:pStyle w:val="Normal"/>
        <w:bidi w:val="0"/>
        <w:jc w:val="left"/>
        <w:rPr/>
      </w:pPr>
      <w:r>
        <w:rPr/>
      </w:r>
    </w:p>
    <w:p>
      <w:pPr>
        <w:pStyle w:val="Normal"/>
        <w:bidi w:val="0"/>
        <w:jc w:val="left"/>
        <w:rPr/>
      </w:pPr>
      <w:r>
        <w:rPr/>
        <w:t>1.10 Research Questions</w:t>
      </w:r>
    </w:p>
    <w:p>
      <w:pPr>
        <w:pStyle w:val="Normal"/>
        <w:bidi w:val="0"/>
        <w:jc w:val="left"/>
        <w:rPr/>
      </w:pPr>
      <w:r>
        <w:rPr/>
      </w:r>
    </w:p>
    <w:p>
      <w:pPr>
        <w:pStyle w:val="Normal"/>
        <w:bidi w:val="0"/>
        <w:jc w:val="left"/>
        <w:rPr/>
      </w:pPr>
      <w:r>
        <w:rPr/>
        <w:t xml:space="preserve">Based on the analyses in the hypothesis formulation section this study proposes the following research questions: </w:t>
      </w:r>
    </w:p>
    <w:p>
      <w:pPr>
        <w:pStyle w:val="Normal"/>
        <w:bidi w:val="0"/>
        <w:jc w:val="left"/>
        <w:rPr/>
      </w:pPr>
      <w:r>
        <w:rPr/>
      </w:r>
    </w:p>
    <w:p>
      <w:pPr>
        <w:pStyle w:val="Normal"/>
        <w:bidi w:val="0"/>
        <w:jc w:val="left"/>
        <w:rPr/>
      </w:pPr>
      <w:r>
        <w:rPr/>
        <w:t>Q1. Do external governance mechanisms proxied by regulatory multiplicity, captured in the financial audit procedures increases the default risk of Nigerian commercial banks?</w:t>
      </w:r>
    </w:p>
    <w:p>
      <w:pPr>
        <w:pStyle w:val="Normal"/>
        <w:bidi w:val="0"/>
        <w:jc w:val="left"/>
        <w:rPr/>
      </w:pPr>
      <w:r>
        <w:rPr/>
      </w:r>
    </w:p>
    <w:p>
      <w:pPr>
        <w:pStyle w:val="Normal"/>
        <w:bidi w:val="0"/>
        <w:jc w:val="left"/>
        <w:rPr/>
      </w:pPr>
      <w:r>
        <w:rPr/>
        <w:t>Q2a. Does the internal corporate governance variables proxied by the board structure will have an impact in the default risk on commercial banks in Nigeria?</w:t>
      </w:r>
    </w:p>
    <w:p>
      <w:pPr>
        <w:pStyle w:val="Normal"/>
        <w:bidi w:val="0"/>
        <w:jc w:val="left"/>
        <w:rPr/>
      </w:pPr>
      <w:r>
        <w:rPr/>
      </w:r>
    </w:p>
    <w:p>
      <w:pPr>
        <w:pStyle w:val="Normal"/>
        <w:bidi w:val="0"/>
        <w:jc w:val="left"/>
        <w:rPr/>
      </w:pPr>
      <w:r>
        <w:rPr/>
        <w:t>Q2b.Does the internal corporate governance variables proxied by the board committees will have an impact in the default risk on commercial banks in Nigeria?</w:t>
      </w:r>
    </w:p>
    <w:p>
      <w:pPr>
        <w:pStyle w:val="Normal"/>
        <w:bidi w:val="0"/>
        <w:jc w:val="left"/>
        <w:rPr/>
      </w:pPr>
      <w:r>
        <w:rPr/>
      </w:r>
    </w:p>
    <w:p>
      <w:pPr>
        <w:pStyle w:val="Normal"/>
        <w:bidi w:val="0"/>
        <w:jc w:val="left"/>
        <w:rPr/>
      </w:pPr>
      <w:r>
        <w:rPr/>
        <w:t>Q3. Does board structure present a mixed relationship with commercial bank financial performance in Nigeria?</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Nimbus Sans">
    <w:charset w:val="01"/>
    <w:family w:val="swiss"/>
    <w:pitch w:val="variable"/>
  </w:font>
</w:fonts>
</file>

<file path=word/settings.xml><?xml version="1.0" encoding="utf-8"?>
<w:settings xmlns:w="http://schemas.openxmlformats.org/wordprocessingml/2006/main">
  <w:zoom w:percent="121"/>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w:hAnsi="Nimbus Roman" w:eastAsia="Nimbus Sans" w:cs="Nimbus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imbus Roman" w:hAnsi="Nimbus Roman" w:eastAsia="Nimbus Sans" w:cs="Nimbus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Nimbus Sans" w:hAnsi="Nimbus Sans" w:eastAsia="Nimbus Sans"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LibreOffice/24.8.3.2$Linux_X86_64 LibreOffice_project/480$Build-2</Application>
  <AppVersion>15.0000</AppVersion>
  <Pages>25</Pages>
  <Words>11522</Words>
  <Characters>66094</Characters>
  <CharactersWithSpaces>77513</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2025-01-02T14:11:02Z</dcterms:created>
  <dc:creator/>
  <dc:description/>
  <dc:language>en-US</dc:language>
  <cp:lastModifiedBy/>
  <dcterms:modified xsi:type="dcterms:W3CDTF">2025-01-02T14:12:58Z</dcterms:modified>
  <cp:revision>1</cp:revision>
  <dc:subject/>
  <dc:title/>
</cp:coreProperties>
</file>