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565" w:rsidRDefault="004653A3">
      <w:bookmarkStart w:id="0" w:name="_GoBack"/>
      <w:bookmarkEnd w:id="0"/>
      <w:r w:rsidRPr="0054228D">
        <w:rPr>
          <w:rFonts w:ascii="Calibri" w:eastAsia="Times New Roman" w:hAnsi="Calibri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2D4976BD" wp14:editId="6771C45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477000" cy="3924300"/>
            <wp:effectExtent l="0" t="0" r="0" b="0"/>
            <wp:wrapNone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E2310A1" wp14:editId="51AA4F34">
            <wp:extent cx="5943600" cy="2828925"/>
            <wp:effectExtent l="0" t="0" r="0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441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3A3"/>
    <w:rsid w:val="000D6A98"/>
    <w:rsid w:val="00441565"/>
    <w:rsid w:val="0046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4A289-59BC-462D-BF71-86927D53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ANALYSIS</a:t>
            </a:r>
            <a:r>
              <a:rPr lang="en-US" baseline="0"/>
              <a:t> OF FOUR VARIABLES</a:t>
            </a:r>
            <a:endParaRPr lang="en-US"/>
          </a:p>
        </c:rich>
      </c:tx>
      <c:layout>
        <c:manualLayout>
          <c:xMode val="edge"/>
          <c:yMode val="edge"/>
          <c:x val="0.33961756986259073"/>
          <c:y val="2.51572327044025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Sheet1!$A$1:$D$1</c:f>
              <c:strCache>
                <c:ptCount val="4"/>
                <c:pt idx="0">
                  <c:v>Governance and Risk managem</c:v>
                </c:pt>
                <c:pt idx="1">
                  <c:v>Bank governance Practice</c:v>
                </c:pt>
                <c:pt idx="2">
                  <c:v>Regulatory Multiplicity</c:v>
                </c:pt>
                <c:pt idx="3">
                  <c:v>Transparency and accountability</c:v>
                </c:pt>
              </c:strCache>
            </c:strRef>
          </c:cat>
          <c:val>
            <c:numRef>
              <c:f>Sheet1!$A$2:$D$2</c:f>
              <c:numCache>
                <c:formatCode>General</c:formatCode>
                <c:ptCount val="4"/>
                <c:pt idx="0">
                  <c:v>400</c:v>
                </c:pt>
                <c:pt idx="1">
                  <c:v>350</c:v>
                </c:pt>
                <c:pt idx="2">
                  <c:v>100</c:v>
                </c:pt>
                <c:pt idx="3">
                  <c:v>678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11181968"/>
        <c:axId val="311182360"/>
      </c:barChart>
      <c:catAx>
        <c:axId val="311181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1182360"/>
        <c:crosses val="autoZero"/>
        <c:auto val="1"/>
        <c:lblAlgn val="ctr"/>
        <c:lblOffset val="100"/>
        <c:noMultiLvlLbl val="0"/>
      </c:catAx>
      <c:valAx>
        <c:axId val="311182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1181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Sheet1!$A$1:$D$1</c:f>
              <c:strCache>
                <c:ptCount val="4"/>
                <c:pt idx="0">
                  <c:v>Governance and Risk managem</c:v>
                </c:pt>
                <c:pt idx="1">
                  <c:v>Bank governance Practice</c:v>
                </c:pt>
                <c:pt idx="2">
                  <c:v>Regulatory Multiplicity</c:v>
                </c:pt>
                <c:pt idx="3">
                  <c:v>Transparency and accountability</c:v>
                </c:pt>
              </c:strCache>
            </c:strRef>
          </c:cat>
          <c:val>
            <c:numRef>
              <c:f>Sheet1!$A$2:$D$2</c:f>
              <c:numCache>
                <c:formatCode>General</c:formatCode>
                <c:ptCount val="4"/>
                <c:pt idx="0">
                  <c:v>400</c:v>
                </c:pt>
                <c:pt idx="1">
                  <c:v>350</c:v>
                </c:pt>
                <c:pt idx="2">
                  <c:v>100</c:v>
                </c:pt>
                <c:pt idx="3">
                  <c:v>678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11183536"/>
        <c:axId val="311184320"/>
      </c:barChart>
      <c:catAx>
        <c:axId val="311183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1184320"/>
        <c:crosses val="autoZero"/>
        <c:auto val="1"/>
        <c:lblAlgn val="ctr"/>
        <c:lblOffset val="100"/>
        <c:noMultiLvlLbl val="0"/>
      </c:catAx>
      <c:valAx>
        <c:axId val="311184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11835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Manager</dc:creator>
  <cp:keywords/>
  <dc:description/>
  <cp:lastModifiedBy>General Manager</cp:lastModifiedBy>
  <cp:revision>2</cp:revision>
  <dcterms:created xsi:type="dcterms:W3CDTF">2024-11-30T14:18:00Z</dcterms:created>
  <dcterms:modified xsi:type="dcterms:W3CDTF">2024-11-30T14:18:00Z</dcterms:modified>
</cp:coreProperties>
</file>