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5.xml" ContentType="application/vnd.openxmlformats-officedocument.wordprocessingml.footer+xml"/>
  <Override PartName="/word/media/image1.png" ContentType="image/png"/>
  <Override PartName="/word/media/image2.png" ContentType="image/png"/>
  <Override PartName="/word/media/image3.png" ContentType="image/png"/>
  <Override PartName="/word/footer19.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72"/>
          <w:szCs w:val="52"/>
        </w:rPr>
      </w:pPr>
      <w:bookmarkStart w:id="0" w:name="_Toc203392103"/>
      <w:bookmarkStart w:id="1" w:name="_Toc203584771"/>
      <w:bookmarkStart w:id="2" w:name="_Toc203671425"/>
      <w:bookmarkStart w:id="3" w:name="_Toc203671475"/>
      <w:bookmarkStart w:id="4" w:name="_Toc205059274"/>
      <w:bookmarkStart w:id="5" w:name="_Toc205059491"/>
      <w:bookmarkStart w:id="6" w:name="_Toc205059585"/>
      <w:bookmarkStart w:id="7" w:name="_Toc205059646"/>
      <w:bookmarkStart w:id="8" w:name="_Toc203392039"/>
      <w:r>
        <w:rPr>
          <w:sz w:val="72"/>
          <w:szCs w:val="52"/>
        </w:rPr>
        <w:t xml:space="preserve">Corporate Governance Deficiencies at the Board Level in Nigerian Deposit Money Bank’s (DMB’s): Accountability and Transparency </w:t>
      </w:r>
    </w:p>
    <w:p>
      <w:pPr>
        <w:pStyle w:val="Title"/>
        <w:jc w:val="center"/>
        <w:rPr>
          <w:sz w:val="72"/>
          <w:szCs w:val="52"/>
        </w:rPr>
      </w:pPr>
      <w:r>
        <w:rPr>
          <w:sz w:val="72"/>
          <w:szCs w:val="52"/>
        </w:rPr>
      </w:r>
    </w:p>
    <w:p>
      <w:pPr>
        <w:pStyle w:val="Title"/>
        <w:jc w:val="center"/>
        <w:rPr>
          <w:sz w:val="72"/>
          <w:szCs w:val="52"/>
        </w:rPr>
      </w:pPr>
      <w:r>
        <w:rPr>
          <w:sz w:val="72"/>
          <w:szCs w:val="52"/>
        </w:rPr>
      </w:r>
    </w:p>
    <w:p>
      <w:pPr>
        <w:pStyle w:val="Title"/>
        <w:jc w:val="center"/>
        <w:rPr>
          <w:sz w:val="72"/>
          <w:szCs w:val="52"/>
        </w:rPr>
      </w:pPr>
      <w:r>
        <w:rPr>
          <w:sz w:val="72"/>
          <w:szCs w:val="52"/>
        </w:rPr>
        <w:t xml:space="preserve">University of Buckingham </w:t>
      </w:r>
    </w:p>
    <w:sdt>
      <w:sdtPr>
        <w:docPartObj>
          <w:docPartGallery w:val="Table of Contents"/>
          <w:docPartUnique w:val="true"/>
        </w:docPartObj>
      </w:sdtPr>
      <w:sdtContent>
        <w:p>
          <w:pPr>
            <w:pStyle w:val="TOCHeading"/>
            <w:spacing w:before="0" w:after="0"/>
            <w:rPr/>
          </w:pPr>
          <w:r>
            <w:br w:type="page"/>
          </w:r>
          <w:r>
            <w:rPr/>
            <w:t>Table of Contents</w:t>
          </w:r>
        </w:p>
        <w:p>
          <w:pPr>
            <w:pStyle w:val="TOC1"/>
            <w:tabs>
              <w:tab w:val="clear" w:pos="720"/>
              <w:tab w:val="right" w:pos="9962" w:leader="dot"/>
            </w:tabs>
            <w:rPr>
              <w:b w:val="false"/>
              <w:bCs w:val="false"/>
              <w:caps w:val="false"/>
              <w:smallCaps w:val="false"/>
              <w:kern w:val="2"/>
              <w:sz w:val="24"/>
              <w:szCs w:val="24"/>
            </w:rPr>
          </w:pPr>
          <w:r>
            <w:fldChar w:fldCharType="begin"/>
          </w:r>
          <w:r>
            <w:rPr>
              <w:rStyle w:val="IndexLink"/>
              <w:rFonts w:eastAsia="OpenSymbol"/>
            </w:rPr>
            <w:instrText xml:space="preserve"> TOC \o "1-3" \h</w:instrText>
          </w:r>
          <w:r>
            <w:rPr>
              <w:rStyle w:val="IndexLink"/>
              <w:rFonts w:eastAsia="OpenSymbol"/>
            </w:rPr>
            <w:fldChar w:fldCharType="separate"/>
          </w:r>
          <w:hyperlink w:anchor="_Toc205059620">
            <w:r>
              <w:rPr>
                <w:rStyle w:val="IndexLink"/>
                <w:rFonts w:eastAsia="OpenSymbol"/>
              </w:rPr>
              <w:t>Chapter One: Introduction</w:t>
            </w:r>
            <w:r>
              <w:rPr>
                <w:webHidden/>
              </w:rPr>
              <w:fldChar w:fldCharType="begin"/>
            </w:r>
            <w:r>
              <w:rPr>
                <w:webHidden/>
              </w:rPr>
              <w:instrText xml:space="preserve">PAGEREF _Toc205059620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21">
            <w:r>
              <w:rPr>
                <w:rStyle w:val="IndexLink"/>
                <w:rFonts w:eastAsia="OpenSymbol"/>
              </w:rPr>
              <w:t>Executive summary</w:t>
            </w:r>
            <w:r>
              <w:rPr>
                <w:webHidden/>
              </w:rPr>
              <w:fldChar w:fldCharType="begin"/>
            </w:r>
            <w:r>
              <w:rPr>
                <w:webHidden/>
              </w:rPr>
              <w:instrText xml:space="preserve">PAGEREF _Toc205059621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22">
            <w:r>
              <w:rPr>
                <w:rStyle w:val="IndexLink"/>
                <w:rFonts w:eastAsia="OpenSymbol"/>
              </w:rPr>
              <w:t>1.1 Corporate Governance Challenges in Nigeria’s Commercial Banking Sector</w:t>
            </w:r>
            <w:r>
              <w:rPr>
                <w:webHidden/>
              </w:rPr>
              <w:fldChar w:fldCharType="begin"/>
            </w:r>
            <w:r>
              <w:rPr>
                <w:webHidden/>
              </w:rPr>
              <w:instrText xml:space="preserve">PAGEREF _Toc205059622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23">
            <w:r>
              <w:rPr>
                <w:rStyle w:val="IndexLink"/>
                <w:rFonts w:eastAsia="OpenSymbol"/>
              </w:rPr>
              <w:t>1.1.1 Corporate Governance Issues: Emphasis on Transparency and Accountability</w:t>
            </w:r>
            <w:r>
              <w:rPr>
                <w:webHidden/>
              </w:rPr>
              <w:fldChar w:fldCharType="begin"/>
            </w:r>
            <w:r>
              <w:rPr>
                <w:webHidden/>
              </w:rPr>
              <w:instrText xml:space="preserve">PAGEREF _Toc205059623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24">
            <w:r>
              <w:rPr>
                <w:rStyle w:val="IndexLink"/>
                <w:rFonts w:eastAsia="OpenSymbol"/>
              </w:rPr>
              <w:t>1.1.2 Default Risk and Nigerian Banks</w:t>
            </w:r>
            <w:r>
              <w:rPr>
                <w:webHidden/>
              </w:rPr>
              <w:fldChar w:fldCharType="begin"/>
            </w:r>
            <w:r>
              <w:rPr>
                <w:webHidden/>
              </w:rPr>
              <w:instrText xml:space="preserve">PAGEREF _Toc205059624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25">
            <w:r>
              <w:rPr>
                <w:rStyle w:val="IndexLink"/>
                <w:rFonts w:eastAsia="OpenSymbol"/>
              </w:rPr>
              <w:t>1.1.3 Issues of Financial Regulatory Multiplicity in Nigeria</w:t>
            </w:r>
            <w:r>
              <w:rPr>
                <w:webHidden/>
              </w:rPr>
              <w:fldChar w:fldCharType="begin"/>
            </w:r>
            <w:r>
              <w:rPr>
                <w:webHidden/>
              </w:rPr>
              <w:instrText xml:space="preserve">PAGEREF _Toc205059625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26">
            <w:r>
              <w:rPr>
                <w:rStyle w:val="IndexLink"/>
                <w:rFonts w:eastAsia="OpenSymbol"/>
              </w:rPr>
              <w:t>1.1.4: Bank governance challenges in Nigeria</w:t>
            </w:r>
            <w:r>
              <w:rPr>
                <w:webHidden/>
              </w:rPr>
              <w:fldChar w:fldCharType="begin"/>
            </w:r>
            <w:r>
              <w:rPr>
                <w:webHidden/>
              </w:rPr>
              <w:instrText xml:space="preserve">PAGEREF _Toc205059626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27">
            <w:r>
              <w:rPr>
                <w:rStyle w:val="IndexLink"/>
                <w:rFonts w:eastAsia="OpenSymbol"/>
              </w:rPr>
              <w:t>1.2: Problem Question</w:t>
            </w:r>
            <w:r>
              <w:rPr>
                <w:webHidden/>
              </w:rPr>
              <w:fldChar w:fldCharType="begin"/>
            </w:r>
            <w:r>
              <w:rPr>
                <w:webHidden/>
              </w:rPr>
              <w:instrText xml:space="preserve">PAGEREF _Toc205059627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28">
            <w:r>
              <w:rPr>
                <w:rStyle w:val="IndexLink"/>
                <w:rFonts w:eastAsia="OpenSymbol"/>
              </w:rPr>
              <w:t>1.3 Research Question</w:t>
            </w:r>
            <w:r>
              <w:rPr>
                <w:webHidden/>
              </w:rPr>
              <w:fldChar w:fldCharType="begin"/>
            </w:r>
            <w:r>
              <w:rPr>
                <w:webHidden/>
              </w:rPr>
              <w:instrText xml:space="preserve">PAGEREF _Toc205059628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29">
            <w:r>
              <w:rPr>
                <w:rStyle w:val="IndexLink"/>
                <w:rFonts w:eastAsia="OpenSymbol"/>
              </w:rPr>
              <w:t>1.4: Objective of Study</w:t>
            </w:r>
            <w:r>
              <w:rPr>
                <w:webHidden/>
              </w:rPr>
              <w:fldChar w:fldCharType="begin"/>
            </w:r>
            <w:r>
              <w:rPr>
                <w:webHidden/>
              </w:rPr>
              <w:instrText xml:space="preserve">PAGEREF _Toc205059629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0">
            <w:r>
              <w:rPr>
                <w:rStyle w:val="IndexLink"/>
                <w:rFonts w:eastAsia="OpenSymbol"/>
              </w:rPr>
              <w:t>1.5: Hypothesis Development</w:t>
            </w:r>
            <w:r>
              <w:rPr>
                <w:webHidden/>
              </w:rPr>
              <w:fldChar w:fldCharType="begin"/>
            </w:r>
            <w:r>
              <w:rPr>
                <w:webHidden/>
              </w:rPr>
              <w:instrText xml:space="preserve">PAGEREF _Toc205059630 \h</w:instrText>
            </w:r>
            <w:r>
              <w:rPr>
                <w:webHidden/>
              </w:rPr>
              <w:fldChar w:fldCharType="separate"/>
            </w:r>
            <w:r>
              <w:rPr>
                <w:rStyle w:val="IndexLink"/>
                <w:vanish w:val="false"/>
              </w:rPr>
              <w:tab/>
              <w:t>42</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1">
            <w:r>
              <w:rPr>
                <w:rStyle w:val="IndexLink"/>
                <w:rFonts w:eastAsia="OpenSymbol"/>
              </w:rPr>
              <w:t>1.6: The scope of Study</w:t>
            </w:r>
            <w:r>
              <w:rPr>
                <w:webHidden/>
              </w:rPr>
              <w:fldChar w:fldCharType="begin"/>
            </w:r>
            <w:r>
              <w:rPr>
                <w:webHidden/>
              </w:rPr>
              <w:instrText xml:space="preserve">PAGEREF _Toc205059631 \h</w:instrText>
            </w:r>
            <w:r>
              <w:rPr>
                <w:webHidden/>
              </w:rPr>
              <w:fldChar w:fldCharType="separate"/>
            </w:r>
            <w:r>
              <w:rPr>
                <w:rStyle w:val="IndexLink"/>
                <w:vanish w:val="false"/>
              </w:rPr>
              <w:tab/>
              <w:t>47</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2">
            <w:r>
              <w:rPr>
                <w:rStyle w:val="IndexLink"/>
                <w:rFonts w:eastAsia="OpenSymbol"/>
              </w:rPr>
              <w:t>1.7: Motivation of Study</w:t>
            </w:r>
            <w:r>
              <w:rPr>
                <w:webHidden/>
              </w:rPr>
              <w:fldChar w:fldCharType="begin"/>
            </w:r>
            <w:r>
              <w:rPr>
                <w:webHidden/>
              </w:rPr>
              <w:instrText xml:space="preserve">PAGEREF _Toc205059632 \h</w:instrText>
            </w:r>
            <w:r>
              <w:rPr>
                <w:webHidden/>
              </w:rPr>
              <w:fldChar w:fldCharType="separate"/>
            </w:r>
            <w:r>
              <w:rPr>
                <w:rStyle w:val="IndexLink"/>
                <w:vanish w:val="false"/>
              </w:rPr>
              <w:tab/>
              <w:t>52</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3">
            <w:r>
              <w:rPr>
                <w:rStyle w:val="IndexLink"/>
                <w:rFonts w:eastAsia="OpenSymbol"/>
              </w:rPr>
              <w:t>References</w:t>
            </w:r>
            <w:r>
              <w:rPr>
                <w:webHidden/>
              </w:rPr>
              <w:fldChar w:fldCharType="begin"/>
            </w:r>
            <w:r>
              <w:rPr>
                <w:webHidden/>
              </w:rPr>
              <w:instrText xml:space="preserve">PAGEREF _Toc205059633 \h</w:instrText>
            </w:r>
            <w:r>
              <w:rPr>
                <w:webHidden/>
              </w:rPr>
              <w:fldChar w:fldCharType="separate"/>
            </w:r>
            <w:r>
              <w:rPr>
                <w:rStyle w:val="IndexLink"/>
                <w:vanish w:val="false"/>
              </w:rPr>
              <w:tab/>
              <w:t>55</w:t>
            </w:r>
            <w:r>
              <w:rPr>
                <w:webHidden/>
              </w:rPr>
              <w:fldChar w:fldCharType="end"/>
            </w:r>
          </w:hyperlink>
        </w:p>
        <w:p>
          <w:pPr>
            <w:pStyle w:val="TOC1"/>
            <w:tabs>
              <w:tab w:val="clear" w:pos="720"/>
              <w:tab w:val="right" w:pos="9962" w:leader="dot"/>
            </w:tabs>
            <w:rPr>
              <w:b w:val="false"/>
              <w:bCs w:val="false"/>
              <w:caps w:val="false"/>
              <w:smallCaps w:val="false"/>
              <w:kern w:val="2"/>
              <w:sz w:val="24"/>
              <w:szCs w:val="24"/>
            </w:rPr>
          </w:pPr>
          <w:hyperlink w:anchor="_Toc205059634">
            <w:r>
              <w:rPr>
                <w:rStyle w:val="IndexLink"/>
                <w:rFonts w:eastAsia="OpenSymbol"/>
              </w:rPr>
              <w:t>2.0 Literature Review</w:t>
            </w:r>
            <w:r>
              <w:rPr>
                <w:webHidden/>
              </w:rPr>
              <w:fldChar w:fldCharType="begin"/>
            </w:r>
            <w:r>
              <w:rPr>
                <w:webHidden/>
              </w:rPr>
              <w:instrText xml:space="preserve">PAGEREF _Toc205059634 \h</w:instrText>
            </w:r>
            <w:r>
              <w:rPr>
                <w:webHidden/>
              </w:rPr>
              <w:fldChar w:fldCharType="separate"/>
            </w:r>
            <w:r>
              <w:rPr>
                <w:rStyle w:val="IndexLink"/>
                <w:vanish w:val="false"/>
              </w:rPr>
              <w:tab/>
              <w:t>65</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5">
            <w:r>
              <w:rPr>
                <w:rStyle w:val="IndexLink"/>
                <w:rFonts w:eastAsia="OpenSymbol"/>
              </w:rPr>
              <w:t>2.1 Introduction</w:t>
            </w:r>
            <w:r>
              <w:rPr>
                <w:webHidden/>
              </w:rPr>
              <w:fldChar w:fldCharType="begin"/>
            </w:r>
            <w:r>
              <w:rPr>
                <w:webHidden/>
              </w:rPr>
              <w:instrText xml:space="preserve">PAGEREF _Toc205059635 \h</w:instrText>
            </w:r>
            <w:r>
              <w:rPr>
                <w:webHidden/>
              </w:rPr>
              <w:fldChar w:fldCharType="separate"/>
            </w:r>
            <w:r>
              <w:rPr>
                <w:rStyle w:val="IndexLink"/>
                <w:vanish w:val="false"/>
              </w:rPr>
              <w:tab/>
              <w:t>65</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6">
            <w:r>
              <w:rPr>
                <w:rStyle w:val="IndexLink"/>
                <w:rFonts w:eastAsia="OpenSymbol"/>
              </w:rPr>
              <w:t>2.2 Historical Legacies and Governance Evolution</w:t>
            </w:r>
            <w:r>
              <w:rPr>
                <w:webHidden/>
              </w:rPr>
              <w:fldChar w:fldCharType="begin"/>
            </w:r>
            <w:r>
              <w:rPr>
                <w:webHidden/>
              </w:rPr>
              <w:instrText xml:space="preserve">PAGEREF _Toc205059636 \h</w:instrText>
            </w:r>
            <w:r>
              <w:rPr>
                <w:webHidden/>
              </w:rPr>
              <w:fldChar w:fldCharType="separate"/>
            </w:r>
            <w:r>
              <w:rPr>
                <w:rStyle w:val="IndexLink"/>
                <w:vanish w:val="false"/>
              </w:rPr>
              <w:tab/>
              <w:t>67</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7">
            <w:r>
              <w:rPr>
                <w:rStyle w:val="IndexLink"/>
                <w:rFonts w:eastAsia="OpenSymbol"/>
              </w:rPr>
              <w:t>2.3 Regulatory Multiplicity and Enforcement Challenges</w:t>
            </w:r>
            <w:r>
              <w:rPr>
                <w:webHidden/>
              </w:rPr>
              <w:fldChar w:fldCharType="begin"/>
            </w:r>
            <w:r>
              <w:rPr>
                <w:webHidden/>
              </w:rPr>
              <w:instrText xml:space="preserve">PAGEREF _Toc205059637 \h</w:instrText>
            </w:r>
            <w:r>
              <w:rPr>
                <w:webHidden/>
              </w:rPr>
              <w:fldChar w:fldCharType="separate"/>
            </w:r>
            <w:r>
              <w:rPr>
                <w:rStyle w:val="IndexLink"/>
                <w:vanish w:val="false"/>
              </w:rPr>
              <w:tab/>
              <w:t>72</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8">
            <w:r>
              <w:rPr>
                <w:rStyle w:val="IndexLink"/>
                <w:rFonts w:eastAsia="OpenSymbol"/>
              </w:rPr>
              <w:t>2.4 Board Oversight and Independence</w:t>
            </w:r>
            <w:r>
              <w:rPr>
                <w:webHidden/>
              </w:rPr>
              <w:fldChar w:fldCharType="begin"/>
            </w:r>
            <w:r>
              <w:rPr>
                <w:webHidden/>
              </w:rPr>
              <w:instrText xml:space="preserve">PAGEREF _Toc205059638 \h</w:instrText>
            </w:r>
            <w:r>
              <w:rPr>
                <w:webHidden/>
              </w:rPr>
              <w:fldChar w:fldCharType="separate"/>
            </w:r>
            <w:r>
              <w:rPr>
                <w:rStyle w:val="IndexLink"/>
                <w:vanish w:val="false"/>
              </w:rPr>
              <w:tab/>
              <w:t>77</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39">
            <w:r>
              <w:rPr>
                <w:rStyle w:val="IndexLink"/>
                <w:rFonts w:eastAsia="OpenSymbol"/>
              </w:rPr>
              <w:t>2.5 Audit Committee Independence and Financial Reporting</w:t>
            </w:r>
            <w:r>
              <w:rPr>
                <w:webHidden/>
              </w:rPr>
              <w:fldChar w:fldCharType="begin"/>
            </w:r>
            <w:r>
              <w:rPr>
                <w:webHidden/>
              </w:rPr>
              <w:instrText xml:space="preserve">PAGEREF _Toc205059639 \h</w:instrText>
            </w:r>
            <w:r>
              <w:rPr>
                <w:webHidden/>
              </w:rPr>
              <w:fldChar w:fldCharType="separate"/>
            </w:r>
            <w:r>
              <w:rPr>
                <w:rStyle w:val="IndexLink"/>
                <w:vanish w:val="false"/>
              </w:rPr>
              <w:tab/>
              <w:t>80</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0">
            <w:r>
              <w:rPr>
                <w:rStyle w:val="IndexLink"/>
                <w:rFonts w:eastAsia="OpenSymbol"/>
              </w:rPr>
              <w:t>2.6 Management Qualifications and Ethical Decision-Making</w:t>
            </w:r>
            <w:r>
              <w:rPr>
                <w:webHidden/>
              </w:rPr>
              <w:fldChar w:fldCharType="begin"/>
            </w:r>
            <w:r>
              <w:rPr>
                <w:webHidden/>
              </w:rPr>
              <w:instrText xml:space="preserve">PAGEREF _Toc205059640 \h</w:instrText>
            </w:r>
            <w:r>
              <w:rPr>
                <w:webHidden/>
              </w:rPr>
              <w:fldChar w:fldCharType="separate"/>
            </w:r>
            <w:r>
              <w:rPr>
                <w:rStyle w:val="IndexLink"/>
                <w:vanish w:val="false"/>
              </w:rPr>
              <w:tab/>
              <w:t>85</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1">
            <w:r>
              <w:rPr>
                <w:rStyle w:val="IndexLink"/>
                <w:rFonts w:eastAsia="OpenSymbol"/>
              </w:rPr>
              <w:t>2.7 Risk Management Failures and Fraud Concealment</w:t>
            </w:r>
            <w:r>
              <w:rPr>
                <w:webHidden/>
              </w:rPr>
              <w:fldChar w:fldCharType="begin"/>
            </w:r>
            <w:r>
              <w:rPr>
                <w:webHidden/>
              </w:rPr>
              <w:instrText xml:space="preserve">PAGEREF _Toc205059641 \h</w:instrText>
            </w:r>
            <w:r>
              <w:rPr>
                <w:webHidden/>
              </w:rPr>
              <w:fldChar w:fldCharType="separate"/>
            </w:r>
            <w:r>
              <w:rPr>
                <w:rStyle w:val="IndexLink"/>
                <w:vanish w:val="false"/>
              </w:rPr>
              <w:tab/>
              <w:t>88</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2">
            <w:r>
              <w:rPr>
                <w:rStyle w:val="IndexLink"/>
                <w:rFonts w:eastAsia="OpenSymbol"/>
              </w:rPr>
              <w:t>2.8 Default Risk and Non-Performing Loans (NPLs)</w:t>
            </w:r>
            <w:r>
              <w:rPr>
                <w:webHidden/>
              </w:rPr>
              <w:fldChar w:fldCharType="begin"/>
            </w:r>
            <w:r>
              <w:rPr>
                <w:webHidden/>
              </w:rPr>
              <w:instrText xml:space="preserve">PAGEREF _Toc205059642 \h</w:instrText>
            </w:r>
            <w:r>
              <w:rPr>
                <w:webHidden/>
              </w:rPr>
              <w:fldChar w:fldCharType="separate"/>
            </w:r>
            <w:r>
              <w:rPr>
                <w:rStyle w:val="IndexLink"/>
                <w:vanish w:val="false"/>
              </w:rPr>
              <w:tab/>
              <w:t>92</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3">
            <w:r>
              <w:rPr>
                <w:rStyle w:val="IndexLink"/>
                <w:rFonts w:eastAsia="OpenSymbol"/>
              </w:rPr>
              <w:t>2.9 Research Gap and Study Contribution</w:t>
            </w:r>
            <w:r>
              <w:rPr>
                <w:webHidden/>
              </w:rPr>
              <w:fldChar w:fldCharType="begin"/>
            </w:r>
            <w:r>
              <w:rPr>
                <w:webHidden/>
              </w:rPr>
              <w:instrText xml:space="preserve">PAGEREF _Toc205059643 \h</w:instrText>
            </w:r>
            <w:r>
              <w:rPr>
                <w:webHidden/>
              </w:rPr>
              <w:fldChar w:fldCharType="separate"/>
            </w:r>
            <w:r>
              <w:rPr>
                <w:rStyle w:val="IndexLink"/>
                <w:vanish w:val="false"/>
              </w:rPr>
              <w:tab/>
              <w:t>97</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4">
            <w:r>
              <w:rPr>
                <w:rStyle w:val="IndexLink"/>
                <w:rFonts w:eastAsia="OpenSymbol"/>
              </w:rPr>
              <w:t>2.10: Conclusion</w:t>
            </w:r>
            <w:r>
              <w:rPr>
                <w:webHidden/>
              </w:rPr>
              <w:fldChar w:fldCharType="begin"/>
            </w:r>
            <w:r>
              <w:rPr>
                <w:webHidden/>
              </w:rPr>
              <w:instrText xml:space="preserve">PAGEREF _Toc205059644 \h</w:instrText>
            </w:r>
            <w:r>
              <w:rPr>
                <w:webHidden/>
              </w:rPr>
              <w:fldChar w:fldCharType="separate"/>
            </w:r>
            <w:r>
              <w:rPr>
                <w:rStyle w:val="IndexLink"/>
                <w:vanish w:val="false"/>
              </w:rPr>
              <w:tab/>
              <w:t>101</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5">
            <w:r>
              <w:rPr>
                <w:rStyle w:val="IndexLink"/>
                <w:rFonts w:eastAsia="OpenSymbol"/>
              </w:rPr>
              <w:t>References</w:t>
            </w:r>
            <w:r>
              <w:rPr>
                <w:webHidden/>
              </w:rPr>
              <w:fldChar w:fldCharType="begin"/>
            </w:r>
            <w:r>
              <w:rPr>
                <w:webHidden/>
              </w:rPr>
              <w:instrText xml:space="preserve">PAGEREF _Toc205059645 \h</w:instrText>
            </w:r>
            <w:r>
              <w:rPr>
                <w:webHidden/>
              </w:rPr>
              <w:fldChar w:fldCharType="separate"/>
            </w:r>
            <w:r>
              <w:rPr>
                <w:rStyle w:val="IndexLink"/>
                <w:vanish w:val="false"/>
              </w:rPr>
              <w:tab/>
              <w:t>104</w:t>
            </w:r>
            <w:r>
              <w:rPr>
                <w:webHidden/>
              </w:rPr>
              <w:fldChar w:fldCharType="end"/>
            </w:r>
          </w:hyperlink>
        </w:p>
        <w:p>
          <w:pPr>
            <w:pStyle w:val="TOC1"/>
            <w:tabs>
              <w:tab w:val="clear" w:pos="720"/>
              <w:tab w:val="right" w:pos="9962" w:leader="dot"/>
            </w:tabs>
            <w:rPr>
              <w:b w:val="false"/>
              <w:bCs w:val="false"/>
              <w:caps w:val="false"/>
              <w:smallCaps w:val="false"/>
              <w:kern w:val="2"/>
              <w:sz w:val="24"/>
              <w:szCs w:val="24"/>
            </w:rPr>
          </w:pPr>
          <w:hyperlink w:anchor="_Toc205059646">
            <w:r>
              <w:rPr>
                <w:rStyle w:val="IndexLink"/>
                <w:rFonts w:eastAsia="OpenSymbol"/>
              </w:rPr>
              <w:t>Chapter 3: Methodology</w:t>
            </w:r>
            <w:r>
              <w:rPr>
                <w:webHidden/>
              </w:rPr>
              <w:fldChar w:fldCharType="begin"/>
            </w:r>
            <w:r>
              <w:rPr>
                <w:webHidden/>
              </w:rPr>
              <w:instrText xml:space="preserve">PAGEREF _Toc205059646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7">
            <w:r>
              <w:rPr>
                <w:rStyle w:val="IndexLink"/>
                <w:rFonts w:eastAsia="OpenSymbol"/>
              </w:rPr>
              <w:t>3.1 Introduction</w:t>
            </w:r>
            <w:r>
              <w:rPr>
                <w:webHidden/>
              </w:rPr>
              <w:fldChar w:fldCharType="begin"/>
            </w:r>
            <w:r>
              <w:rPr>
                <w:webHidden/>
              </w:rPr>
              <w:instrText xml:space="preserve">PAGEREF _Toc205059647 \h</w:instrText>
            </w:r>
            <w:r>
              <w:rPr>
                <w:webHidden/>
              </w:rPr>
              <w:fldChar w:fldCharType="separate"/>
            </w:r>
            <w:r>
              <w:rPr>
                <w:rStyle w:val="IndexLink"/>
                <w:vanish w:val="false"/>
              </w:rPr>
              <w:tab/>
              <w:t>108</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8">
            <w:r>
              <w:rPr>
                <w:rStyle w:val="IndexLink"/>
                <w:rFonts w:eastAsia="OpenSymbol"/>
              </w:rPr>
              <w:t>3.2 Research Paradigm</w:t>
            </w:r>
            <w:r>
              <w:rPr>
                <w:webHidden/>
              </w:rPr>
              <w:fldChar w:fldCharType="begin"/>
            </w:r>
            <w:r>
              <w:rPr>
                <w:webHidden/>
              </w:rPr>
              <w:instrText xml:space="preserve">PAGEREF _Toc205059648 \h</w:instrText>
            </w:r>
            <w:r>
              <w:rPr>
                <w:webHidden/>
              </w:rPr>
              <w:fldChar w:fldCharType="separate"/>
            </w:r>
            <w:r>
              <w:rPr>
                <w:rStyle w:val="IndexLink"/>
                <w:vanish w:val="false"/>
              </w:rPr>
              <w:tab/>
              <w:t>109</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49">
            <w:r>
              <w:rPr>
                <w:rStyle w:val="IndexLink"/>
                <w:rFonts w:eastAsia="OpenSymbol"/>
              </w:rPr>
              <w:t>3.3 Research Design</w:t>
            </w:r>
            <w:r>
              <w:rPr>
                <w:webHidden/>
              </w:rPr>
              <w:fldChar w:fldCharType="begin"/>
            </w:r>
            <w:r>
              <w:rPr>
                <w:webHidden/>
              </w:rPr>
              <w:instrText xml:space="preserve">PAGEREF _Toc205059649 \h</w:instrText>
            </w:r>
            <w:r>
              <w:rPr>
                <w:webHidden/>
              </w:rPr>
              <w:fldChar w:fldCharType="separate"/>
            </w:r>
            <w:r>
              <w:rPr>
                <w:rStyle w:val="IndexLink"/>
                <w:vanish w:val="false"/>
              </w:rPr>
              <w:tab/>
              <w:t>114</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0">
            <w:r>
              <w:rPr>
                <w:rStyle w:val="IndexLink"/>
                <w:rFonts w:eastAsia="OpenSymbol"/>
              </w:rPr>
              <w:t>3.4 Justification of Non-Performing Loans (NPLs) as a Measure</w:t>
            </w:r>
            <w:r>
              <w:rPr>
                <w:webHidden/>
              </w:rPr>
              <w:fldChar w:fldCharType="begin"/>
            </w:r>
            <w:r>
              <w:rPr>
                <w:webHidden/>
              </w:rPr>
              <w:instrText xml:space="preserve">PAGEREF _Toc205059650 \h</w:instrText>
            </w:r>
            <w:r>
              <w:rPr>
                <w:webHidden/>
              </w:rPr>
              <w:fldChar w:fldCharType="separate"/>
            </w:r>
            <w:r>
              <w:rPr>
                <w:rStyle w:val="IndexLink"/>
                <w:vanish w:val="false"/>
              </w:rPr>
              <w:tab/>
              <w:t>156</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1">
            <w:r>
              <w:rPr>
                <w:rStyle w:val="IndexLink"/>
                <w:rFonts w:eastAsia="OpenSymbol"/>
              </w:rPr>
              <w:t>3.5 Data Collection Methods</w:t>
            </w:r>
            <w:r>
              <w:rPr>
                <w:webHidden/>
              </w:rPr>
              <w:fldChar w:fldCharType="begin"/>
            </w:r>
            <w:r>
              <w:rPr>
                <w:webHidden/>
              </w:rPr>
              <w:instrText xml:space="preserve">PAGEREF _Toc205059651 \h</w:instrText>
            </w:r>
            <w:r>
              <w:rPr>
                <w:webHidden/>
              </w:rPr>
              <w:fldChar w:fldCharType="separate"/>
            </w:r>
            <w:r>
              <w:rPr>
                <w:rStyle w:val="IndexLink"/>
                <w:vanish w:val="false"/>
              </w:rPr>
              <w:tab/>
              <w:t>123</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52">
            <w:r>
              <w:rPr>
                <w:rStyle w:val="IndexLink"/>
                <w:rFonts w:eastAsia="OpenSymbol"/>
              </w:rPr>
              <w:t>3.5.1 Quantitative Component: Questionnaire Survey</w:t>
            </w:r>
            <w:r>
              <w:rPr>
                <w:webHidden/>
              </w:rPr>
              <w:fldChar w:fldCharType="begin"/>
            </w:r>
            <w:r>
              <w:rPr>
                <w:webHidden/>
              </w:rPr>
              <w:instrText xml:space="preserve">PAGEREF _Toc205059652 \h</w:instrText>
            </w:r>
            <w:r>
              <w:rPr>
                <w:webHidden/>
              </w:rPr>
              <w:fldChar w:fldCharType="separate"/>
            </w:r>
            <w:r>
              <w:rPr>
                <w:rStyle w:val="IndexLink"/>
                <w:vanish w:val="false"/>
              </w:rPr>
              <w:tab/>
              <w:t>123</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53">
            <w:r>
              <w:rPr>
                <w:rStyle w:val="IndexLink"/>
                <w:rFonts w:eastAsia="OpenSymbol"/>
              </w:rPr>
              <w:t>3.5.2 Qualitative Component: Semi-Structured Interviews</w:t>
            </w:r>
            <w:r>
              <w:rPr>
                <w:webHidden/>
              </w:rPr>
              <w:fldChar w:fldCharType="begin"/>
            </w:r>
            <w:r>
              <w:rPr>
                <w:webHidden/>
              </w:rPr>
              <w:instrText xml:space="preserve">PAGEREF _Toc205059653 \h</w:instrText>
            </w:r>
            <w:r>
              <w:rPr>
                <w:webHidden/>
              </w:rPr>
              <w:fldChar w:fldCharType="separate"/>
            </w:r>
            <w:r>
              <w:rPr>
                <w:rStyle w:val="IndexLink"/>
                <w:vanish w:val="false"/>
              </w:rPr>
              <w:tab/>
              <w:t>126</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4">
            <w:r>
              <w:rPr>
                <w:rStyle w:val="IndexLink"/>
                <w:rFonts w:eastAsia="OpenSymbol"/>
              </w:rPr>
              <w:t>3.6 Data Analysis</w:t>
            </w:r>
            <w:r>
              <w:rPr>
                <w:webHidden/>
              </w:rPr>
              <w:fldChar w:fldCharType="begin"/>
            </w:r>
            <w:r>
              <w:rPr>
                <w:webHidden/>
              </w:rPr>
              <w:instrText xml:space="preserve">PAGEREF _Toc205059654 \h</w:instrText>
            </w:r>
            <w:r>
              <w:rPr>
                <w:webHidden/>
              </w:rPr>
              <w:fldChar w:fldCharType="separate"/>
            </w:r>
            <w:r>
              <w:rPr>
                <w:rStyle w:val="IndexLink"/>
                <w:vanish w:val="false"/>
              </w:rPr>
              <w:tab/>
              <w:t>170</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5">
            <w:r>
              <w:rPr>
                <w:rStyle w:val="IndexLink"/>
                <w:rFonts w:eastAsia="OpenSymbol"/>
              </w:rPr>
              <w:t>3.7 Validity and Reliability</w:t>
            </w:r>
            <w:r>
              <w:rPr>
                <w:webHidden/>
              </w:rPr>
              <w:fldChar w:fldCharType="begin"/>
            </w:r>
            <w:r>
              <w:rPr>
                <w:webHidden/>
              </w:rPr>
              <w:instrText xml:space="preserve">PAGEREF _Toc205059655 \h</w:instrText>
            </w:r>
            <w:r>
              <w:rPr>
                <w:webHidden/>
              </w:rPr>
              <w:fldChar w:fldCharType="separate"/>
            </w:r>
            <w:r>
              <w:rPr>
                <w:rStyle w:val="IndexLink"/>
                <w:vanish w:val="false"/>
              </w:rPr>
              <w:tab/>
              <w:t>131</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6">
            <w:r>
              <w:rPr>
                <w:rStyle w:val="IndexLink"/>
                <w:rFonts w:eastAsia="OpenSymbol"/>
              </w:rPr>
              <w:t>3.8 Ethical Considerations</w:t>
            </w:r>
            <w:r>
              <w:rPr>
                <w:webHidden/>
              </w:rPr>
              <w:fldChar w:fldCharType="begin"/>
            </w:r>
            <w:r>
              <w:rPr>
                <w:webHidden/>
              </w:rPr>
              <w:instrText xml:space="preserve">PAGEREF _Toc205059656 \h</w:instrText>
            </w:r>
            <w:r>
              <w:rPr>
                <w:webHidden/>
              </w:rPr>
              <w:fldChar w:fldCharType="separate"/>
            </w:r>
            <w:r>
              <w:rPr>
                <w:rStyle w:val="IndexLink"/>
                <w:vanish w:val="false"/>
              </w:rPr>
              <w:tab/>
              <w:t>135</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7">
            <w:r>
              <w:rPr>
                <w:rStyle w:val="IndexLink"/>
                <w:rFonts w:eastAsia="OpenSymbol"/>
              </w:rPr>
              <w:t>3.9 Limitations</w:t>
            </w:r>
            <w:r>
              <w:rPr>
                <w:webHidden/>
              </w:rPr>
              <w:fldChar w:fldCharType="begin"/>
            </w:r>
            <w:r>
              <w:rPr>
                <w:webHidden/>
              </w:rPr>
              <w:instrText xml:space="preserve">PAGEREF _Toc205059657 \h</w:instrText>
            </w:r>
            <w:r>
              <w:rPr>
                <w:webHidden/>
              </w:rPr>
              <w:fldChar w:fldCharType="separate"/>
            </w:r>
            <w:r>
              <w:rPr>
                <w:rStyle w:val="IndexLink"/>
                <w:vanish w:val="false"/>
              </w:rPr>
              <w:tab/>
              <w:t>139</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58">
            <w:r>
              <w:rPr>
                <w:rStyle w:val="IndexLink"/>
                <w:rFonts w:eastAsia="OpenSymbol"/>
              </w:rPr>
              <w:t>3.10 Conclusion</w:t>
            </w:r>
            <w:r>
              <w:rPr>
                <w:webHidden/>
              </w:rPr>
              <w:fldChar w:fldCharType="begin"/>
            </w:r>
            <w:r>
              <w:rPr>
                <w:webHidden/>
              </w:rPr>
              <w:instrText xml:space="preserve">PAGEREF _Toc205059658 \h</w:instrText>
            </w:r>
            <w:r>
              <w:rPr>
                <w:webHidden/>
              </w:rPr>
              <w:fldChar w:fldCharType="separate"/>
            </w:r>
            <w:r>
              <w:rPr>
                <w:rStyle w:val="IndexLink"/>
                <w:vanish w:val="false"/>
              </w:rPr>
              <w:tab/>
              <w:t>200</w:t>
            </w:r>
            <w:r>
              <w:rPr>
                <w:webHidden/>
              </w:rPr>
              <w:fldChar w:fldCharType="end"/>
            </w:r>
          </w:hyperlink>
        </w:p>
        <w:p>
          <w:pPr>
            <w:pStyle w:val="TOC1"/>
            <w:tabs>
              <w:tab w:val="clear" w:pos="720"/>
              <w:tab w:val="right" w:pos="9962" w:leader="dot"/>
            </w:tabs>
            <w:rPr>
              <w:b w:val="false"/>
              <w:bCs w:val="false"/>
              <w:caps w:val="false"/>
              <w:smallCaps w:val="false"/>
              <w:kern w:val="2"/>
              <w:sz w:val="24"/>
              <w:szCs w:val="24"/>
            </w:rPr>
          </w:pPr>
          <w:hyperlink w:anchor="_Toc205059659">
            <w:r>
              <w:rPr>
                <w:rStyle w:val="IndexLink"/>
                <w:rFonts w:eastAsia="OpenSymbol"/>
              </w:rPr>
              <w:t>Chapter 4: Results</w:t>
            </w:r>
            <w:r>
              <w:rPr>
                <w:webHidden/>
              </w:rPr>
              <w:fldChar w:fldCharType="begin"/>
            </w:r>
            <w:r>
              <w:rPr>
                <w:webHidden/>
              </w:rPr>
              <w:instrText xml:space="preserve">PAGEREF _Toc205059659 \h</w:instrText>
            </w:r>
            <w:r>
              <w:rPr>
                <w:webHidden/>
              </w:rPr>
              <w:fldChar w:fldCharType="separate"/>
            </w:r>
            <w:r>
              <w:rPr>
                <w:rStyle w:val="IndexLink"/>
                <w:vanish w:val="false"/>
              </w:rPr>
              <w:tab/>
              <w:t>212</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0">
            <w:r>
              <w:rPr>
                <w:rStyle w:val="IndexLink"/>
                <w:rFonts w:eastAsia="OpenSymbol"/>
              </w:rPr>
              <w:t>4.1 Participant Demographics</w:t>
            </w:r>
            <w:r>
              <w:rPr>
                <w:webHidden/>
              </w:rPr>
              <w:fldChar w:fldCharType="begin"/>
            </w:r>
            <w:r>
              <w:rPr>
                <w:webHidden/>
              </w:rPr>
              <w:instrText xml:space="preserve">PAGEREF _Toc205059660 \h</w:instrText>
            </w:r>
            <w:r>
              <w:rPr>
                <w:webHidden/>
              </w:rPr>
              <w:fldChar w:fldCharType="separate"/>
            </w:r>
            <w:r>
              <w:rPr>
                <w:rStyle w:val="IndexLink"/>
                <w:vanish w:val="false"/>
              </w:rPr>
              <w:tab/>
              <w:t>213</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1">
            <w:r>
              <w:rPr>
                <w:rStyle w:val="IndexLink"/>
                <w:rFonts w:eastAsia="OpenSymbol"/>
              </w:rPr>
              <w:t>4.2 Descriptive Statistics for CG Tenets</w:t>
            </w:r>
            <w:r>
              <w:rPr>
                <w:webHidden/>
              </w:rPr>
              <w:fldChar w:fldCharType="begin"/>
            </w:r>
            <w:r>
              <w:rPr>
                <w:webHidden/>
              </w:rPr>
              <w:instrText xml:space="preserve">PAGEREF _Toc205059661 \h</w:instrText>
            </w:r>
            <w:r>
              <w:rPr>
                <w:webHidden/>
              </w:rPr>
              <w:fldChar w:fldCharType="separate"/>
            </w:r>
            <w:r>
              <w:rPr>
                <w:rStyle w:val="IndexLink"/>
                <w:vanish w:val="false"/>
              </w:rPr>
              <w:tab/>
              <w:t>217</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2">
            <w:r>
              <w:rPr>
                <w:rStyle w:val="IndexLink"/>
                <w:rFonts w:eastAsia="OpenSymbol"/>
              </w:rPr>
              <w:t>4.3 Reliability Analysis</w:t>
            </w:r>
            <w:r>
              <w:rPr>
                <w:rStyle w:val="IndexLink"/>
                <w:vanish w:val="false"/>
              </w:rPr>
              <w:tab/>
            </w:r>
            <w:r>
              <w:rPr>
                <w:webHidden/>
              </w:rPr>
              <w:fldChar w:fldCharType="begin"/>
            </w:r>
            <w:r>
              <w:rPr>
                <w:webHidden/>
              </w:rPr>
              <w:instrText xml:space="preserve">PAGEREF _Toc205059662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3">
            <w:r>
              <w:rPr>
                <w:rStyle w:val="IndexLink"/>
                <w:rFonts w:eastAsia="OpenSymbol"/>
              </w:rPr>
              <w:t>4.4 Correlation Analysis</w:t>
            </w:r>
            <w:r>
              <w:rPr>
                <w:rStyle w:val="IndexLink"/>
                <w:vanish w:val="false"/>
              </w:rPr>
              <w:tab/>
            </w:r>
            <w:r>
              <w:rPr>
                <w:webHidden/>
              </w:rPr>
              <w:fldChar w:fldCharType="begin"/>
            </w:r>
            <w:r>
              <w:rPr>
                <w:webHidden/>
              </w:rPr>
              <w:instrText xml:space="preserve">PAGEREF _Toc205059663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4">
            <w:r>
              <w:rPr>
                <w:rStyle w:val="IndexLink"/>
                <w:rFonts w:eastAsia="OpenSymbol"/>
              </w:rPr>
              <w:t>4.5 Regression Analysis</w:t>
            </w:r>
            <w:r>
              <w:rPr>
                <w:rStyle w:val="IndexLink"/>
                <w:vanish w:val="false"/>
              </w:rPr>
              <w:tab/>
            </w:r>
            <w:r>
              <w:rPr>
                <w:webHidden/>
              </w:rPr>
              <w:fldChar w:fldCharType="begin"/>
            </w:r>
            <w:r>
              <w:rPr>
                <w:webHidden/>
              </w:rPr>
              <w:instrText xml:space="preserve">PAGEREF _Toc205059664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5">
            <w:r>
              <w:rPr>
                <w:rStyle w:val="IndexLink"/>
                <w:rFonts w:eastAsia="OpenSymbol"/>
              </w:rPr>
              <w:t>4.6 Bank-Level NPL Ratios and CG Tenet Scores</w:t>
            </w:r>
            <w:r>
              <w:rPr>
                <w:rStyle w:val="IndexLink"/>
                <w:vanish w:val="false"/>
              </w:rPr>
              <w:tab/>
            </w:r>
            <w:r>
              <w:rPr>
                <w:webHidden/>
              </w:rPr>
              <w:fldChar w:fldCharType="begin"/>
            </w:r>
            <w:r>
              <w:rPr>
                <w:webHidden/>
              </w:rPr>
              <w:instrText xml:space="preserve">PAGEREF _Toc205059665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6">
            <w:r>
              <w:rPr>
                <w:rStyle w:val="IndexLink"/>
                <w:rFonts w:eastAsia="OpenSymbol"/>
              </w:rPr>
              <w:t>4.7 Thematic Analysis of Open-Ended Responses</w:t>
            </w:r>
            <w:r>
              <w:rPr>
                <w:rStyle w:val="IndexLink"/>
                <w:vanish w:val="false"/>
              </w:rPr>
              <w:tab/>
            </w:r>
            <w:r>
              <w:rPr>
                <w:webHidden/>
              </w:rPr>
              <w:fldChar w:fldCharType="begin"/>
            </w:r>
            <w:r>
              <w:rPr>
                <w:webHidden/>
              </w:rPr>
              <w:instrText xml:space="preserve">PAGEREF _Toc205059666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7">
            <w:r>
              <w:rPr>
                <w:rStyle w:val="IndexLink"/>
                <w:rFonts w:eastAsia="OpenSymbol"/>
              </w:rPr>
              <w:t>4.8 Qualitative Findings from Interviews</w:t>
            </w:r>
            <w:r>
              <w:rPr>
                <w:webHidden/>
              </w:rPr>
              <w:fldChar w:fldCharType="begin"/>
            </w:r>
            <w:r>
              <w:rPr>
                <w:webHidden/>
              </w:rPr>
              <w:instrText xml:space="preserve">PAGEREF _Toc205059667 \h</w:instrText>
            </w:r>
            <w:r>
              <w:rPr>
                <w:webHidden/>
              </w:rPr>
              <w:fldChar w:fldCharType="separate"/>
            </w:r>
            <w:r>
              <w:rPr>
                <w:rStyle w:val="IndexLink"/>
                <w:vanish w:val="false"/>
              </w:rPr>
              <w:tab/>
              <w:t>241</w:t>
            </w:r>
            <w:r>
              <w:rPr>
                <w:webHidden/>
              </w:rPr>
              <w:fldChar w:fldCharType="end"/>
            </w:r>
          </w:hyperlink>
        </w:p>
        <w:p>
          <w:pPr>
            <w:pStyle w:val="TOC1"/>
            <w:tabs>
              <w:tab w:val="clear" w:pos="720"/>
              <w:tab w:val="right" w:pos="9962" w:leader="dot"/>
            </w:tabs>
            <w:rPr>
              <w:b w:val="false"/>
              <w:bCs w:val="false"/>
              <w:caps w:val="false"/>
              <w:smallCaps w:val="false"/>
              <w:kern w:val="2"/>
              <w:sz w:val="24"/>
              <w:szCs w:val="24"/>
            </w:rPr>
          </w:pPr>
          <w:hyperlink w:anchor="_Toc205059668">
            <w:r>
              <w:rPr>
                <w:rStyle w:val="IndexLink"/>
                <w:rFonts w:eastAsia="OpenSymbol"/>
              </w:rPr>
              <w:t>Chapter 5: Discussion</w:t>
            </w:r>
            <w:r>
              <w:rPr>
                <w:rStyle w:val="IndexLink"/>
                <w:vanish w:val="false"/>
              </w:rPr>
              <w:tab/>
            </w:r>
            <w:r>
              <w:rPr>
                <w:webHidden/>
              </w:rPr>
              <w:fldChar w:fldCharType="begin"/>
            </w:r>
            <w:r>
              <w:rPr>
                <w:webHidden/>
              </w:rPr>
              <w:instrText xml:space="preserve">PAGEREF _Toc205059668 \h</w:instrText>
            </w:r>
            <w:r>
              <w:rPr>
                <w:webHidden/>
              </w:rPr>
              <w:fldChar w:fldCharType="separate"/>
            </w:r>
            <w:r>
              <w:rPr>
                <w:rStyle w:val="IndexLink"/>
                <w:b w:val="false"/>
                <w:bCs w:val="false"/>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69">
            <w:r>
              <w:rPr>
                <w:rStyle w:val="IndexLink"/>
                <w:rFonts w:eastAsia="OpenSymbol"/>
              </w:rPr>
              <w:t>5.1 Introduction to Discussion</w:t>
            </w:r>
            <w:r>
              <w:rPr>
                <w:rStyle w:val="IndexLink"/>
                <w:vanish w:val="false"/>
              </w:rPr>
              <w:tab/>
            </w:r>
            <w:r>
              <w:rPr>
                <w:webHidden/>
              </w:rPr>
              <w:fldChar w:fldCharType="begin"/>
            </w:r>
            <w:r>
              <w:rPr>
                <w:webHidden/>
              </w:rPr>
              <w:instrText xml:space="preserve">PAGEREF _Toc205059669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70">
            <w:r>
              <w:rPr>
                <w:rStyle w:val="IndexLink"/>
                <w:rFonts w:eastAsia="OpenSymbol"/>
              </w:rPr>
              <w:t>5.2 Interpretation of Findings by Corporate Governance Tenet</w:t>
            </w:r>
            <w:r>
              <w:rPr>
                <w:rStyle w:val="IndexLink"/>
                <w:vanish w:val="false"/>
              </w:rPr>
              <w:tab/>
            </w:r>
            <w:r>
              <w:rPr>
                <w:webHidden/>
              </w:rPr>
              <w:fldChar w:fldCharType="begin"/>
            </w:r>
            <w:r>
              <w:rPr>
                <w:webHidden/>
              </w:rPr>
              <w:instrText xml:space="preserve">PAGEREF _Toc205059670 \h</w:instrText>
            </w:r>
            <w:r>
              <w:rPr>
                <w:webHidden/>
              </w:rPr>
              <w:fldChar w:fldCharType="separate"/>
            </w:r>
            <w:r>
              <w:rPr>
                <w:rStyle w:val="IndexLink"/>
                <w:b/>
                <w:bCs/>
                <w:vanish w:val="false"/>
              </w:rPr>
              <w:t>Error! Bookmark not defined.</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71">
            <w:r>
              <w:rPr>
                <w:rStyle w:val="IndexLink"/>
                <w:rFonts w:eastAsia="OpenSymbol"/>
              </w:rPr>
              <w:t>5.2.1 Tenet 1: Bank Governance and Risk Management (OB1, H1)</w:t>
            </w:r>
            <w:r>
              <w:rPr>
                <w:rStyle w:val="IndexLink"/>
                <w:vanish w:val="false"/>
              </w:rPr>
              <w:tab/>
            </w:r>
            <w:r>
              <w:rPr>
                <w:webHidden/>
              </w:rPr>
              <w:fldChar w:fldCharType="begin"/>
            </w:r>
            <w:r>
              <w:rPr>
                <w:webHidden/>
              </w:rPr>
              <w:instrText xml:space="preserve">PAGEREF _Toc205059671 \h</w:instrText>
            </w:r>
            <w:r>
              <w:rPr>
                <w:webHidden/>
              </w:rPr>
              <w:fldChar w:fldCharType="separate"/>
            </w:r>
            <w:r>
              <w:rPr>
                <w:rStyle w:val="IndexLink"/>
                <w:b/>
                <w:bCs/>
                <w:vanish w:val="false"/>
              </w:rPr>
              <w:t>Error! Bookmark not defined.</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72">
            <w:r>
              <w:rPr>
                <w:rStyle w:val="IndexLink"/>
                <w:rFonts w:eastAsia="OpenSymbol"/>
              </w:rPr>
              <w:t>5.2.2 Tenet 2: Corporate Governance and Bank Practice (OB2, H2)</w:t>
            </w:r>
            <w:r>
              <w:rPr>
                <w:rStyle w:val="IndexLink"/>
                <w:vanish w:val="false"/>
              </w:rPr>
              <w:tab/>
            </w:r>
            <w:r>
              <w:rPr>
                <w:webHidden/>
              </w:rPr>
              <w:fldChar w:fldCharType="begin"/>
            </w:r>
            <w:r>
              <w:rPr>
                <w:webHidden/>
              </w:rPr>
              <w:instrText xml:space="preserve">PAGEREF _Toc205059672 \h</w:instrText>
            </w:r>
            <w:r>
              <w:rPr>
                <w:webHidden/>
              </w:rPr>
              <w:fldChar w:fldCharType="separate"/>
            </w:r>
            <w:r>
              <w:rPr>
                <w:rStyle w:val="IndexLink"/>
                <w:b/>
                <w:bCs/>
                <w:vanish w:val="false"/>
              </w:rPr>
              <w:t>Error! Bookmark not defined.</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73">
            <w:r>
              <w:rPr>
                <w:rStyle w:val="IndexLink"/>
                <w:rFonts w:eastAsia="OpenSymbol"/>
              </w:rPr>
              <w:t>5.2.3 Tenet 3: Regulatory Multiplicity (OB3, H3)</w:t>
            </w:r>
            <w:r>
              <w:rPr>
                <w:rStyle w:val="IndexLink"/>
                <w:vanish w:val="false"/>
              </w:rPr>
              <w:tab/>
            </w:r>
            <w:r>
              <w:rPr>
                <w:webHidden/>
              </w:rPr>
              <w:fldChar w:fldCharType="begin"/>
            </w:r>
            <w:r>
              <w:rPr>
                <w:webHidden/>
              </w:rPr>
              <w:instrText xml:space="preserve">PAGEREF _Toc205059673 \h</w:instrText>
            </w:r>
            <w:r>
              <w:rPr>
                <w:webHidden/>
              </w:rPr>
              <w:fldChar w:fldCharType="separate"/>
            </w:r>
            <w:r>
              <w:rPr>
                <w:rStyle w:val="IndexLink"/>
                <w:b/>
                <w:bCs/>
                <w:vanish w:val="false"/>
              </w:rPr>
              <w:t>Error! Bookmark not defined.</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74">
            <w:r>
              <w:rPr>
                <w:rStyle w:val="IndexLink"/>
                <w:rFonts w:eastAsia="OpenSymbol"/>
              </w:rPr>
              <w:t>5.2.4 Tenet 4: Transparency and Accountability (OB4, H4)</w:t>
            </w:r>
            <w:r>
              <w:rPr>
                <w:rStyle w:val="IndexLink"/>
                <w:vanish w:val="false"/>
              </w:rPr>
              <w:tab/>
            </w:r>
            <w:r>
              <w:rPr>
                <w:webHidden/>
              </w:rPr>
              <w:fldChar w:fldCharType="begin"/>
            </w:r>
            <w:r>
              <w:rPr>
                <w:webHidden/>
              </w:rPr>
              <w:instrText xml:space="preserve">PAGEREF _Toc205059674 \h</w:instrText>
            </w:r>
            <w:r>
              <w:rPr>
                <w:webHidden/>
              </w:rPr>
              <w:fldChar w:fldCharType="separate"/>
            </w:r>
            <w:r>
              <w:rPr>
                <w:rStyle w:val="IndexLink"/>
                <w:b/>
                <w:bCs/>
                <w:vanish w:val="false"/>
              </w:rPr>
              <w:t>Error! Bookmark not defined.</w:t>
            </w:r>
            <w:r>
              <w:rPr>
                <w:webHidden/>
              </w:rPr>
              <w:fldChar w:fldCharType="end"/>
            </w:r>
          </w:hyperlink>
        </w:p>
        <w:p>
          <w:pPr>
            <w:pStyle w:val="TOC3"/>
            <w:tabs>
              <w:tab w:val="clear" w:pos="720"/>
              <w:tab w:val="right" w:pos="9962" w:leader="dot"/>
            </w:tabs>
            <w:rPr>
              <w:i w:val="false"/>
              <w:i w:val="false"/>
              <w:iCs w:val="false"/>
              <w:kern w:val="2"/>
              <w:sz w:val="24"/>
              <w:szCs w:val="24"/>
            </w:rPr>
          </w:pPr>
          <w:hyperlink w:anchor="_Toc205059675">
            <w:r>
              <w:rPr>
                <w:rStyle w:val="IndexLink"/>
                <w:rFonts w:eastAsia="OpenSymbol"/>
              </w:rPr>
              <w:t>5.2.5 Integration Across Tenets</w:t>
            </w:r>
            <w:r>
              <w:rPr>
                <w:rStyle w:val="IndexLink"/>
                <w:vanish w:val="false"/>
              </w:rPr>
              <w:tab/>
            </w:r>
            <w:r>
              <w:rPr>
                <w:webHidden/>
              </w:rPr>
              <w:fldChar w:fldCharType="begin"/>
            </w:r>
            <w:r>
              <w:rPr>
                <w:webHidden/>
              </w:rPr>
              <w:instrText xml:space="preserve">PAGEREF _Toc205059675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76">
            <w:r>
              <w:rPr>
                <w:rStyle w:val="IndexLink"/>
                <w:rFonts w:eastAsia="OpenSymbol"/>
              </w:rPr>
              <w:t>5.3 Theoretical and Practical Implications</w:t>
            </w:r>
            <w:r>
              <w:rPr>
                <w:rStyle w:val="IndexLink"/>
                <w:vanish w:val="false"/>
              </w:rPr>
              <w:tab/>
            </w:r>
            <w:r>
              <w:rPr>
                <w:webHidden/>
              </w:rPr>
              <w:fldChar w:fldCharType="begin"/>
            </w:r>
            <w:r>
              <w:rPr>
                <w:webHidden/>
              </w:rPr>
              <w:instrText xml:space="preserve">PAGEREF _Toc205059676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77">
            <w:r>
              <w:rPr>
                <w:rStyle w:val="IndexLink"/>
                <w:rFonts w:eastAsia="OpenSymbol"/>
              </w:rPr>
              <w:t>5.5 Limitations and Future Research</w:t>
            </w:r>
            <w:r>
              <w:rPr>
                <w:rStyle w:val="IndexLink"/>
                <w:vanish w:val="false"/>
              </w:rPr>
              <w:tab/>
            </w:r>
            <w:r>
              <w:rPr>
                <w:webHidden/>
              </w:rPr>
              <w:fldChar w:fldCharType="begin"/>
            </w:r>
            <w:r>
              <w:rPr>
                <w:webHidden/>
              </w:rPr>
              <w:instrText xml:space="preserve">PAGEREF _Toc205059677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78">
            <w:r>
              <w:rPr>
                <w:rStyle w:val="IndexLink"/>
                <w:rFonts w:eastAsia="OpenSymbol"/>
              </w:rPr>
              <w:t>5.6 Conclusion to the Discussion</w:t>
            </w:r>
            <w:r>
              <w:rPr>
                <w:rStyle w:val="IndexLink"/>
                <w:vanish w:val="false"/>
              </w:rPr>
              <w:tab/>
            </w:r>
            <w:r>
              <w:rPr>
                <w:webHidden/>
              </w:rPr>
              <w:fldChar w:fldCharType="begin"/>
            </w:r>
            <w:r>
              <w:rPr>
                <w:webHidden/>
              </w:rPr>
              <w:instrText xml:space="preserve">PAGEREF _Toc205059678 \h</w:instrText>
            </w:r>
            <w:r>
              <w:rPr>
                <w:webHidden/>
              </w:rPr>
              <w:fldChar w:fldCharType="separate"/>
            </w:r>
            <w:r>
              <w:rPr>
                <w:rStyle w:val="IndexLink"/>
                <w:b/>
                <w:bCs/>
                <w:vanish w:val="false"/>
              </w:rPr>
              <w:t>Error! Bookmark not defined.</w:t>
            </w:r>
            <w:r>
              <w:rPr>
                <w:webHidden/>
              </w:rPr>
              <w:fldChar w:fldCharType="end"/>
            </w:r>
          </w:hyperlink>
        </w:p>
        <w:p>
          <w:pPr>
            <w:pStyle w:val="TOC2"/>
            <w:tabs>
              <w:tab w:val="clear" w:pos="720"/>
              <w:tab w:val="right" w:pos="9962" w:leader="dot"/>
            </w:tabs>
            <w:rPr>
              <w:caps w:val="false"/>
              <w:smallCaps w:val="false"/>
              <w:kern w:val="2"/>
              <w:sz w:val="24"/>
              <w:szCs w:val="24"/>
            </w:rPr>
          </w:pPr>
          <w:hyperlink w:anchor="_Toc205059679">
            <w:r>
              <w:rPr>
                <w:rStyle w:val="IndexLink"/>
                <w:rFonts w:eastAsia="OpenSymbol"/>
              </w:rPr>
              <w:t>References</w:t>
            </w:r>
            <w:r>
              <w:rPr>
                <w:rStyle w:val="IndexLink"/>
                <w:vanish w:val="false"/>
              </w:rPr>
              <w:tab/>
            </w:r>
            <w:r>
              <w:rPr>
                <w:webHidden/>
              </w:rPr>
              <w:fldChar w:fldCharType="begin"/>
            </w:r>
            <w:r>
              <w:rPr>
                <w:webHidden/>
              </w:rPr>
              <w:instrText xml:space="preserve">PAGEREF _Toc205059679 \h</w:instrText>
            </w:r>
            <w:r>
              <w:rPr>
                <w:webHidden/>
              </w:rPr>
              <w:fldChar w:fldCharType="separate"/>
            </w:r>
            <w:r>
              <w:rPr>
                <w:rStyle w:val="IndexLink"/>
                <w:b/>
                <w:bCs/>
                <w:vanish w:val="false"/>
              </w:rPr>
              <w:t>Error! Bookmark not defined.</w:t>
            </w:r>
            <w:r>
              <w:rPr>
                <w:webHidden/>
              </w:rPr>
              <w:fldChar w:fldCharType="end"/>
            </w:r>
          </w:hyperlink>
        </w:p>
        <w:p>
          <w:pPr>
            <w:pStyle w:val="Normal"/>
            <w:rPr/>
          </w:pPr>
          <w:r>
            <w:rPr/>
          </w:r>
          <w:r>
            <w:rPr/>
            <w:fldChar w:fldCharType="end"/>
          </w:r>
        </w:p>
      </w:sdtContent>
    </w:sdt>
    <w:p>
      <w:pPr>
        <w:pStyle w:val="BodyText"/>
        <w:rPr/>
      </w:pPr>
      <w:r>
        <w:rPr/>
      </w:r>
      <w:r>
        <w:br w:type="page"/>
      </w:r>
    </w:p>
    <w:p>
      <w:pPr>
        <w:pStyle w:val="Normal"/>
        <w:spacing w:before="0" w:after="0"/>
        <w:rPr>
          <w:rFonts w:ascii="Arial" w:hAnsi="Arial" w:cs="Arial"/>
        </w:rPr>
      </w:pPr>
      <w:r>
        <w:rPr>
          <w:rFonts w:cs="Arial" w:ascii="Arial" w:hAnsi="Arial"/>
        </w:rPr>
      </w:r>
    </w:p>
    <w:tbl>
      <w:tblPr>
        <w:tblW w:w="9962" w:type="dxa"/>
        <w:jc w:val="start"/>
        <w:tblInd w:w="0" w:type="dxa"/>
        <w:tblLayout w:type="fixed"/>
        <w:tblCellMar>
          <w:top w:w="0" w:type="dxa"/>
          <w:start w:w="108" w:type="dxa"/>
          <w:bottom w:w="0" w:type="dxa"/>
          <w:end w:w="108" w:type="dxa"/>
        </w:tblCellMar>
      </w:tblPr>
      <w:tblGrid>
        <w:gridCol w:w="4981"/>
        <w:gridCol w:w="4981"/>
      </w:tblGrid>
      <w:tr>
        <w:trPr/>
        <w:tc>
          <w:tcPr>
            <w:tcW w:w="996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Table of Abbreviations</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CG</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Corporate Governance </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INED</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Independent Non-Executive Director</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NED</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Non-Executive Director </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REM.</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Remuneration Committee</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NOM.</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Nomination Committee</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CBN</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Central Bank of Nigeria </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NCCG</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Nigerian Code of Corporate Governance</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FRCN</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Financial Reporting Council of Nigeria </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CAMA</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Companied and Allied Matters Act</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SEC</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Securities Exchange Commission </w:t>
            </w:r>
          </w:p>
        </w:tc>
      </w:tr>
      <w:tr>
        <w:trPr/>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DMBs</w:t>
            </w:r>
          </w:p>
        </w:tc>
        <w:tc>
          <w:tcPr>
            <w:tcW w:w="498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Deposit Money Banks</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1"/>
        <w:rPr>
          <w:rFonts w:ascii="Arial" w:hAnsi="Arial" w:cs="Arial"/>
        </w:rPr>
      </w:pPr>
      <w:bookmarkStart w:id="9" w:name="_Toc203392013"/>
      <w:bookmarkStart w:id="10" w:name="_Toc203392077"/>
      <w:bookmarkStart w:id="11" w:name="_Toc203584745"/>
      <w:bookmarkStart w:id="12" w:name="_Toc203671399"/>
      <w:bookmarkStart w:id="13" w:name="_Toc203671449"/>
      <w:bookmarkStart w:id="14" w:name="_Toc205059248"/>
      <w:bookmarkStart w:id="15" w:name="_Toc205059465"/>
      <w:bookmarkStart w:id="16" w:name="_Toc205059559"/>
      <w:bookmarkStart w:id="17" w:name="_Toc205059620"/>
      <w:bookmarkStart w:id="18" w:name="_Toc202193586"/>
      <w:r>
        <w:rPr/>
        <w:t>Chapter One: Introduction</w:t>
      </w:r>
      <w:bookmarkEnd w:id="9"/>
      <w:bookmarkEnd w:id="10"/>
      <w:bookmarkEnd w:id="11"/>
      <w:bookmarkEnd w:id="12"/>
      <w:bookmarkEnd w:id="13"/>
      <w:bookmarkEnd w:id="14"/>
      <w:bookmarkEnd w:id="15"/>
      <w:bookmarkEnd w:id="16"/>
      <w:bookmarkEnd w:id="17"/>
      <w:bookmarkEnd w:id="18"/>
    </w:p>
    <w:p>
      <w:pPr>
        <w:pStyle w:val="BodyText"/>
        <w:rPr>
          <w:rFonts w:ascii="Arial" w:hAnsi="Arial" w:cs="Arial"/>
        </w:rPr>
      </w:pPr>
      <w:r>
        <w:rPr>
          <w:rStyle w:val="Strong"/>
          <w:rFonts w:cs="Arial" w:ascii="Arial" w:hAnsi="Arial"/>
        </w:rPr>
        <w:t>Chapter One: Introduction</w:t>
      </w:r>
    </w:p>
    <w:p>
      <w:pPr>
        <w:pStyle w:val="BodyText"/>
        <w:spacing w:lineRule="auto" w:line="480"/>
        <w:ind w:hanging="0" w:start="0" w:end="0"/>
        <w:rPr>
          <w:rFonts w:ascii="Arial" w:hAnsi="Arial" w:cs="Arial"/>
        </w:rPr>
      </w:pPr>
      <w:r>
        <w:rPr>
          <w:rStyle w:val="Strong"/>
          <w:rFonts w:cs="Arial" w:ascii="Arial" w:hAnsi="Arial"/>
        </w:rPr>
        <w:t>Executive summary</w:t>
      </w:r>
    </w:p>
    <w:p>
      <w:pPr>
        <w:pStyle w:val="BodyText"/>
        <w:spacing w:lineRule="auto" w:line="480"/>
        <w:ind w:hanging="0" w:start="0" w:end="0"/>
        <w:rPr>
          <w:rFonts w:ascii="Arial" w:hAnsi="Arial" w:cs="Arial"/>
        </w:rPr>
      </w:pPr>
      <w:r>
        <w:rPr>
          <w:rFonts w:cs="Arial" w:ascii="Arial" w:hAnsi="Arial"/>
        </w:rPr>
        <w:t xml:space="preserve">This research examines corporate governance challenges in Nigeria’s </w:t>
      </w:r>
      <w:r>
        <w:rPr>
          <w:rStyle w:val="Strong"/>
          <w:rFonts w:cs="Arial" w:ascii="Arial" w:hAnsi="Arial"/>
        </w:rPr>
        <w:t>deposit money banking</w:t>
      </w:r>
      <w:r>
        <w:rPr>
          <w:rFonts w:cs="Arial" w:ascii="Arial" w:hAnsi="Arial"/>
        </w:rPr>
        <w:t xml:space="preserve"> sector, focusing on systemic failures that elevate default risk and undermine financial stability, critical for economic growth. Governance deficiencies, rooted in historical legacies and intensified post-2004 consolidation, manifest as weak accountability and transparency, threatening stakeholder trust and systemic resilience. The research identifies key issues: regulatory multiplicity, unqualified management, inadequate risk management, and ineffective governance structures, which collectively drive bank failures, with 425 recorded since 1988.</w:t>
      </w:r>
    </w:p>
    <w:p>
      <w:pPr>
        <w:pStyle w:val="BodyText"/>
        <w:spacing w:lineRule="auto" w:line="480"/>
        <w:ind w:hanging="0" w:start="0" w:end="0"/>
        <w:rPr>
          <w:rFonts w:ascii="Arial" w:hAnsi="Arial" w:cs="Arial"/>
        </w:rPr>
      </w:pPr>
      <w:r>
        <w:rPr>
          <w:rFonts w:cs="Arial" w:ascii="Arial" w:hAnsi="Arial"/>
        </w:rPr>
        <w:t>A fragmented regulatory framework—comprising conflicting codes like CAMA 2020, NCCG 2018, CBN Guidelines 2023, and SEC Code 2011—creates ambiguity, enabling banks to evade rigorous standards. Weak enforcement by regulators, such as the CBN and FRCN, exacerbates non-compliance. Unqualified or politically motivated management appointments, often lacking financial expertise, compromise oversight and ethical compliance, while concentrated ownership and the absence of independent nomination committees in 61% of banks entrench management self-interest. Inadequate risk management, evidenced by non-performing loans reaching 20% in 2017 against a 5% threshold, further heightens default risk. Audit committees and boards, critical for transparency, lack independence, undermining financial reporting accuracy.</w:t>
      </w:r>
    </w:p>
    <w:p>
      <w:pPr>
        <w:pStyle w:val="BodyText"/>
        <w:spacing w:lineRule="auto" w:line="480"/>
        <w:ind w:hanging="0" w:start="0" w:end="0"/>
        <w:rPr>
          <w:rFonts w:ascii="Arial" w:hAnsi="Arial" w:cs="Arial"/>
        </w:rPr>
      </w:pPr>
      <w:r>
        <w:rPr>
          <w:rFonts w:cs="Arial" w:ascii="Arial" w:hAnsi="Arial"/>
        </w:rPr>
        <w:t xml:space="preserve">This research evaluates these governance failures’ impact on default risk. It advocates for a harmonized regulatory framework, independent nomination committees, performance-linked compensation, and robust whistleblowing mechanisms to enhance accountability and transparency. By addressing these challenges, the research aims to restore stakeholder confidence, reduce default risk, and strengthen Nigeria’s banking sector, aligning it with global standards. Its significance lies in filling a research gap with context-specific insights, informing policy reforms, and safeguarding an industry pivotal to Nigeria’s economy, paving the way for sustainable governance solutions </w:t>
      </w:r>
      <w:r>
        <w:rPr>
          <w:rStyle w:val="Strong"/>
          <w:rFonts w:cs="Arial" w:ascii="Arial" w:hAnsi="Arial"/>
        </w:rPr>
        <w:t>as of June 2024</w:t>
      </w:r>
      <w:r>
        <w:rPr>
          <w:rFonts w:cs="Arial" w:ascii="Arial" w:hAnsi="Arial"/>
        </w:rPr>
        <w:t xml:space="preserve">. </w:t>
      </w:r>
      <w:r>
        <w:rPr>
          <w:rStyle w:val="Strong"/>
          <w:rFonts w:cs="Arial" w:ascii="Arial" w:hAnsi="Arial"/>
        </w:rPr>
        <w:t>The 2009–2010 Nigerian banking crisis saw non-performing loan (NPL) ratios exceed 35% across the sector, though institutional variation ranged from 8% to 62% amid uniform macroeconomic pressures. This disparity underscores that internal governance factors, rather than external economic cycles alone, significantly contribute to concentrated credit losses. In addressing this, the Central Bank of Nigeria (CBN) introduced targeted reforms: Basel II implementation (2011), the Corporate Governance Code for Banks (2014), and IFRS-9 standards (2018). These initiatives emphasize three core governance indices: disclosure, practice, and compliance. However, empirical evidence on their collective or individual effects on NPL ratios remains limited, representing a key gap in understanding reform efficacy within Nigeria's post-crisis banking landscape.</w:t>
      </w:r>
    </w:p>
    <w:p>
      <w:pPr>
        <w:pStyle w:val="BodyText"/>
        <w:spacing w:lineRule="auto" w:line="480"/>
        <w:ind w:hanging="0" w:start="0" w:end="0"/>
        <w:rPr>
          <w:rFonts w:ascii="Arial" w:hAnsi="Arial" w:cs="Arial"/>
        </w:rPr>
      </w:pPr>
      <w:r>
        <w:rPr>
          <w:rStyle w:val="Strong"/>
          <w:rFonts w:cs="Arial" w:ascii="Arial" w:hAnsi="Arial"/>
        </w:rPr>
        <w:t>This research bridges that gap by quantifying each index as a continuous governance variable in a balanced panel dataset spanning 2009–2024 for ten leading deposit money banks. Aligned with RQ1 and OB1, the analysis estimates the marginal NPL sensitivity to each index, evaluates structural shifts following the 2014 code's mandatory enforcement, and prioritizes indices by impact magnitude, controlling for bank size, capital adequacy, and macroeconomic factors. The primary hypothesis (H1) posits that enhanced governance indices substantially lower NPL ratios, with practice yielding the most pronounced marginal benefit.</w:t>
      </w:r>
    </w:p>
    <w:p>
      <w:pPr>
        <w:pStyle w:val="BodyText"/>
        <w:spacing w:lineRule="auto" w:line="480"/>
        <w:ind w:hanging="0" w:start="0" w:end="0"/>
        <w:rPr>
          <w:rFonts w:ascii="Arial" w:hAnsi="Arial" w:cs="Arial"/>
        </w:rPr>
      </w:pPr>
      <w:r>
        <w:rPr>
          <w:rStyle w:val="Strong"/>
          <w:rFonts w:cs="Arial" w:ascii="Arial" w:hAnsi="Arial"/>
        </w:rPr>
        <w:t>The study advances knowledge in four ways. First, it offers emerging-market insights showing that behavioral governance indices, beyond mere structural forms, shape credit risk outcomes. Second, split-regime models reveal that disclosure gains potency under enforceable mandates. Third, practice emerges as the most resilient NPL mitigator, supporting stewardship theory's emphasis on cultural elements over capital metrics. Fourth, a governance-focused policy framework shifts regulatory emphasis from aggregate capital ratios to index-specific behavioral indicators.</w:t>
      </w:r>
    </w:p>
    <w:p>
      <w:pPr>
        <w:pStyle w:val="BodyText"/>
        <w:spacing w:lineRule="auto" w:line="480"/>
        <w:ind w:hanging="0" w:start="0" w:end="0"/>
        <w:rPr>
          <w:rFonts w:ascii="Arial" w:hAnsi="Arial" w:cs="Arial"/>
        </w:rPr>
      </w:pPr>
      <w:r>
        <w:rPr>
          <w:rFonts w:cs="Arial" w:ascii="Arial" w:hAnsi="Arial"/>
        </w:rPr>
        <w:t xml:space="preserve">1.1 Corporate Governance Challenges in Nigeria’s </w:t>
      </w:r>
      <w:r>
        <w:rPr>
          <w:rStyle w:val="Strong"/>
          <w:rFonts w:cs="Arial" w:ascii="Arial" w:hAnsi="Arial"/>
        </w:rPr>
        <w:t>Deposit Money Banking</w:t>
      </w:r>
      <w:r>
        <w:rPr>
          <w:rFonts w:cs="Arial" w:ascii="Arial" w:hAnsi="Arial"/>
        </w:rPr>
        <w:t xml:space="preserve"> Sector</w:t>
      </w:r>
    </w:p>
    <w:p>
      <w:pPr>
        <w:pStyle w:val="BodyText"/>
        <w:spacing w:lineRule="auto" w:line="480"/>
        <w:ind w:hanging="0" w:start="0" w:end="0"/>
        <w:rPr>
          <w:rFonts w:ascii="Arial" w:hAnsi="Arial" w:cs="Arial"/>
        </w:rPr>
      </w:pPr>
      <w:r>
        <w:rPr>
          <w:rFonts w:cs="Arial" w:ascii="Arial" w:hAnsi="Arial"/>
        </w:rPr>
        <w:t xml:space="preserve">Corporate governance in Nigeria’s </w:t>
      </w:r>
      <w:r>
        <w:rPr>
          <w:rStyle w:val="Strong"/>
          <w:rFonts w:cs="Arial" w:ascii="Arial" w:hAnsi="Arial"/>
        </w:rPr>
        <w:t>deposit money banking</w:t>
      </w:r>
      <w:r>
        <w:rPr>
          <w:rFonts w:cs="Arial" w:ascii="Arial" w:hAnsi="Arial"/>
        </w:rPr>
        <w:t xml:space="preserve"> sector faces systemic challenges that undermine accountability, transparency, and financial stability, elevating bank default risks and threatening economic growth (King &amp; Levine, 1993). These issues, rooted in historical legacies, persist in the post-2004 consolidation era, with cases like Oceanic Bank revealing insider dealings and financial misrepresentations tied to agency problems (Sanusi, 2009). Pre-colonial systems relied on customary laws, while colonial frameworks like the Companies Ordinance of 1912 imposed misaligned foreign. The historical legacy of Nigeria’s banking sector, spanning pre-colonial indigenous governance, colonial frameworks like the Companies Ordinance of 1912, and post-independence adaptations such as the Companies Act of 1968 and CAMA 2020, has fostered a fragmented governance system. This legacy, marked by government ownership pre-1986 and politically motivated board appointments, directly contributes to current issues like weak accountability, unqualified management, and regulatory ambiguity, amplifying default risk in the post-2004 consolidation era (Elias, 2024; Chinweoda et al., 2020; Sanusi, 2014).Risk management failures, with NPLs reaching 20% in 2017 against a 5% threshold, reflect lax lending and weak controls, fueling distress in banks like Intercontinental Bank (Adegboye, 2020). This contrasts with Basel III’s robust risk frameworks (BCBS, 2010). Fraud concealment, enabled by weak whistleblowing, persisted in the 2009 crisis, unlike the EU’s protected reporting channels (Olojede et al., 2020; EU, 2019). These deficiencies erode trust, trigger deposit withdrawals, and destabilize Nigeria’s economy, where banks are vital (Siyanbola, 2019). The 2009 crisis, requiring a $3.9 billion CBN intervention, highlighted systemic risks fromweak oversight and insider dealings (Sanusi, 2009). Globally, OECD principles emphasize independent boards and risk management, areas where Nigeria lags (OECD, 2015). This research investigates these issues in the Nigerian </w:t>
      </w:r>
      <w:r>
        <w:rPr>
          <w:rStyle w:val="Strong"/>
          <w:rFonts w:cs="Arial" w:ascii="Arial" w:hAnsi="Arial"/>
        </w:rPr>
        <w:t>deposit money banking</w:t>
      </w:r>
      <w:r>
        <w:rPr>
          <w:rFonts w:cs="Arial" w:ascii="Arial" w:hAnsi="Arial"/>
        </w:rPr>
        <w:t xml:space="preserve"> system, examining </w:t>
      </w:r>
      <w:r>
        <w:rPr>
          <w:rStyle w:val="Strong"/>
          <w:rFonts w:cs="Arial" w:ascii="Arial" w:hAnsi="Arial"/>
        </w:rPr>
        <w:t>corporate governance indices (disclosure, practice, and compliance)</w:t>
      </w:r>
      <w:r>
        <w:rPr>
          <w:rFonts w:cs="Arial" w:ascii="Arial" w:hAnsi="Arial"/>
        </w:rPr>
        <w:t xml:space="preserve"> against NPLs, aiming to propose harmonized regulations, independent committees, and qualified management to align with global standards and reduce default risk (Efunniyi et al., 2024). By addressing historical legacies, regulatory conflicts, and governance gaps, it seeks to enhance financial stability and fill research gaps in Nigeria’s banking sector (Osita et al., 2019).</w:t>
      </w:r>
    </w:p>
    <w:p>
      <w:pPr>
        <w:pStyle w:val="BodyText"/>
        <w:spacing w:lineRule="auto" w:line="480"/>
        <w:ind w:hanging="0" w:start="0" w:end="0"/>
        <w:rPr>
          <w:rFonts w:ascii="Arial" w:hAnsi="Arial" w:cs="Arial"/>
        </w:rPr>
      </w:pPr>
      <w:r>
        <w:rPr>
          <w:rFonts w:cs="Arial" w:ascii="Arial" w:hAnsi="Arial"/>
        </w:rPr>
        <w:t>1.1.1 Corporate Governance Issues: Emphasis on Transparency and Accountability</w:t>
      </w:r>
    </w:p>
    <w:p>
      <w:pPr>
        <w:pStyle w:val="BodyText"/>
        <w:spacing w:lineRule="auto" w:line="480"/>
        <w:ind w:hanging="0" w:start="0" w:end="0"/>
        <w:rPr>
          <w:rFonts w:ascii="Arial" w:hAnsi="Arial" w:cs="Arial"/>
        </w:rPr>
      </w:pPr>
      <w:r>
        <w:rPr>
          <w:rFonts w:cs="Arial" w:ascii="Arial" w:hAnsi="Arial"/>
        </w:rPr>
        <w:t xml:space="preserve">Corporate governance in Nigeria’s </w:t>
      </w:r>
      <w:r>
        <w:rPr>
          <w:rStyle w:val="Strong"/>
          <w:rFonts w:cs="Arial" w:ascii="Arial" w:hAnsi="Arial"/>
        </w:rPr>
        <w:t>deposit money banking</w:t>
      </w:r>
      <w:r>
        <w:rPr>
          <w:rFonts w:cs="Arial" w:ascii="Arial" w:hAnsi="Arial"/>
        </w:rPr>
        <w:t xml:space="preserve"> sector is pivotal for ensuring financial stability, yet it faces systemic challenges that undermine transparency and accountability—two essential pillars for fostering trust and safeguarding stakeholder interests. Transparency ensures stakeholders have access to accurate, timely, and comprehensive information about a bank’s financial and operational performance, while accountability holds management and boards responsible for their actions, aligning their interests with those of shareholders and other stakeholders (Solomon, J., 2020; Healy &amp; Palepu, 2001). In Nigeria, these principles are consistently eroded by deficiencies in board oversight, disclosure practices, stakeholder communication, audit controls, and executive compensation practices, leading to reduced investor trust, heightened regulatory scrutiny, and reputational damage, all of which contribute to heightened default risk. This chapter examines these issues within the Nigerian context, drawing on historical legacies, regulatory challenges, and specific cases like Oceanic Bank to highlight their impact, and proposes measures to strengthen governance and mitigate the risk of bank failures.</w:t>
      </w:r>
    </w:p>
    <w:p>
      <w:pPr>
        <w:pStyle w:val="BodyText"/>
        <w:spacing w:lineRule="auto" w:line="480"/>
        <w:ind w:hanging="0" w:start="0" w:end="0"/>
        <w:rPr>
          <w:rFonts w:ascii="Arial" w:hAnsi="Arial" w:cs="Arial"/>
        </w:rPr>
      </w:pPr>
      <w:r>
        <w:rPr>
          <w:rFonts w:cs="Arial" w:ascii="Arial" w:hAnsi="Arial"/>
        </w:rPr>
        <w:t>The board of directors, as the cornerstone of corporate governance, is responsible for overseeing management, setting strategic direction, and ensuring accountability to shareholders (Aguilera &amp; Ruiz Castillo, 2025; OECD, 2023). However, in Nigeria’s banking sector, boards often lack the independence and effectiveness needed to fulfill these roles. Historical government interference, particularly before 1986, and post-independence political appointments have fostered a culture of cronyism, with boards frequently populated by unqualified or politically motivated members (Chinweoda, U. O., et al., 2020; Nwoko, U., et al., 2022). At Oceanic Bank, for example, the presence of family members such as Mrs. Ibru and Mr. Oboden Ibru on the board enabled insider loans, with over 75% of non-performing loans in 2009 linked to Ibru family-controlled companies, reflecting a severe lack of independent oversight (Sanusi, 2009). Compounding this issue, 61% of Nigerian banks lack independent nomination committees, allowing concentrated ownership to dominate appointments and prioritize management’s self-interest over stakeholders, as seen in the collapses of Intercontinental Bank and Bank PHB (Ogbechie, 2016; Owolabi, 2013). This lack of independence undermines the board’s ability to hold management accountable, leading to financial mismanagement and increased default risk.</w:t>
      </w:r>
    </w:p>
    <w:p>
      <w:pPr>
        <w:pStyle w:val="BodyText"/>
        <w:spacing w:lineRule="auto" w:line="480"/>
        <w:ind w:hanging="0" w:start="0" w:end="0"/>
        <w:rPr>
          <w:rFonts w:ascii="Arial" w:hAnsi="Arial" w:cs="Arial"/>
        </w:rPr>
      </w:pPr>
      <w:r>
        <w:rPr>
          <w:rFonts w:cs="Arial" w:ascii="Arial" w:hAnsi="Arial"/>
        </w:rPr>
        <w:t>Transparent disclosure and reporting practices are vital for stakeholders to assess a bank’s financial health, yet Nigerian banks frequently engage in financial misstatements and fail to provide timely information. Many banks deviate from proper accounting standards, exploiting regulatory multiplicity to adopt less stringent codes, which distorts their financial position (Babajibe et al., 2020; Osemeke, L., &amp; Adegbite, 2016). During the 2009 banking crisis, for instance, weak oversight allowed banks like Oceanic Bank to conceal non-performing loans through inadequate reporting, delaying stakeholder awareness of financial distress (Olojede, P., et al., 2020). While the shift of Audit Committee reports from voluntary to mandatory has aimed to improve transparency, their effectiveness is often compromised when committees lackindependence, functioning at the behest of majority shareholders or management (Healy &amp; Palepu, 2001; Adegbite, 2014). This opacity erodes investor confidence and increases the risk of bank failures, as stakeholders cannot accurately gauge the bank’s stability (Ugochukwu, 2000).</w:t>
      </w:r>
    </w:p>
    <w:p>
      <w:pPr>
        <w:pStyle w:val="BodyText"/>
        <w:spacing w:lineRule="auto" w:line="480"/>
        <w:ind w:hanging="0" w:start="0" w:end="0"/>
        <w:rPr>
          <w:rFonts w:ascii="Arial" w:hAnsi="Arial" w:cs="Arial"/>
        </w:rPr>
      </w:pPr>
      <w:r>
        <w:rPr>
          <w:rFonts w:cs="Arial" w:ascii="Arial" w:hAnsi="Arial"/>
        </w:rPr>
        <w:t>Effective governance also requires robust stakeholder communication and the protection of rights, particularly for minority shareholders, but Nigerian banks often exhibit opaque decision-making and neglect these groups. Management frequently prioritizes its own interests over those of shareholders, a classic agency problem exacerbated by weak board oversight (Osemeke, L., &amp; Adegbite, 2016). In the case of Oceanic Bank, decisions on insider loans and asset transfers to shell companies were made without transparent communication to shareholders, marginalizing minority voices and eroding trust (Sanusi, 2009). Regulatory multiplicity further complicates this issue, as conflicting codes—such as the NCCG’s “Apply and Explain” flexibility versus the CBN’s stricter mandates—create ambiguity in enforcing shareholder rights (Abdulmalik, S. O., &amp; Ahmad, A. C., 2020). The absence of robust whistleblowing mechanisms, a key factor in the 2009 crisis, also stifles stakeholders’ ability to report misconduct, further entrenching opacity in decision-making and undermining accountability (Olojede, P., et al., 2020).</w:t>
      </w:r>
    </w:p>
    <w:p>
      <w:pPr>
        <w:pStyle w:val="BodyText"/>
        <w:spacing w:lineRule="auto" w:line="480"/>
        <w:ind w:hanging="0" w:start="0" w:end="0"/>
        <w:rPr>
          <w:rFonts w:ascii="Arial" w:hAnsi="Arial" w:cs="Arial"/>
        </w:rPr>
      </w:pPr>
      <w:r>
        <w:rPr>
          <w:rFonts w:cs="Arial" w:ascii="Arial" w:hAnsi="Arial"/>
        </w:rPr>
        <w:t>Audit committees and internal controls are critical for ensuring transparency in financial reporting and detecting mismanagement, but in Nigeria, these mechanisms are often weak and subject to external auditor conflicts. Audit committees lack independence, with CAMA Section 359(4)’s mandate for equal representation of directors and shareholders undermined by majority shareholder influence (Adegbite,2014)(see figure 2 below). During the 2009 crisis, audit committees failed to rigorously review financial statements, allowing fraud and financial impropriety to go undetected (Olojede, P., et al., 2020). External auditor conflicts,similar to those seen in global cases like Enron where auditors faced constraints in investigating companyaffairs, are also prevalent in Nigeria, weakening the oversight of internal controls and allowing financial misstatements to persist (Mallin, 2010; Rezaee et al., 2003; Hossain, M., &amp; Hou, Y., 2020). These deficiencies increase default risk by obscuring the true financial health of banks.</w:t>
      </w:r>
    </w:p>
    <w:p>
      <w:pPr>
        <w:pStyle w:val="BodyText"/>
        <w:spacing w:lineRule="auto" w:line="480"/>
        <w:ind w:hanging="0" w:start="0" w:end="0"/>
        <w:rPr>
          <w:rFonts w:ascii="Arial" w:hAnsi="Arial" w:cs="Arial"/>
        </w:rPr>
      </w:pPr>
      <w:r>
        <w:rPr>
          <w:rFonts w:cs="Arial" w:ascii="Arial" w:hAnsi="Arial"/>
        </w:rPr>
        <w:t>Executive compensation structures, intended to align management’s interests with those of shareholders, often foster misaligned incentives and lack transparency in Nigeria’s banking sector. Regulatory multiplicity creates discrepancies in remuneration policies, with codes like the SEC Code of 2011 requiring shareholder approval for compensation, while the NCCG allows more flexibility, leading to inconsistent practices (Osemeke, L., &amp; Adegbite,2016)(See Figure 2 below). At Oceanic Bank, undisclosed and excessive compensation to executives tied to the Ibru family facilitated insider dealings, prioritizing personal gain over shareholder interests (Sanusi, 2009). Such non-disclosure obscures accountability, as stakeholders cannot assess whether incentives drive ethical performance, while the lack of performance-linked compensation allows executives to face little consequence for mismanagement, further increasing the risk of financial distress (Al-Shaer, H., et al., 2022; Salehi, M., et al., 2023).</w:t>
      </w:r>
    </w:p>
    <w:p>
      <w:pPr>
        <w:pStyle w:val="BodyText"/>
        <w:spacing w:lineRule="auto" w:line="480"/>
        <w:ind w:hanging="0" w:start="0" w:end="0"/>
        <w:rPr>
          <w:rFonts w:ascii="Arial" w:hAnsi="Arial" w:cs="Arial"/>
        </w:rPr>
      </w:pPr>
      <w:r>
        <w:rPr>
          <w:rFonts w:cs="Arial" w:ascii="Arial" w:hAnsi="Arial"/>
        </w:rPr>
        <w:t>These governance issues have profound consequences for transparency and accountability in Nigeria’s banking sector. Opaque decision-making, financial misstatements, and non-disclosure of compensation reduce investor trust, leaving them unable to make informed decisions, as evidenced by mass deposit withdrawals following the 2009 crisis (Ugochukwu, 2000). Regulatory scrutiny intensifies as agencies like the Central Bank of Nigeria (CBN) and the Financial Reporting Council of Nigeria (FRCN) struggle to enforce compliance amidst conflicting codes, with weak enforcement mechanisms failing to deter governance failures (Nwoke, U., et al., 2023; Adegbite, 2012). Reputational damage follows, as public backlash against governance lapses—similar to global cases like United Airlines in 2017—erodes stakeholder confidence and impacts banks’ market standing (Shepardson, 2017). Collectively,these issues heighten default risk, with 425 bank failures since 1988 underscoring the systemic consequences of governance deficiencies (Udo, B.,2020)(see Figure 1 below).</w:t>
      </w:r>
    </w:p>
    <w:p>
      <w:pPr>
        <w:pStyle w:val="BodyText"/>
        <w:spacing w:lineRule="auto" w:line="480"/>
        <w:ind w:hanging="0" w:start="0" w:end="0"/>
        <w:rPr>
          <w:rFonts w:ascii="Arial" w:hAnsi="Arial" w:cs="Arial"/>
        </w:rPr>
      </w:pPr>
      <w:r>
        <w:rPr>
          <w:rFonts w:cs="Arial" w:ascii="Arial" w:hAnsi="Arial"/>
        </w:rPr>
        <w:t>Addressing these challenges requires targeted measures to strengthen transparency and accountability. Boards must be made more independent by mandating nomination committees to ensure diverse, qualified, and impartial members, reducing the influence of concentrated ownership (Ogbechie, 2016; Fariha et al., 2022). Stricter enforcement of timely and accurate financial reporting, with audit committees empowered to operate independently, is essential to improve disclosure standards (Healy &amp; Palepu, 2001; Al-Shaer, H., et al., 2022). Robust whistleblowing mechanisms and independent external audits can enhance internal controls, detecting and preventing financial impropriety (Olojede, P., et al., 2020; Rezaee et al., 2003). Aligning executive compensation with performance, coupled with mandatory disclosure of remuneration policies, ensures incentives drive ethical behavior and enhance transparency (Salehi, M., et al., 2023). Continuous monitoring through regular governance audits, stakeholder feedback, and regulatory harmonization is vital to sustain these reforms, aligning Nigeria’s banking sector with global best practices (Herbert, W. E., &amp; Agwor, T. C., 2021; Beekes &amp; Brown, 2006).</w:t>
      </w:r>
    </w:p>
    <w:p>
      <w:pPr>
        <w:pStyle w:val="BodyText"/>
        <w:spacing w:lineRule="auto" w:line="480"/>
        <w:ind w:hanging="0" w:start="0" w:end="0"/>
        <w:rPr>
          <w:rFonts w:ascii="Arial" w:hAnsi="Arial" w:cs="Arial"/>
        </w:rPr>
      </w:pPr>
      <w:r>
        <w:rPr>
          <w:rFonts w:cs="Arial" w:ascii="Arial" w:hAnsi="Arial"/>
        </w:rPr>
        <w:t xml:space="preserve">In conclusion, transparency and accountability are indispensable for effective corporate governance in Nigeria’s </w:t>
      </w:r>
      <w:r>
        <w:rPr>
          <w:rStyle w:val="Strong"/>
          <w:rFonts w:cs="Arial" w:ascii="Arial" w:hAnsi="Arial"/>
        </w:rPr>
        <w:t>deposit money banking</w:t>
      </w:r>
      <w:r>
        <w:rPr>
          <w:rFonts w:cs="Arial" w:ascii="Arial" w:hAnsi="Arial"/>
        </w:rPr>
        <w:t xml:space="preserve"> sector, yet they are consistently undermined by systemic issues in board oversight, disclosure practices, stakeholder communication, audit controls, and executive compensation. These deficiencies, rooted in historical legacies and exacerbated by regulatory multiplicity, have led to reduced investor trust, heightened regulatory scrutiny, and reputational damage, contributing to 425 bank failures since 1988 and persistent default risk (Udo, B., 2020; Kafidipe, 2021). Cases like Oceanic Bank illustrate how these governance failures—lacking independent oversight, concealing financial distress, and misaligning incentives—threaten financial stability and stakeholder confidence. Implementingmeasures such as strengthening board independence, improving disclosure standards, enhancing internal controls, and aligning compensation with performance is critical to restoring trust and mitigating default risk. Ongoing monitoring and regulatory harmonization will ensure these reforms are sustainable, aligning Nigeria’s banking governance with global standards and supporting its role in economic growth (King &amp; Levine, 1993; Siyanbola, 2019). This chapter sets the stage for further empirical analysis of these issues, as outlined in the research’s objectives and research questions.</w:t>
      </w:r>
    </w:p>
    <w:p>
      <w:pPr>
        <w:pStyle w:val="BodyText"/>
        <w:spacing w:lineRule="auto" w:line="480"/>
        <w:ind w:hanging="0" w:start="0" w:end="0"/>
        <w:rPr>
          <w:rFonts w:ascii="Arial" w:hAnsi="Arial" w:cs="Arial"/>
        </w:rPr>
      </w:pPr>
      <w:r>
        <w:rPr>
          <w:rFonts w:cs="Arial" w:ascii="Arial" w:hAnsi="Arial"/>
        </w:rPr>
        <w:t>1.1.2 Default Risk and Nigerian Banks</w:t>
      </w:r>
    </w:p>
    <w:p>
      <w:pPr>
        <w:pStyle w:val="BodyText"/>
        <w:spacing w:lineRule="auto" w:line="480"/>
        <w:ind w:hanging="0" w:start="0" w:end="0"/>
        <w:rPr>
          <w:rFonts w:ascii="Arial" w:hAnsi="Arial" w:cs="Arial"/>
        </w:rPr>
      </w:pPr>
      <w:r>
        <w:rPr>
          <w:rFonts w:cs="Arial" w:ascii="Arial" w:hAnsi="Arial"/>
        </w:rPr>
        <w:t xml:space="preserve">The Nigerian banking sector, particularly </w:t>
      </w:r>
      <w:r>
        <w:rPr>
          <w:rStyle w:val="Strong"/>
          <w:rFonts w:cs="Arial" w:ascii="Arial" w:hAnsi="Arial"/>
        </w:rPr>
        <w:t>deposit money banks (DMBs)</w:t>
      </w:r>
      <w:r>
        <w:rPr>
          <w:rFonts w:cs="Arial" w:ascii="Arial" w:hAnsi="Arial"/>
        </w:rPr>
        <w:t>, has faced recurrent defaults, exposing critical weaknesses in corporate governance, risk management, and regulatory oversight. These failures have destabilized the financial system, eroded stakeholder confidence, and required substantial government interventions. The causes of bank defaults inNigeria are multifaceted, stemming from a complex interplay of institutional, economic, political, supervisory, and regulatory inadequacies, as identified by Ogunleye (2002). A primary driver is weak corporate governance, marked by inadequate board oversight, lack of transparency, and poor management practices. The Central Bank of Nigeria (CBN) has highlighted inefficient, incompetent, and unstable management as a key factor in collapses, such as that of Savannah Bank, once a top 10 financial institution.</w:t>
      </w:r>
    </w:p>
    <w:p>
      <w:pPr>
        <w:pStyle w:val="BodyText"/>
        <w:spacing w:lineRule="auto" w:line="480"/>
        <w:ind w:hanging="0" w:start="0" w:end="0"/>
        <w:rPr>
          <w:rFonts w:ascii="Arial" w:hAnsi="Arial" w:cs="Arial"/>
        </w:rPr>
      </w:pPr>
      <w:r>
        <w:rPr>
          <w:rFonts w:cs="Arial" w:ascii="Arial" w:hAnsi="Arial"/>
        </w:rPr>
        <w:t>Governance failures often involve violations of best practices, including insider loans, unlawful credits, and transactions with shell companies controlled by bank insiders, amplifying moral hazard problems. Agency issues further heighten the risk of default. The principle-agent problem, first articulated by Adam Smith (1776), reveals how managers may prioritize self-interest over the institution’s survival, especially in banks with concentrated ownership structures. Fernando et al. (2019) note that companies with concentrated ownership show a higher correlation with default than those with distributed ownership, as managers misuse depositors’ funds through special purpose vehicles (SPVs) for unjust enrichment (Abubakar, 2011). This contributes to elevated non-performing loans (NPLs), which reached 37% in 2009—far above the global average of 6.6% (Nwosu, 2020)—reflecting poor risk assessment and lending practices. Economic and market dynamics also play a role. Informational asymmetries in loan markets lead to adverse selection, where high interest rates attract riskier borrowers, reducing the quality of loan portfolios and bank earnings (Stiglitz, 1987; Bertrand et al., 2011; Mayer &amp; Mereno, 2003). In competitive environments, banks may lower interest rates to attract customers, inadvertently drawing in poor-quality borrowers and further weakening loan portfolios (Admati &amp; Hellwig, 2013). These factors, combined with a lack of financial expertise on boards and inadequate risk management, create a fertile ground for default.</w:t>
      </w:r>
    </w:p>
    <w:p>
      <w:pPr>
        <w:pStyle w:val="BodyText"/>
        <w:spacing w:lineRule="auto" w:line="480"/>
        <w:ind w:hanging="0" w:start="0" w:end="0"/>
        <w:rPr>
          <w:rFonts w:ascii="Arial" w:hAnsi="Arial" w:cs="Arial"/>
        </w:rPr>
      </w:pPr>
      <w:r>
        <w:rPr>
          <w:rFonts w:cs="Arial" w:ascii="Arial" w:hAnsi="Arial"/>
        </w:rPr>
        <w:t>Several high-profile cases illustrate the severity of bank defaults in Nigeria. Savannah Bank’s collapse, as noted by the CBN, was driven by managerial incompetence and instability, markinga significant loss for a once-prominent institution. In 2009, five major banks—Afribank, Finbank, Intercontinental Bank, Oceanic Bank, and Union Bank—holding 30% of Nigeria’s deposits, faced imminent failure. The CBN intervened with a $3.9 billion injection to stabilize these institutions, underscoring the systemic risk posed by their distress. Afribank, one of Africa’s largest banks, saw its value plummet from $65 billion to a debt of N141 billion ($900,000), highlighting the scale of mismanagement and financial deterioration. The case of Oceanic Bank is particularly revealing. Mrs. Ibru and Mr. Oboden Ibru, board members, were implicated in governance violations, with 75% of the bank’s non-performing loans tied to enterprises they owned or controlled (Sanusi, 2009). Insider lending, unlawful credits, and asset acquisitions by family-owned shell companies violated corporate governance principles, while the CEO, Mrs. Ibru, awarded procurement contracts to her own shell companies on favorable terms. CBN Governor Sanusi (2009) emphasized that “weak corporate governance…at financial institutions were the root of the banking sector that almost collapsed in 2009,” a view supported by the Nigerian Deposit Insurance Corporation (NDIC), which executed insolvency activities on 425 financial institutions between 1988 and 2020 (Udo, 2020).</w:t>
      </w:r>
    </w:p>
    <w:p>
      <w:pPr>
        <w:pStyle w:val="BodyText"/>
        <w:spacing w:lineRule="auto" w:line="480"/>
        <w:ind w:hanging="0" w:start="0" w:end="0"/>
        <w:rPr>
          <w:rFonts w:ascii="Arial" w:hAnsi="Arial" w:cs="Arial"/>
        </w:rPr>
      </w:pPr>
      <w:r>
        <w:rPr>
          <w:rFonts w:cs="Arial" w:ascii="Arial" w:hAnsi="Arial"/>
        </w:rPr>
        <w:t>The repercussions of bank defaults in Nigeria extend beyond individual institutions, threatening financial stability and stakeholder interests. High levels of non-performing loans, peaking at 37% in 2009, eroded bank capital and liquidity, undermining their ability to meet depositor demands and fulfill lending roles (Nwosu, 2020). This loss of confidence among depositors, shareholders, and creditors destabilized the financial system, with ripple effects on the broader economy. The moral hazard problem, evident in cases like Oceanic Bank, saw depositors’ funds misused, shifting risk to taxpayers and necessitating costly bailouts, such as the $3.9 billion CBN intervention in 2009. Lack of transparency, including falsification of financial statements, further compounded the issue. This information asymmetry prevented stakeholders from making informed decisions, masking the true financial health of banks anddelaying corrective action (Abubakar, 2011). The social burden was significant, as bank failures disrupted access to credit, hindered economic growth, and eroded public trust in the banking sector. Moreover, the prevalence of concentrated ownership and weak board oversight amplified agency conflicts, with managers prioritizing personal gain over sustainable growth, further jeopardizing depositors and the economy at large.</w:t>
      </w:r>
    </w:p>
    <w:p>
      <w:pPr>
        <w:pStyle w:val="BodyText"/>
        <w:spacing w:lineRule="auto" w:line="480"/>
        <w:ind w:hanging="0" w:start="0" w:end="0"/>
        <w:rPr>
          <w:rFonts w:ascii="Arial" w:hAnsi="Arial" w:cs="Arial"/>
        </w:rPr>
      </w:pPr>
      <w:r>
        <w:rPr>
          <w:rFonts w:cs="Arial" w:ascii="Arial" w:hAnsi="Arial"/>
        </w:rPr>
        <w:t xml:space="preserve">In response to these crises, the Nigerian government and the CBN have implemented several measures to bolster stability and governance in </w:t>
      </w:r>
      <w:r>
        <w:rPr>
          <w:rStyle w:val="Strong"/>
          <w:rFonts w:cs="Arial" w:ascii="Arial" w:hAnsi="Arial"/>
        </w:rPr>
        <w:t>deposit money banks</w:t>
      </w:r>
      <w:r>
        <w:rPr>
          <w:rFonts w:cs="Arial" w:ascii="Arial" w:hAnsi="Arial"/>
        </w:rPr>
        <w:t>. In 2006, a consolidation strategy aimed to strengthen banks by merging weaker institutions, while in 2009, the CBN mandated a minimum capital base of 25 billion naira ($162 million) for insured banks (Onaolapo et al., 2019). These efforts sought to enhance resilience and liquidity, though challenges persisted. The CBN’s 2009 intervention, injecting $3.9 billion into ten banks and dismissing eight managing directors, addressed immediate liquidity crises but also exposed deep-seated governance failures (Fadare, 2011). Regulatory actions extended to enforcement, with the CBN removing 178 bank executives and blacklisting 75 for weak governance practices tied to agency issues (Jimoh &amp; Iyoha, 2012). The NDIC played a critical role, managing insolvency for 425 institutions between 1988 and 2020, highlighting the scale of the challenge (Udo, 2020). Deposit insurance andprudential regulations, such as capital adequacy requirements and risk-based deposit insurance premiums, were introduced to protect depositors and curb risky behavior by bank owners reliant on government guarantees (Demirguc-Kunt &amp; Huizinga, 2010; World Bank, 2019). Despite these measures, regulatory multiplicity and inconsistent enforcement remain obstacles. Post-consolidation, many banksgrew in size but suffered from poor management, ill-functioning board committees, and a lack of expertise, undermining governance mechanisms (Abubakar, 2011). The CBN and scholars like Kasum (2014) stress that corporate governance and agency issues were leading contributors to the 2009 crisis,necessitating ongoing monitoring and evaluation to ensure the effectiveness of these reforms in protecting depositors and promoting sustainability.</w:t>
      </w:r>
    </w:p>
    <w:p>
      <w:pPr>
        <w:pStyle w:val="BodyText"/>
        <w:spacing w:lineRule="auto" w:line="480"/>
        <w:ind w:hanging="0" w:start="0" w:end="0"/>
        <w:rPr>
          <w:rFonts w:ascii="Arial" w:hAnsi="Arial" w:cs="Arial"/>
        </w:rPr>
      </w:pPr>
      <w:r>
        <w:rPr>
          <w:rFonts w:cs="Arial" w:ascii="Arial" w:hAnsi="Arial"/>
        </w:rPr>
        <w:t xml:space="preserve">The recurring defaults in Nigerian </w:t>
      </w:r>
      <w:r>
        <w:rPr>
          <w:rStyle w:val="Strong"/>
          <w:rFonts w:cs="Arial" w:ascii="Arial" w:hAnsi="Arial"/>
        </w:rPr>
        <w:t>deposit money banks</w:t>
      </w:r>
      <w:r>
        <w:rPr>
          <w:rFonts w:cs="Arial" w:ascii="Arial" w:hAnsi="Arial"/>
        </w:rPr>
        <w:t xml:space="preserve"> highlight the urgent need for a comprehensive approach to corporate governance and regulation. Weak governance, agency conflicts, and inadequate risk management have fueled systemic instability, with high non-performing loans and moral hazard problems posing ongoing threats. While consolidation, capital requirements, and regulatory interventions have provided temporary relief, the persistence of supervisory gaps and the lack of board expertise demand further reform. Addressing these challenges requires strengthening board oversight, enhancing transparency, and aligning regulatory frameworks to mitigate risk, protect stakeholders, and ensure the long-term stability of Nigeria’s banking sector. This research contributes to these efforts by examining corporate governance practices to propose actionable reforms that enhance financial stability in Nigeria’s banking sector.</w:t>
      </w:r>
    </w:p>
    <w:p>
      <w:pPr>
        <w:pStyle w:val="BodyText"/>
        <w:spacing w:lineRule="auto" w:line="480"/>
        <w:ind w:hanging="0" w:start="0" w:end="0"/>
        <w:rPr>
          <w:rFonts w:ascii="Arial" w:hAnsi="Arial" w:cs="Arial"/>
        </w:rPr>
      </w:pPr>
      <w:r>
        <w:rPr>
          <w:rFonts w:cs="Arial" w:ascii="Arial" w:hAnsi="Arial"/>
        </w:rPr>
        <w:t>1.1.3 Issues of Financial Regulatory Multiplicity in Nigeria</w:t>
      </w:r>
    </w:p>
    <w:p>
      <w:pPr>
        <w:pStyle w:val="BodyText"/>
        <w:spacing w:lineRule="auto" w:line="480"/>
        <w:ind w:hanging="0" w:start="0" w:end="0"/>
        <w:rPr>
          <w:rFonts w:ascii="Arial" w:hAnsi="Arial" w:cs="Arial"/>
        </w:rPr>
      </w:pPr>
      <w:r>
        <w:rPr>
          <w:rFonts w:cs="Arial" w:ascii="Arial" w:hAnsi="Arial"/>
        </w:rPr>
        <w:t>Regulatory multiplicity in corporate governance pertains to the presence of various codes of conduct that govern the behaviors and responsibilities of stakeholders within an industry (John, J. 2023, Ofo, 2013; Agebite, 2014). There is an imperative for enhanced clarity regarding the definition and implementation of corporate governance codes, which serve to delineate the expected conduct of employees in particular situations (Brooks, 1989). This issue is especially evident in Nigeria, where conflicting legal frameworks undermine the autonomy of the Board of Directors and the Audit Committee. Such conflict arises from the ownership structures of firms and contributes to inadequate accounting and internal governance practices, as well as overlapping and conflicting rules and responsibilities (Abdulmalik, 2020).</w:t>
      </w:r>
    </w:p>
    <w:p>
      <w:pPr>
        <w:pStyle w:val="BodyText"/>
        <w:spacing w:lineRule="auto" w:line="480"/>
        <w:ind w:hanging="0" w:start="0" w:end="0"/>
        <w:rPr>
          <w:rFonts w:ascii="Arial" w:hAnsi="Arial" w:cs="Arial"/>
        </w:rPr>
      </w:pPr>
      <w:r>
        <w:rPr>
          <w:rFonts w:cs="Arial" w:ascii="Arial" w:hAnsi="Arial"/>
        </w:rPr>
        <w:t>Moreover, the state of corporate governance in Nigeria is still developing, given that the nation has only been sovereign for 64 years. Approximately fouty percent of listed companies demonstrate a lack of understanding regarding the principles of corporate governance, a situation that can be traced back to the pre-colonial period in Nigeria (Nwaukwa, N. N., 2024; Oromaraghako, P. B. O. et al., 2021; Wilson, 2006). This highlights the critical need for comprehensive reforms in regulatory frameworks to enhance the effectiveness of corporate governance in the country.</w:t>
      </w:r>
    </w:p>
    <w:p>
      <w:pPr>
        <w:pStyle w:val="BodyText"/>
        <w:spacing w:lineRule="auto" w:line="480"/>
        <w:ind w:hanging="0" w:start="0" w:end="0"/>
        <w:rPr>
          <w:rFonts w:ascii="Arial" w:hAnsi="Arial" w:cs="Arial"/>
        </w:rPr>
      </w:pPr>
      <w:r>
        <w:rPr>
          <w:rFonts w:cs="Arial" w:ascii="Arial" w:hAnsi="Arial"/>
        </w:rPr>
        <w:t>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Ahunwan 2002; Adebite and Nakajima 2011; Okike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objectiveregulations in the Nigerian context, where banks are unable to facilitate the development of effective legislation in the baking industry (Ugochukwu, 2000).</w:t>
      </w:r>
    </w:p>
    <w:p>
      <w:pPr>
        <w:pStyle w:val="BodyText"/>
        <w:spacing w:lineRule="auto" w:line="480"/>
        <w:ind w:hanging="0" w:start="0" w:end="0"/>
        <w:rPr>
          <w:rFonts w:ascii="Arial" w:hAnsi="Arial" w:cs="Arial"/>
        </w:rPr>
      </w:pPr>
      <w:r>
        <w:rPr>
          <w:rFonts w:cs="Arial" w:ascii="Arial" w:hAnsi="Arial"/>
        </w:rPr>
        <w:t>Despite the increasing recognition of the need for effective corporate governance regulations, there is a lack of literature on the implications of regulatory multiplicity at the national level (Adgebite, 2012; Adebite, 2014). On one hand, soft law promotes autonomy by encouraging voluntary compliance with good governance practices (See Figure 1.1 above), while on the other hand, statutes carry a legal burden of responsibility for non-compliance (Adegbite, 2012; Adegbite, 2014) (See Figure 1.1 above). The argument for a statutory system of corporate governance in Nigeria is reinforced by the frequent failures of listed companies, linked to inadequate enforcement of regulations by regulatory agencies in addition to the saturation of regulations (Nwoke. et al 2023, Tayo-Tiwo, A 2020). This position is substantiated by Wilson (2006), emphasizing the crucial role of strict to fundamental principles of corporate governance.</w:t>
      </w:r>
    </w:p>
    <w:p>
      <w:pPr>
        <w:pStyle w:val="BodyText"/>
        <w:spacing w:lineRule="auto" w:line="480"/>
        <w:ind w:hanging="0" w:start="0" w:end="0"/>
        <w:rPr>
          <w:rFonts w:ascii="Arial" w:hAnsi="Arial" w:cs="Arial"/>
        </w:rPr>
      </w:pPr>
      <w:r>
        <w:rPr>
          <w:rFonts w:cs="Arial" w:ascii="Arial" w:hAnsi="Arial"/>
        </w:rPr>
        <w:t>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(Nwoke. et al 2023,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(Tayo-Tiwo, A 2020, Abdulmalik 2020, Adebite, 2014).</w:t>
      </w:r>
    </w:p>
    <w:p>
      <w:pPr>
        <w:pStyle w:val="BodyText"/>
        <w:spacing w:lineRule="auto" w:line="480"/>
        <w:ind w:hanging="0" w:start="0" w:end="0"/>
        <w:rPr>
          <w:rFonts w:ascii="Arial" w:hAnsi="Arial" w:cs="Arial"/>
        </w:rPr>
      </w:pPr>
      <w:r>
        <w:rPr>
          <w:rFonts w:cs="Arial" w:ascii="Arial" w:hAnsi="Arial"/>
        </w:rPr>
        <w:t xml:space="preserve">However, the existence of multiple codes within a single country can address the specific needs of different firms and industries (Engle 2007, Moghalu 2011). Despite its potential benefits, this approach to corporate governance is also met with controversy (See Figure 1.1 above). Some argue that multiple self-regulatory codes increase investor confidence (Macey and O’Hara, 2003, BCBS, 2005, BCBS 2006; Hoffmann, 1998), while others argue that it creates an environment of uncertainty and lack of cohesion among firms (Osemeke, L. et al 2016, Agebite, 2014). Additionally, this uncertainty of applicable code can lead to weak enforcement and difficulty in distinguishing between firms that comply with good govern </w:t>
      </w:r>
      <w:r>
        <w:rPr>
          <w:rFonts w:cs="Arial" w:ascii="Arial" w:hAnsi="Arial"/>
        </w:rPr>
        <w:t>(</w:t>
      </w:r>
      <w:r>
        <w:rPr>
          <w:rFonts w:cs="Arial" w:ascii="Arial" w:hAnsi="Arial"/>
        </w:rPr>
        <w:t>Tayo-Tiwo, A 2020, Abdulmalik 2020, Adebite, 2014).</w:t>
      </w:r>
    </w:p>
    <w:p>
      <w:pPr>
        <w:pStyle w:val="Normal"/>
        <w:rPr>
          <w:rFonts w:ascii="Arial" w:hAnsi="Arial" w:cs="Arial"/>
        </w:rPr>
      </w:pPr>
      <w:r>
        <w:rPr>
          <w:rFonts w:cs="Arial" w:ascii="Arial" w:hAnsi="Arial"/>
        </w:rPr>
        <w:t> </w:t>
      </w:r>
    </w:p>
    <w:p>
      <w:pPr>
        <w:sectPr>
          <w:footerReference w:type="default" r:id="rId2"/>
          <w:type w:val="nextPage"/>
          <w:pgSz w:w="12240" w:h="15840"/>
          <w:pgMar w:left="1134" w:right="1134" w:gutter="0" w:header="0" w:top="1134" w:footer="0" w:bottom="1134"/>
          <w:pgNumType w:fmt="decimal"/>
          <w:formProt w:val="false"/>
          <w:textDirection w:val="lrTb"/>
          <w:docGrid w:type="default" w:linePitch="326" w:charSpace="0"/>
        </w:sectPr>
        <w:pStyle w:val="Normal"/>
        <w:spacing w:before="0" w:after="140"/>
        <w:rPr>
          <w:rFonts w:ascii="Arial" w:hAnsi="Arial" w:cs="Arial"/>
        </w:rPr>
      </w:pPr>
      <w:r>
        <w:rPr>
          <w:rFonts w:cs="Arial" w:ascii="Arial" w:hAnsi="Arial"/>
        </w:rPr>
        <w:t> </w:t>
      </w:r>
    </w:p>
    <w:p>
      <w:pPr>
        <w:sectPr>
          <w:footerReference w:type="default" r:id="rId4"/>
          <w:footerReference w:type="first" r:id="rId5"/>
          <w:type w:val="nextPage"/>
          <w:pgSz w:orient="landscape" w:w="15840" w:h="12240"/>
          <w:pgMar w:left="1134" w:right="1134" w:gutter="0" w:header="0" w:top="1134" w:footer="0" w:bottom="1134"/>
          <w:pgNumType w:fmt="decimal"/>
          <w:formProt w:val="false"/>
          <w:textDirection w:val="lrTb"/>
          <w:docGrid w:type="default" w:linePitch="326" w:charSpace="0"/>
        </w:sectPr>
        <w:pStyle w:val="BodyText"/>
        <w:rPr>
          <w:rFonts w:ascii="Arial" w:hAnsi="Arial" w:cs="Arial"/>
        </w:rPr>
      </w:pPr>
      <w:r>
        <w:rPr>
          <w:rFonts w:cs="Arial" w:ascii="Arial" w:hAnsi="Arial"/>
        </w:rPr>
        <w:drawing>
          <wp:anchor behindDoc="0" distT="0" distB="0" distL="0" distR="0" simplePos="0" locked="0" layoutInCell="0" allowOverlap="1" relativeHeight="546">
            <wp:simplePos x="0" y="0"/>
            <wp:positionH relativeFrom="column">
              <wp:align>center</wp:align>
            </wp:positionH>
            <wp:positionV relativeFrom="paragraph">
              <wp:posOffset>635</wp:posOffset>
            </wp:positionV>
            <wp:extent cx="8618220" cy="49041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8618220" cy="4904105"/>
                    </a:xfrm>
                    <a:prstGeom prst="rect">
                      <a:avLst/>
                    </a:prstGeom>
                    <a:noFill/>
                  </pic:spPr>
                </pic:pic>
              </a:graphicData>
            </a:graphic>
          </wp:anchor>
        </w:drawing>
        <mc:AlternateContent>
          <mc:Choice Requires="wps">
            <w:drawing>
              <wp:anchor behindDoc="0" distT="0" distB="0" distL="0" distR="0" simplePos="0" locked="0" layoutInCell="1" allowOverlap="1" relativeHeight="547">
                <wp:simplePos x="0" y="0"/>
                <wp:positionH relativeFrom="column">
                  <wp:posOffset>-160655</wp:posOffset>
                </wp:positionH>
                <wp:positionV relativeFrom="paragraph">
                  <wp:posOffset>5181600</wp:posOffset>
                </wp:positionV>
                <wp:extent cx="8962390" cy="1420495"/>
                <wp:effectExtent l="0" t="635" r="0" b="0"/>
                <wp:wrapNone/>
                <wp:docPr id="3" name="Text Box 5"/>
                <a:graphic xmlns:a="http://schemas.openxmlformats.org/drawingml/2006/main">
                  <a:graphicData uri="http://schemas.microsoft.com/office/word/2010/wordprocessingShape">
                    <wps:wsp>
                      <wps:cNvSpPr/>
                      <wps:spPr>
                        <a:xfrm>
                          <a:off x="0" y="0"/>
                          <a:ext cx="8962560" cy="1420560"/>
                        </a:xfrm>
                        <a:prstGeom prst="rect">
                          <a:avLst/>
                        </a:prstGeom>
                        <a:noFill/>
                        <a:ln w="6480">
                          <a:noFill/>
                        </a:ln>
                      </wps:spPr>
                      <wps:style>
                        <a:lnRef idx="0"/>
                        <a:fillRef idx="0"/>
                        <a:effectRef idx="0"/>
                        <a:fontRef idx="minor"/>
                      </wps:style>
                      <wps:txbx>
                        <w:txbxContent>
                          <w:p>
                            <w:pPr>
                              <w:pStyle w:val="TableContents"/>
                              <w:rPr>
                                <w:i/>
                                <w:i/>
                                <w:iCs/>
                              </w:rPr>
                            </w:pPr>
                            <w:r>
                              <w:rPr>
                                <w:i/>
                                <w:iCs/>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txbxContent>
                      </wps:txbx>
                      <wps:bodyPr anchor="t">
                        <a:noAutofit/>
                      </wps:bodyPr>
                    </wps:wsp>
                  </a:graphicData>
                </a:graphic>
              </wp:anchor>
            </w:drawing>
          </mc:Choice>
          <mc:Fallback>
            <w:pict>
              <v:rect id="shape_0" ID="Text Box 5" path="m0,0l-2147483645,0l-2147483645,-2147483646l0,-2147483646xe" stroked="f" o:allowincell="f" style="position:absolute;margin-left:-12.65pt;margin-top:408pt;width:705.65pt;height:111.8pt;mso-wrap-style:square;v-text-anchor:top">
                <v:fill o:detectmouseclick="t" on="false"/>
                <v:stroke color="#3465a4" weight="6480" joinstyle="round" endcap="flat"/>
                <v:textbox>
                  <w:txbxContent>
                    <w:p>
                      <w:pPr>
                        <w:pStyle w:val="TableContents"/>
                        <w:rPr>
                          <w:i/>
                          <w:i/>
                          <w:iCs/>
                        </w:rPr>
                      </w:pPr>
                      <w:r>
                        <w:rPr>
                          <w:i/>
                          <w:iCs/>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txbxContent>
                </v:textbox>
                <w10:wrap type="none"/>
              </v:rect>
            </w:pict>
          </mc:Fallback>
        </mc:AlternateContent>
        <mc:AlternateContent>
          <mc:Choice Requires="wps">
            <w:drawing>
              <wp:anchor behindDoc="1" distT="0" distB="5080" distL="0" distR="12065" simplePos="0" locked="0" layoutInCell="0" allowOverlap="1" relativeHeight="555">
                <wp:simplePos x="0" y="0"/>
                <wp:positionH relativeFrom="margin">
                  <wp:posOffset>-304165</wp:posOffset>
                </wp:positionH>
                <wp:positionV relativeFrom="paragraph">
                  <wp:posOffset>-318770</wp:posOffset>
                </wp:positionV>
                <wp:extent cx="9310370" cy="181610"/>
                <wp:effectExtent l="0" t="0" r="0" b="0"/>
                <wp:wrapNone/>
                <wp:docPr id="4" name="Text Box 1"/>
                <a:graphic xmlns:a="http://schemas.openxmlformats.org/drawingml/2006/main">
                  <a:graphicData uri="http://schemas.microsoft.com/office/word/2010/wordprocessingShape">
                    <wps:wsp>
                      <wps:cNvSpPr/>
                      <wps:spPr>
                        <a:xfrm>
                          <a:off x="0" y="0"/>
                          <a:ext cx="9310320" cy="181440"/>
                        </a:xfrm>
                        <a:prstGeom prst="rect">
                          <a:avLst/>
                        </a:prstGeom>
                        <a:noFill/>
                        <a:ln w="0">
                          <a:noFill/>
                        </a:ln>
                      </wps:spPr>
                      <wps:style>
                        <a:lnRef idx="0"/>
                        <a:fillRef idx="0"/>
                        <a:effectRef idx="0"/>
                        <a:fontRef idx="minor"/>
                      </wps:style>
                      <wps:txbx>
                        <w:txbxContent>
                          <w:p>
                            <w:pPr>
                              <w:pStyle w:val="TableContents"/>
                              <w:rPr/>
                            </w:pPr>
                            <w:r>
                              <w:rPr>
                                <w:color w:val="000000"/>
                              </w:rPr>
                              <w:t xml:space="preserve">Figure 1.1 Regulatory multiplicity governing Money Deposit Banks (DMBs) in Nigeria: Corporate governance mechanisms 2025 </w:t>
                            </w:r>
                          </w:p>
                        </w:txbxContent>
                      </wps:txbx>
                      <wps:bodyPr lIns="0" rIns="0" tIns="0" bIns="0" anchor="t">
                        <a:spAutoFit/>
                      </wps:bodyPr>
                    </wps:wsp>
                  </a:graphicData>
                </a:graphic>
              </wp:anchor>
            </w:drawing>
          </mc:Choice>
          <mc:Fallback>
            <w:pict>
              <v:rect id="shape_0" ID="Text Box 1" path="m0,0l-2147483645,0l-2147483645,-2147483646l0,-2147483646xe" stroked="f" o:allowincell="f" style="position:absolute;margin-left:-23.95pt;margin-top:-25.1pt;width:733.05pt;height:14.25pt;mso-wrap-style:square;v-text-anchor:top;mso-position-horizontal-relative:margin">
                <v:fill o:detectmouseclick="t" on="false"/>
                <v:stroke color="#3465a4" joinstyle="round" endcap="flat"/>
                <v:textbox>
                  <w:txbxContent>
                    <w:p>
                      <w:pPr>
                        <w:pStyle w:val="TableContents"/>
                        <w:rPr/>
                      </w:pPr>
                      <w:r>
                        <w:rPr>
                          <w:color w:val="000000"/>
                        </w:rPr>
                        <w:t xml:space="preserve">Figure 1.1 Regulatory multiplicity governing Money Deposit Banks (DMBs) in Nigeria: Corporate governance mechanisms 2025 </w:t>
                      </w:r>
                    </w:p>
                  </w:txbxContent>
                </v:textbox>
                <w10:wrap type="none"/>
              </v:rect>
            </w:pict>
          </mc:Fallback>
        </mc:AlternateContent>
      </w:r>
    </w:p>
    <w:p>
      <w:pPr>
        <w:pStyle w:val="Normal"/>
        <w:rPr/>
      </w:pPr>
      <w:r>
        <w:rPr/>
        <w:t>However, the existence of multiple codes within a single country can address the specific needs of d</w:t>
      </w:r>
      <w:r>
        <w:rPr>
          <w:rStyle w:val="Strong"/>
        </w:rPr>
        <w:t>1.1.3 Issues of Financial Regulatory Multiplicity in Nigeria</w:t>
      </w:r>
    </w:p>
    <w:p>
      <w:pPr>
        <w:pStyle w:val="BodyText"/>
        <w:spacing w:lineRule="auto" w:line="480"/>
        <w:ind w:hanging="0" w:start="0" w:end="0"/>
        <w:rPr/>
      </w:pPr>
      <w:r>
        <w:rPr/>
        <w:t xml:space="preserve">Regulatory multiplicity in corporate governance pertains to the presence of various codes of conduct that govern the behaviors and responsibilities of stakeholders within an industry (John, J. 2023; Ofo, 2013; </w:t>
      </w:r>
      <w:r>
        <w:rPr>
          <w:rStyle w:val="Strong"/>
        </w:rPr>
        <w:t>Adegbite, 2014</w:t>
      </w:r>
      <w:r>
        <w:rPr/>
        <w:t>). There is an imperative for enhanced clarity regarding the definition and implementation of corporate governance codes, which serve to delineate the expected conduct of employees in particular situations (Brooks, 1989). This issue is especially evident in Nigeria, where conflicting legal frameworks undermine the autonomy of the Board of Directors and the Audit Committee. Such conflict arises from the ownership structures of firms and contributes to inadequate accounting and internal governance practices, as well as overlapping and conflicting rules and responsibilities (Abdulmalik, 2020).</w:t>
      </w:r>
    </w:p>
    <w:p>
      <w:pPr>
        <w:pStyle w:val="BodyText"/>
        <w:spacing w:lineRule="auto" w:line="480"/>
        <w:ind w:hanging="0" w:start="0" w:end="0"/>
        <w:rPr/>
      </w:pPr>
      <w:r>
        <w:rPr/>
        <w:t xml:space="preserve">Moreover, the state of corporate governance in Nigeria is still developing, given that the nation has been sovereign for </w:t>
      </w:r>
      <w:r>
        <w:rPr>
          <w:rStyle w:val="Strong"/>
        </w:rPr>
        <w:t>only 65 years as of 2025</w:t>
      </w:r>
      <w:r>
        <w:rPr/>
        <w:t>. Approximately forty percent of listed companies demonstrate a lack of understanding regarding the principles of corporate governance, a situation that can be traced back to the pre-colonial period in Nigeria (Nwaukwa, N. N., 2024; Oromaraghako, P. B. O. et al., 2021; Wilson, 2006). This highlights the critical need for comprehensive reforms in regulatory frameworks to enhance the effectiveness of corporate governance in the country.</w:t>
      </w:r>
    </w:p>
    <w:p>
      <w:pPr>
        <w:pStyle w:val="BodyText"/>
        <w:spacing w:lineRule="auto" w:line="480"/>
        <w:ind w:hanging="0" w:start="0" w:end="0"/>
        <w:rPr/>
      </w:pPr>
      <w:r>
        <w:rPr/>
        <w:t xml:space="preserve">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Ahunwan, 2002; </w:t>
      </w:r>
      <w:r>
        <w:rPr>
          <w:rStyle w:val="Strong"/>
        </w:rPr>
        <w:t>Adegbite &amp; Nakajima, 2011</w:t>
      </w:r>
      <w:r>
        <w:rPr/>
        <w:t xml:space="preserve">; Okike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objective regulations in the Nigerian context, where banks are unable to facilitate the development of effective legislation in the </w:t>
      </w:r>
      <w:r>
        <w:rPr>
          <w:rStyle w:val="Strong"/>
        </w:rPr>
        <w:t>banking</w:t>
      </w:r>
      <w:r>
        <w:rPr/>
        <w:t xml:space="preserve"> industry (Ugochukwu, 2000).</w:t>
      </w:r>
    </w:p>
    <w:p>
      <w:pPr>
        <w:pStyle w:val="BodyText"/>
        <w:spacing w:lineRule="auto" w:line="480"/>
        <w:ind w:hanging="0" w:start="0" w:end="0"/>
        <w:rPr/>
      </w:pPr>
      <w:r>
        <w:rPr/>
        <w:t>Despite the increasing recognition of the need for effective corporate governance regulations, there is a lack of literature on the implications of regulatory multiplicity at the national level (</w:t>
      </w:r>
      <w:r>
        <w:rPr>
          <w:rStyle w:val="Strong"/>
        </w:rPr>
        <w:t>Adegbite, 2012, 2014</w:t>
      </w:r>
      <w:r>
        <w:rPr/>
        <w:t>). On one hand, soft law promotes autonomy by encouraging voluntary compliance with good governance practices (See Figure 1.1 above), while on the other hand, statutes carry a legal burden of responsibility for non-compliance (</w:t>
      </w:r>
      <w:r>
        <w:rPr>
          <w:rStyle w:val="Strong"/>
        </w:rPr>
        <w:t>Adegbite, 2012, 2014</w:t>
      </w:r>
      <w:r>
        <w:rPr/>
        <w:t>) (See Figure 1.1 above). The argument for a statutory system of corporate governance in Nigeria is reinforced by the frequent failures of listed companies, linked to inadequate enforcement of regulations by regulatory agencies in addition to the saturation of regulations (Nwoke et al., 2023; Tayo-Tiwo, 2020). This position is substantiated by Wilson (2006), emphasizing the crucial role of strict adherence to fundamental principles of corporate governance.</w:t>
      </w:r>
    </w:p>
    <w:p>
      <w:pPr>
        <w:pStyle w:val="BodyText"/>
        <w:spacing w:lineRule="auto" w:line="480"/>
        <w:ind w:hanging="0" w:start="0" w:end="0"/>
        <w:rPr/>
      </w:pPr>
      <w:r>
        <w:rPr/>
        <w:t xml:space="preserve">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(Nwoke et al., 2023;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(Tayo-Tiwo, 2020; Abdulmalik, 2020; </w:t>
      </w:r>
      <w:r>
        <w:rPr>
          <w:rStyle w:val="Strong"/>
        </w:rPr>
        <w:t>Adegbite, 2014</w:t>
      </w:r>
      <w:r>
        <w:rPr/>
        <w:t>).</w:t>
      </w:r>
    </w:p>
    <w:p>
      <w:pPr>
        <w:pStyle w:val="BodyText"/>
        <w:spacing w:lineRule="auto" w:line="480"/>
        <w:ind w:hanging="0" w:start="0" w:end="0"/>
        <w:rPr/>
      </w:pPr>
      <w:r>
        <w:rPr/>
        <w:t xml:space="preserve">However, the existence of multiple codes within a single country can address the specific needs of different firms and industries (Engle, 2007; Moghalu, 2011). Despite its potential benefits, this approach to corporate governance is also met with controversy (See Figure 1.1 above). Some argue that multiple self-regulatory codes increase investor confidence (Macey &amp; O’Hara, 2003; BCBS, 2005, 2006; Hoffmann, 1998), while others argue that it creates an environment of uncertainty and lack of cohesion among firms (Osemeke, L. et al., 2016; </w:t>
      </w:r>
      <w:r>
        <w:rPr>
          <w:rStyle w:val="Strong"/>
        </w:rPr>
        <w:t>Adegbite, 2014</w:t>
      </w:r>
      <w:r>
        <w:rPr/>
        <w:t>). Additionally, this uncertainty of applicable code can lead to weak enforcement and difficulty in distinguishing between firms that comply with good governance practices and those that do not, as is the case in Nigeria (Brooks, 1989; Abdulmalik, 2020; Wilson, 2006) (See Figure 1.1 above).</w:t>
      </w:r>
    </w:p>
    <w:p>
      <w:pPr>
        <w:pStyle w:val="BodyText"/>
        <w:spacing w:lineRule="auto" w:line="480"/>
        <w:ind w:hanging="0" w:start="0" w:end="0"/>
        <w:rPr/>
      </w:pPr>
      <w:r>
        <w:rPr/>
        <w:t xml:space="preserve">The Nigerian </w:t>
      </w:r>
      <w:r>
        <w:rPr>
          <w:rStyle w:val="Strong"/>
        </w:rPr>
        <w:t>deposit money banking</w:t>
      </w:r>
      <w:r>
        <w:rPr/>
        <w:t xml:space="preserve"> industry operates within a corporate governance framework that is both extensive and fragmented (Olojede, P., et al., 2020). This landscape is characterized by the proliferation of multiple regulatory codes, which create a complex and often contradictory environment for financial institutions (Abdulmalik, S. O., 2020). The coexistence of various governance frameworks, each overseen by different regulatory bodies, has generated challenges that impinge on decision-making processes and the quality of corporate governance within the banking sector (Shaba, Y., 2024). The Companies and Allied Matters Act (CAMA) 2020 serves as the cornerstone of corporate governance regulations in Nigeria, overseen by the Corporate Affairs Commission (CAC). As an overarching legal framework, CAMA governs company formation, board structures, shareholder rights, and compliance for registered entities. For example, it mandates the appointment of at least two directors (except for small companies), the organization of shareholder meetings, and the filing of annual reports (Muse, M. A., </w:t>
      </w:r>
      <w:r>
        <w:rPr>
          <w:rStyle w:val="Strong"/>
        </w:rPr>
        <w:t>2024</w:t>
      </w:r>
      <w:r>
        <w:rPr/>
        <w:t>). However, its general application to all companies often causes conflicts when it intersects with sector-specific codes, such as its provisions on director remuneration, which might contradict more stringent guidelines issued by regulators in the banking sector (See Figure 1.1 above).</w:t>
      </w:r>
    </w:p>
    <w:p>
      <w:pPr>
        <w:pStyle w:val="BodyText"/>
        <w:spacing w:lineRule="auto" w:line="480"/>
        <w:ind w:hanging="0" w:start="0" w:end="0"/>
        <w:rPr/>
      </w:pPr>
      <w:r>
        <w:rPr/>
        <w:t xml:space="preserve">The Nigerian Code of Corporate Governance (NCCG) 2018, issued by the Financial Reporting Council of Nigeria (FRCN), is a principles-based framework. It adopts an "Apply and Explain" approach, requiring companies to either implement the code's principles or explain their non-compliance (Osemeke, L. et al., 2016; Abdulmalik, S. O., 2020). While this approach theoretically provides flexibility, it also introduces ambiguities. Firms in the </w:t>
      </w:r>
      <w:r>
        <w:rPr>
          <w:rStyle w:val="Strong"/>
        </w:rPr>
        <w:t>deposit money banking</w:t>
      </w:r>
      <w:r>
        <w:rPr/>
        <w:t xml:space="preserve"> industry may exploit this by circumventing certain principles, such as board diversity or whistleblowing frameworks, when explanations of inapplicability suffice. The result is inconsistent governance practices (Nwaukwa, N. N., 2024). Moreover, since the NCCG does not override sector-specific codes, such as those issued by the Central Bank of Nigeria (CBN), banks are often forced to navigate overlapping and sometimes conflicting governance requirements (Tayo-Tiwo, 2020).</w:t>
      </w:r>
    </w:p>
    <w:p>
      <w:pPr>
        <w:pStyle w:val="BodyText"/>
        <w:spacing w:lineRule="auto" w:line="480"/>
        <w:ind w:hanging="0" w:start="0" w:end="0"/>
        <w:rPr/>
      </w:pPr>
      <w:r>
        <w:rPr/>
        <w:t xml:space="preserve">The CBN has issued strict and comprehensive codes to address governance in the financial sector, including the "Code of Corporate Governance for Banks and Discount Houses in Nigeria" (2014) and the "Code of Corporate Governance for Other Financial Institutions" (2019). These emphasize critical aspects such as board independence, risk management, and transparency—requirements tailored to address past challenges in the banking sector, such as the 2009 banking crisis (Iwedi, M., et al., 2024). These codes are mandatory for banks and provide less room for flexibility compared to the NCCG (Tayo-Tiwo, 2020). However, conflicts arise because the CBN codes, while specific, may diverge from broader governance frameworks like the NCCG or other sectoral guidelines, for example, on risk management committee structures or diversity requirements (Odiase, P. O., </w:t>
      </w:r>
      <w:r>
        <w:rPr>
          <w:rStyle w:val="Strong"/>
        </w:rPr>
        <w:t>2024</w:t>
      </w:r>
      <w:r>
        <w:rPr/>
        <w:t xml:space="preserve">). Similarly, the Securities and Exchange Commission’s (SEC) Code of Corporate Governance for Public Companies (2011) introduces additional layers of governance aimed at protecting shareholder rights and ensuring board independence (Nwaukwa, N. N. et al., 2024; Odiase, P. O., </w:t>
      </w:r>
      <w:r>
        <w:rPr>
          <w:rStyle w:val="Strong"/>
        </w:rPr>
        <w:t>2023</w:t>
      </w:r>
      <w:r>
        <w:rPr/>
        <w:t xml:space="preserve">). This code also conflicts at times with others, creating discrepancies that banks can exploit. For example, the SEC's stricter limits on interlocking directorships may clash with the CBN’s relatively lenient provisions, leaving room for selective adherence based on convenience or management preference. Regulatory fragmentation has its roots in Nigeria’s attempts to strengthen corporate governance following major crises, notably the 2009 banking sector collapse caused by unethical practices and weak oversight (Egbunike, F., </w:t>
      </w:r>
      <w:r>
        <w:rPr>
          <w:rStyle w:val="Strong"/>
        </w:rPr>
        <w:t>2023</w:t>
      </w:r>
      <w:r>
        <w:rPr/>
        <w:t xml:space="preserve">). While the intention has been to improve governance through multiple regulations tailored to specific issues, the resultant framework is disjointed and lacking in coordination. This has not only increased compliance costs but also slowed down decision-making processes. Furthermore, managers and boards exploit the gaps and overlaps between different codes, contributing to what has been identified in the literature as the agency problem—the prioritizing of the interests of managers over those of shareholders and other stakeholders (Kafidipe, A., Uwalomwa, U., Dahunsi, O., &amp; Okeme, F. O., 2021). The legal and disciplinary ambiguity inherent in regulatory multiplicity exacerbates this issue (Nwaukwa, N. N. et al., 2024; Egbunike, F., </w:t>
      </w:r>
      <w:r>
        <w:rPr>
          <w:rStyle w:val="Strong"/>
        </w:rPr>
        <w:t>2023</w:t>
      </w:r>
      <w:r>
        <w:rPr/>
        <w:t>).</w:t>
      </w:r>
    </w:p>
    <w:p>
      <w:pPr>
        <w:pStyle w:val="BodyText"/>
        <w:spacing w:lineRule="auto" w:line="480"/>
        <w:ind w:hanging="0" w:start="0" w:end="0"/>
        <w:rPr/>
      </w:pPr>
      <w:r>
        <w:rPr/>
        <w:t xml:space="preserve">For instance, the NCCG's discretionary "Apply and Explain" approach allows companies to justify non-compliance with principles, such as whistleblowing or risk management, which are crucial for protecting stakeholder interests (Agbo, B., </w:t>
      </w:r>
      <w:r>
        <w:rPr>
          <w:rStyle w:val="Strong"/>
        </w:rPr>
        <w:t>2023</w:t>
      </w:r>
      <w:r>
        <w:rPr/>
        <w:t xml:space="preserve">). By contrast, the CBN’s mandatory compliance requirements impose stricter standards, but these often encourage companies to prioritize less stringent codes to manage their compliance risks. This flexibility has significant implications in contexts such as board independence, internal audit functions, and transparency (Ogunbameru, O., &amp; Alabi, S., </w:t>
      </w:r>
      <w:r>
        <w:rPr>
          <w:rStyle w:val="Strong"/>
        </w:rPr>
        <w:t>2023</w:t>
      </w:r>
      <w:r>
        <w:rPr/>
        <w:t xml:space="preserve">). For example, the lack of adequate whistleblowing mechanisms has been linked to the concealment of fraud and conflicts of interest, as highlighted during the 2009 crisis (Olojede, P. et al., 2020; Nwoke, U., Ekwelem, C. M., &amp; Agbowo-Egbo, H. C., </w:t>
      </w:r>
      <w:r>
        <w:rPr>
          <w:rStyle w:val="Strong"/>
        </w:rPr>
        <w:t>2023</w:t>
      </w:r>
      <w:r>
        <w:rPr/>
        <w:t>). Weak enforcement compounds the problems associated with regulatory multiplicity. Despite the stringent provisions contained in CAMA, the NCCG, or the CBN codes, enforcement mechanisms remain inconsistent (Abdulmalik, S. O., &amp; Ahmad, A. C., 2020). The FRCN, tasked with monitoring compliance with the NCCG, lacks the authority to override sectoral regulators like the CBN, while shareholder associations lack the legal backing to enforce governance rules. According to Adegbite (2012), inadequate enforcement, combined with the fragmented nature of Nigeria’s regulatory system, weakens the credibility of the country’s corporate governance framework.</w:t>
      </w:r>
    </w:p>
    <w:p>
      <w:pPr>
        <w:pStyle w:val="BodyText"/>
        <w:spacing w:lineRule="auto" w:line="480"/>
        <w:ind w:hanging="0" w:start="0" w:end="0"/>
        <w:rPr/>
      </w:pPr>
      <w:r>
        <w:rPr/>
        <w:t xml:space="preserve">Another critical dimension to corporate governance in the Nigerian </w:t>
      </w:r>
      <w:r>
        <w:rPr>
          <w:rStyle w:val="Strong"/>
        </w:rPr>
        <w:t>deposit money banking</w:t>
      </w:r>
      <w:r>
        <w:rPr/>
        <w:t xml:space="preserve"> sector is the structure and independence of boards and audit committees (Osezua, O., &amp; Ude, C., </w:t>
      </w:r>
      <w:r>
        <w:rPr>
          <w:rStyle w:val="Strong"/>
        </w:rPr>
        <w:t>2023</w:t>
      </w:r>
      <w:r>
        <w:rPr/>
        <w:t xml:space="preserve">). The composition of these governance bodies is heavily influenced by ownership structures, often leading to limited independence. Research indicates that approximately </w:t>
      </w:r>
      <w:r>
        <w:rPr>
          <w:rStyle w:val="Strong"/>
        </w:rPr>
        <w:t>sixty-one percent</w:t>
      </w:r>
      <w:r>
        <w:rPr/>
        <w:t xml:space="preserve"> of bank boards in Nigeria lack nomination committees, despite such committees being essential for establishing board and management independence (Ogbechie, 2016). This is particularly concerning since global best practices, such as those enshrined in the Companies Act of 2008 in other jurisdictions, mandate the establishment of nomination committees to promote accountability and governance integrity. Empirical studies (Nwaukwa, N. N., 2024; Osemene et al., 2018; Puni, 2015) have shown that the absence of independent nomination committees in the Nigerian context is tied to concentrated ownership structures, which diminish overall board effectiveness. Furthermore, Section 359(4) of CAMA specifies that audit committees should consist of equal numbers of board directors and shareholders. However, as Adegbite (2014) reports, in practice, these committees often function at the behest of majority shareholders and managers. Their influence has been linked to the approval of financial statements without rigorous review, undermining the board's monitoring role. The former Governor of the Central Bank of Nigeria, Sanusi Lamido Sanusi, aptly summarized this issue, noting that many boards of Nigerian banks ignored corporate governance standards, failed to prevent insider dealings, and allowed undue influence by executives in decision-making processes (Sanusi, 2010).</w:t>
      </w:r>
    </w:p>
    <w:p>
      <w:pPr>
        <w:pStyle w:val="BodyText"/>
        <w:spacing w:lineRule="auto" w:line="480"/>
        <w:ind w:hanging="0" w:start="0" w:end="0"/>
        <w:rPr/>
      </w:pPr>
      <w:r>
        <w:rPr/>
        <w:t>To facilitate the development of an effective corporate governance framework in Nigeria, it is crucial to address the structural challenges posed by regulatory multiplicity, weak enforcement mechanisms, and excessive ownership influence. Existing literature emphasizes the significance of transparent accounting practices and robust regulatory enforcement in mitigating information asymmetry between managers, shareholders, and other stakeholders (Efunniyi et al., 2024; Yahaya et al., 2023; Ayogu, 2023; Salehi &amp; Zimon, 2023; Karsono, 2023; Al-Shaer et al., 2022; Mason, 2020; Rezaee, 2003). These studies collectively argue that achieving a harmonized governance framework while empowering regulators to enforce uniform compliance is fundamental to aligning Nigeria’s corporate governance landscape with global best practices. In the absence of such reforms, systemic inefficiencies will persist, thereby undermining governance outcomes and the broader stability of the financial sector.</w:t>
      </w:r>
    </w:p>
    <w:p>
      <w:pPr>
        <w:pStyle w:val="BodyText"/>
        <w:spacing w:lineRule="auto" w:line="480"/>
        <w:ind w:hanging="0" w:start="0" w:end="0"/>
        <w:rPr/>
      </w:pPr>
      <w:r>
        <w:rPr/>
        <w:t xml:space="preserve">In addressing Nigeria’s fragmented governance framework, a concerted effort is needed to streamline and harmonize conflicting regulatory codes governing the </w:t>
      </w:r>
      <w:r>
        <w:rPr>
          <w:rStyle w:val="Strong"/>
        </w:rPr>
        <w:t>deposit money banking</w:t>
      </w:r>
      <w:r>
        <w:rPr/>
        <w:t xml:space="preserve"> industry. Collaboration among regulatory agencies is essential to establish a unified framework that promotes accountability while reducing the economic burden of compliance. Key structural reforms, such as the mandatory adoption of nomination committees and strengthened independence for both board and audit committees, are also critical to fostering transparency and accountability in the banking sector. Failure to implement these measures risks perpetuating the current challenges arising from regulatory multiplicity and agency problems, which in turn threaten the operational stability and growth prospects of Nigerian banks.</w:t>
      </w:r>
    </w:p>
    <w:p>
      <w:pPr>
        <w:pStyle w:val="BodyText"/>
        <w:spacing w:lineRule="auto" w:line="480"/>
        <w:ind w:hanging="0" w:start="0" w:end="0"/>
        <w:rPr/>
      </w:pPr>
      <w:r>
        <w:rPr/>
        <w:t xml:space="preserve">Conflicting regulatory codes remain a pressing issue for Nigerian </w:t>
      </w:r>
      <w:r>
        <w:rPr>
          <w:rStyle w:val="Strong"/>
        </w:rPr>
        <w:t>deposit money banks</w:t>
      </w:r>
      <w:r>
        <w:rPr/>
        <w:t xml:space="preserve">, as they often present contradictions and create inconsistencies that have far-reaching consequences for stakeholders. This challenge emphasizes the urgent need for an in-depth review and proper implementation of governance codes to address these conflicts and reduce their potentially harmful impact on banking operations. For instance, Osemeke and Adegbite (2016) found that </w:t>
      </w:r>
      <w:r>
        <w:rPr>
          <w:rStyle w:val="Strong"/>
        </w:rPr>
        <w:t>sixty-seven percent</w:t>
      </w:r>
      <w:r>
        <w:rPr/>
        <w:t xml:space="preserve"> of respondents in their research acknowledged significant disparities among Nigeria's regulatory codes, raising widespread concern about the effectiveness of the financial sector's governance structure (See Figure 1.2 below). The same research also revealed that </w:t>
      </w:r>
      <w:r>
        <w:rPr>
          <w:rStyle w:val="Strong"/>
        </w:rPr>
        <w:t>eighty percent</w:t>
      </w:r>
      <w:r>
        <w:rPr/>
        <w:t xml:space="preserve"> of respondents believed the industry’s regulatory codes were overly compacted and conflicting, which underscores how regulatory complexity undermines the operational efficiency of </w:t>
      </w:r>
      <w:r>
        <w:rPr>
          <w:rStyle w:val="Strong"/>
        </w:rPr>
        <w:t>deposit money banks</w:t>
      </w:r>
      <w:r>
        <w:rPr/>
        <w:t xml:space="preserve"> (See Figure 1.2 below). These findings underline the necessity of reevaluating and realigning Nigeria's regulatory framework to enhance its governance efficacy.</w:t>
      </w:r>
    </w:p>
    <w:p>
      <w:pPr>
        <w:pStyle w:val="BodyText"/>
        <w:spacing w:lineRule="auto" w:line="480"/>
        <w:ind w:hanging="0" w:start="0" w:end="0"/>
        <w:rPr/>
      </w:pPr>
      <w:r>
        <w:rPr/>
        <w:t xml:space="preserve">The persistence of conflicting regulatory frameworks not only disrupts the day-to-day operations of Nigerian </w:t>
      </w:r>
      <w:r>
        <w:rPr>
          <w:rStyle w:val="Strong"/>
        </w:rPr>
        <w:t>deposit money banks</w:t>
      </w:r>
      <w:r>
        <w:rPr/>
        <w:t xml:space="preserve"> but also poses systemic risks to their long-term stability and resilience. Addressing these challenges forms a key focus of this research, particularly in exploring how governance mechanisms—such as </w:t>
      </w:r>
      <w:r>
        <w:rPr>
          <w:rStyle w:val="Strong"/>
        </w:rPr>
        <w:t>audit committee independence</w:t>
      </w:r>
      <w:r>
        <w:rPr/>
        <w:t xml:space="preserve"> and </w:t>
      </w:r>
      <w:r>
        <w:rPr>
          <w:rStyle w:val="Strong"/>
        </w:rPr>
        <w:t>regulatory clarity and enforcement consistency</w:t>
      </w:r>
      <w:r>
        <w:rPr/>
        <w:t xml:space="preserve">—influence the risk of bank default within the context of regulatory multiplicity in the Nigerian </w:t>
      </w:r>
      <w:r>
        <w:rPr>
          <w:rStyle w:val="Strong"/>
        </w:rPr>
        <w:t>deposit money banking</w:t>
      </w:r>
      <w:r>
        <w:rPr/>
        <w:t xml:space="preserve"> industry. These governance structures are vital tools for mitigating agency problems and reinforcing internal controls, which remain crucial within a financial sector characterized by overlapping and occasionally contradictory regulatory requirements (See Figure 1.2 below).</w:t>
      </w:r>
    </w:p>
    <w:p>
      <w:pPr>
        <w:sectPr>
          <w:footerReference w:type="default" r:id="rId6"/>
          <w:footerReference w:type="first" r:id="rId7"/>
          <w:type w:val="nextPage"/>
          <w:pgSz w:w="12240" w:h="15840"/>
          <w:pgMar w:left="1134" w:right="1134" w:gutter="0" w:header="0" w:top="1134" w:footer="0" w:bottom="1134"/>
          <w:pgNumType w:fmt="decimal"/>
          <w:formProt w:val="false"/>
          <w:textDirection w:val="lrTb"/>
          <w:docGrid w:type="default" w:linePitch="326" w:charSpace="0"/>
        </w:sectPr>
        <w:pStyle w:val="Normal"/>
        <w:rPr/>
      </w:pPr>
      <w:r>
        <w:rPr/>
      </w:r>
    </w:p>
    <w:tbl>
      <w:tblPr>
        <w:tblpPr w:vertAnchor="text" w:horzAnchor="margin" w:leftFromText="180" w:rightFromText="180" w:tblpX="0" w:tblpY="457"/>
        <w:tblW w:w="13556" w:type="dxa"/>
        <w:jc w:val="start"/>
        <w:tblInd w:w="-7" w:type="dxa"/>
        <w:tblLayout w:type="fixed"/>
        <w:tblCellMar>
          <w:top w:w="28" w:type="dxa"/>
          <w:start w:w="28" w:type="dxa"/>
          <w:bottom w:w="28" w:type="dxa"/>
          <w:end w:w="28" w:type="dxa"/>
        </w:tblCellMar>
      </w:tblPr>
      <w:tblGrid>
        <w:gridCol w:w="1858"/>
        <w:gridCol w:w="1110"/>
        <w:gridCol w:w="2606"/>
        <w:gridCol w:w="1728"/>
        <w:gridCol w:w="2131"/>
        <w:gridCol w:w="1974"/>
        <w:gridCol w:w="2149"/>
      </w:tblGrid>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Code/Regulation</w:t>
            </w:r>
          </w:p>
        </w:tc>
        <w:tc>
          <w:tcPr>
            <w:tcW w:w="1110"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Regulator</w:t>
            </w:r>
          </w:p>
        </w:tc>
        <w:tc>
          <w:tcPr>
            <w:tcW w:w="2606"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Board Composition</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CEO Tenure</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Remuneration Policy</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Board Committee Composition</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Enforcement Approach</w:t>
            </w:r>
          </w:p>
        </w:tc>
      </w:tr>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CAMA 2020</w:t>
            </w:r>
          </w:p>
        </w:tc>
        <w:tc>
          <w:tcPr>
            <w:tcW w:w="1110"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CAC</w:t>
            </w:r>
          </w:p>
        </w:tc>
        <w:tc>
          <w:tcPr>
            <w:tcW w:w="2606"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w:t>
            </w:r>
            <w:r>
              <w:rPr>
                <w:sz w:val="22"/>
                <w:szCs w:val="22"/>
              </w:rPr>
              <w:t>2 directors; public companies need ≥1/3 INEDs (Sect. 275).</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Not specified.</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Set by shareholders at AGM (Sect. 267); disclosed in reports (Sect. 238).</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Audit committee mandatory (dir. + shareholders) (Sect. 404).</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Legal enforcement; fines (e.g., Sect. 417); court interventions (Sect. 344).</w:t>
            </w:r>
          </w:p>
        </w:tc>
      </w:tr>
      <w:tr>
        <w:trPr>
          <w:trHeight w:val="1317" w:hRule="atLeast"/>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NCCG 2018</w:t>
            </w:r>
          </w:p>
        </w:tc>
        <w:tc>
          <w:tcPr>
            <w:tcW w:w="1110"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FRCN</w:t>
            </w:r>
          </w:p>
        </w:tc>
        <w:tc>
          <w:tcPr>
            <w:tcW w:w="2606"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Majority NEDs, most INEDs; diversity emphasized (Princ. 2-3).</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Board discretion; INEDs max 3 terms (3 yrs each) (Princ. 7).</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Long-term aligned; disclosed; Rem. committee (NED-chaired) (Princ. 17, 9).</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Audit, Risk, Nom., Rem.; NED-chaired (Princ. 8).</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w:t>
            </w:r>
            <w:r>
              <w:rPr>
                <w:sz w:val="22"/>
                <w:szCs w:val="22"/>
              </w:rPr>
              <w:t>Apply and Explain”; FRCN monitors; CBN enforces for banks (Princ. 28).</w:t>
            </w:r>
          </w:p>
        </w:tc>
      </w:tr>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CBN CG Guidelines 2023</w:t>
            </w:r>
          </w:p>
        </w:tc>
        <w:tc>
          <w:tcPr>
            <w:tcW w:w="1110"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CBN</w:t>
            </w:r>
          </w:p>
        </w:tc>
        <w:tc>
          <w:tcPr>
            <w:tcW w:w="2606"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7-15 directors (CMNIBs), 7-13 (PSBs); NEDs &gt; EDs; ≥3 INEDs (intl./natl.); 2 fintech/ICT NEDs; ≤2 family members (Sect. 4).</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MD/CEO max 12 yrs, 24-yr cap total; 2-yr cooling-off (Sect. 8.1, 7.1).</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Perf.-linked for EDs; NEDs fees only; disclosed (Sect. 11).</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Audit, Risk, Nom., Rem., Credit, ICT INED-chaired (Audit, Nom.) (Sect. 7).</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Mandatory; fines, board dissolution (e.g., 2024 cases); risk-based supervision (BOFIA 2020).</w:t>
            </w:r>
          </w:p>
        </w:tc>
      </w:tr>
      <w:tr>
        <w:trPr>
          <w:trHeight w:val="1305" w:hRule="atLeast"/>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SEC Code 2011</w:t>
            </w:r>
          </w:p>
        </w:tc>
        <w:tc>
          <w:tcPr>
            <w:tcW w:w="1110"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SEC</w:t>
            </w:r>
          </w:p>
        </w:tc>
        <w:tc>
          <w:tcPr>
            <w:tcW w:w="2606"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w:t>
            </w:r>
            <w:r>
              <w:rPr>
                <w:sz w:val="22"/>
                <w:szCs w:val="22"/>
              </w:rPr>
              <w:t>1 INED; ≤2 family members; separate Chairman/CEO (Sect. 5).</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Not specified; succession planning encouraged (Sect. 7).</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Shareholder approval; Rem. committee (NEDs) (Sect. 14).</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Audit (per CAMA), Nom., Rem.; NED-chaired (Sect. 9).</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rPr>
                <w:sz w:val="22"/>
                <w:szCs w:val="22"/>
              </w:rPr>
            </w:pPr>
            <w:r>
              <w:rPr>
                <w:sz w:val="22"/>
                <w:szCs w:val="22"/>
              </w:rPr>
              <w:t>Fines, delisting; SEC monitors; overlaps with CBN.</w:t>
            </w:r>
          </w:p>
        </w:tc>
      </w:tr>
    </w:tbl>
    <w:p>
      <w:pPr>
        <w:pStyle w:val="Caption"/>
        <w:rPr>
          <w:rFonts w:ascii="Arial" w:hAnsi="Arial" w:cs="Arial"/>
        </w:rPr>
      </w:pPr>
      <w:bookmarkStart w:id="19" w:name="_Toc203668383"/>
      <w:r/>
      <w:r>
        <w:rPr/>
        <w:t xml:space="preserve">Table </w:t>
      </w:r>
      <w:r>
        <w:rPr/>
        <w:fldChar w:fldCharType="begin"/>
      </w:r>
      <w:r>
        <w:rPr/>
        <w:instrText xml:space="preserve"> SEQ Table \* ARABIC </w:instrText>
      </w:r>
      <w:r>
        <w:rPr/>
        <w:fldChar w:fldCharType="separate"/>
      </w:r>
      <w:r>
        <w:rPr/>
        <w:t>1</w:t>
      </w:r>
      <w:r>
        <w:rPr/>
        <w:fldChar w:fldCharType="end"/>
      </w:r>
      <w:r>
        <w:rPr/>
        <w:t>: Corporate Governance Codes for Money Deposit Banks in Nigeria (2025)</w:t>
      </w:r>
      <w:bookmarkEnd w:id="19"/>
    </w:p>
    <w:p>
      <w:pPr>
        <w:pStyle w:val="Normal"/>
        <w:rPr>
          <w:rFonts w:ascii="Arial" w:hAnsi="Arial" w:cs="Arial"/>
        </w:rPr>
      </w:pPr>
      <w:r>
        <w:rPr>
          <w:rFonts w:cs="Arial" w:ascii="Arial" w:hAnsi="Arial"/>
        </w:rPr>
      </w:r>
    </w:p>
    <w:p>
      <w:pPr>
        <w:sectPr>
          <w:footerReference w:type="default" r:id="rId8"/>
          <w:footerReference w:type="first" r:id="rId9"/>
          <w:type w:val="nextPage"/>
          <w:pgSz w:orient="landscape" w:w="15840" w:h="12240"/>
          <w:pgMar w:left="1134" w:right="1134" w:gutter="0" w:header="0" w:top="1134" w:footer="0" w:bottom="1134"/>
          <w:pgNumType w:fmt="decimal"/>
          <w:formProt w:val="false"/>
          <w:textDirection w:val="lrTb"/>
          <w:docGrid w:type="default" w:linePitch="326" w:charSpace="0"/>
        </w:sectPr>
        <w:pStyle w:val="Normal"/>
        <w:rPr>
          <w:rFonts w:ascii="Arial" w:hAnsi="Arial" w:cs="Arial"/>
        </w:rPr>
      </w:pPr>
      <w:r>
        <w:rPr>
          <w:rFonts w:cs="Arial" w:ascii="Arial" w:hAnsi="Arial"/>
        </w:rPr>
        <w:t>Note: This table summarizes governance mechanisms across four codes (CAMA 2020, NCCG 2018, CBN CG Guidelines 2023, SEC Code 2011), highlighting conflicts in CEO tenure and enforcement approaches. Adapted from Central Bank of Nigeria (2023), Financial Reporting Council of Nigeria (2018), Companies and Allied Matters Act (2020), and Securities and Exchange Commission (2011)</w:t>
      </w:r>
    </w:p>
    <w:p>
      <w:pPr>
        <w:pStyle w:val="Heading3"/>
        <w:rPr/>
      </w:pPr>
      <w:bookmarkStart w:id="20" w:name="_Toc199856777"/>
      <w:bookmarkStart w:id="21" w:name="_Toc201692431"/>
      <w:bookmarkStart w:id="22" w:name="_Toc202193592"/>
      <w:bookmarkStart w:id="23" w:name="_Toc203392019"/>
      <w:bookmarkStart w:id="24" w:name="_Toc203392083"/>
      <w:bookmarkStart w:id="25" w:name="_Toc203584751"/>
      <w:bookmarkStart w:id="26" w:name="_Toc203671405"/>
      <w:bookmarkStart w:id="27" w:name="_Toc203671455"/>
      <w:bookmarkStart w:id="28" w:name="_Toc205059254"/>
      <w:bookmarkStart w:id="29" w:name="_Toc205059471"/>
      <w:bookmarkStart w:id="30" w:name="_Toc205059565"/>
      <w:bookmarkStart w:id="31" w:name="_Toc205059626"/>
      <w:bookmarkStart w:id="32" w:name="_Toc199862091"/>
      <w:r>
        <w:rPr/>
        <w:t>1.1.4: Bank governance challenges in Nigeria</w:t>
      </w:r>
      <w:bookmarkEnd w:id="20"/>
      <w:bookmarkEnd w:id="21"/>
      <w:bookmarkEnd w:id="22"/>
      <w:bookmarkEnd w:id="23"/>
      <w:bookmarkEnd w:id="24"/>
      <w:bookmarkEnd w:id="25"/>
      <w:bookmarkEnd w:id="26"/>
      <w:bookmarkEnd w:id="27"/>
      <w:bookmarkEnd w:id="28"/>
      <w:bookmarkEnd w:id="29"/>
      <w:bookmarkEnd w:id="30"/>
      <w:bookmarkEnd w:id="31"/>
      <w:bookmarkEnd w:id="32"/>
      <w:r>
        <w:rPr/>
        <w:t xml:space="preserve"> </w:t>
      </w:r>
    </w:p>
    <w:p>
      <w:pPr>
        <w:pStyle w:val="BodyText"/>
        <w:rPr>
          <w:rFonts w:ascii="Arial" w:hAnsi="Arial" w:cs="Arial"/>
        </w:rPr>
      </w:pPr>
      <w:r>
        <w:rPr>
          <w:rStyle w:val="Strong"/>
          <w:rFonts w:cs="Arial" w:ascii="Arial" w:hAnsi="Arial"/>
        </w:rPr>
        <w:t>1.1.4: Bank Governance Challenges in Nigeria</w:t>
      </w:r>
    </w:p>
    <w:p>
      <w:pPr>
        <w:pStyle w:val="BodyText"/>
        <w:spacing w:lineRule="auto" w:line="480"/>
        <w:ind w:hanging="0" w:start="0" w:end="0"/>
        <w:rPr>
          <w:rFonts w:ascii="Arial" w:hAnsi="Arial" w:cs="Arial"/>
        </w:rPr>
      </w:pPr>
      <w:r>
        <w:rPr>
          <w:rFonts w:cs="Arial" w:ascii="Arial" w:hAnsi="Arial"/>
        </w:rPr>
        <w:t xml:space="preserve">The historical evolution of corporate governance in Nigeria, particularly within the </w:t>
      </w:r>
      <w:r>
        <w:rPr>
          <w:rStyle w:val="Strong"/>
          <w:rFonts w:cs="Arial" w:ascii="Arial" w:hAnsi="Arial"/>
        </w:rPr>
        <w:t>deposit money banking</w:t>
      </w:r>
      <w:r>
        <w:rPr>
          <w:rFonts w:cs="Arial" w:ascii="Arial" w:hAnsi="Arial"/>
        </w:rPr>
        <w:t xml:space="preserve"> sector, is deeply intertwined with its pre-colonial and colonial legacies, highlighting a complex legal and institutional heritage that continues to shape its current challenges (Brennan, N. M., &amp; Solomon, J., 2008). Pre-colonial Nigeria consisted of distinct regional governance systems, such as those of the Hausa-Fulani, Yoruba, and Igbo, which operated through customary laws, monarchies, and communal structures. These frameworks, though informal by Western standards, were legitimate and effective systems for regulating trade, resolving disputes, and allocating resources (Altin, M., 2024; Elias, T. O., 2024). Businesses during this era were often family-owned or organized through community-based guilds, lacking the formal corporate governance structures seen today.</w:t>
      </w:r>
    </w:p>
    <w:p>
      <w:pPr>
        <w:pStyle w:val="BodyText"/>
        <w:spacing w:lineRule="auto" w:line="480"/>
        <w:ind w:hanging="0" w:start="0" w:end="0"/>
        <w:rPr>
          <w:rFonts w:ascii="Arial" w:hAnsi="Arial" w:cs="Arial"/>
        </w:rPr>
      </w:pPr>
      <w:r>
        <w:rPr>
          <w:rFonts w:cs="Arial" w:ascii="Arial" w:hAnsi="Arial"/>
        </w:rPr>
        <w:t>The colonial period (1861–1960) marked significant changes to Nigeria’s governance systems. British colonial administrators imposed foreign legal frameworks, such as the Companies Ordinance of 1912, modeled on the UK Companies Act (Agamah, M., 2024). These provisions were tailored to serve colonial enterprises like the Royal Niger Company and were exploitative in intent, prioritizing the colonial government’s agenda over the developmental needs of local businesses (Elias, T. O., 2024). They introduced Western corporate concepts, including limited liability and boards, but failed to integrate the socio-economic realities of Nigeria, disregarding indigenous governance systems and embedding a rigid legal template that persisted post-independence (Adegbite et al., 2012).</w:t>
      </w:r>
    </w:p>
    <w:p>
      <w:pPr>
        <w:pStyle w:val="BodyText"/>
        <w:spacing w:lineRule="auto" w:line="480"/>
        <w:ind w:hanging="0" w:start="0" w:end="0"/>
        <w:rPr>
          <w:rFonts w:ascii="Arial" w:hAnsi="Arial" w:cs="Arial"/>
        </w:rPr>
      </w:pPr>
      <w:r>
        <w:rPr>
          <w:rFonts w:cs="Arial" w:ascii="Arial" w:hAnsi="Arial"/>
        </w:rPr>
        <w:t>Following independence in 1960, Nigeria inherited this colonial legal infrastructure, which presented significant challenges in developing a governance system aligned with its economic and institutional realities (Elias, T. O., 2024). Instead of replacing colonial laws entirely, policymakers amended and expanded the existing framework, as seen in the Companies Act of 1968 (later replaced by the Companies and Allied Matters Act, 2020, or CAMA). These adaptations aimed to modernize the governance structure to support a growing economy and attract foreign investment. However, gaps in institutional capacity and the necessity for legal continuity limited progress, impeding the creation of a cohesive governance model suited to the Nigerian context (Udo, 2020). As Nigeria’s economy grew, particularly in sectors like oil, telecommunications, and banking, regulatory bodies such as the Central Bank of Nigeria (CBN), the Securities and Exchange Commission (SEC), and the Nigerian Communications Commission (NCC) emerged. These institutions sought to address sector-specific issues by introducing additional governance codes. However, rather than replacing the colonial legal foundation, newer frameworks were layered on top, resulting in conflicting and overlapping regulations. For example, Section 279 of CAMA outlines general director duties, which can conflict with the more detailed governance requirements of the CBN Code, creating ambiguity for banks operating under these intersecting guidelines (Osemeke &amp; Adegbite, 2016).</w:t>
      </w:r>
    </w:p>
    <w:p>
      <w:pPr>
        <w:pStyle w:val="BodyText"/>
        <w:spacing w:lineRule="auto" w:line="480"/>
        <w:ind w:hanging="0" w:start="0" w:end="0"/>
        <w:rPr>
          <w:rFonts w:ascii="Arial" w:hAnsi="Arial" w:cs="Arial"/>
        </w:rPr>
      </w:pPr>
      <w:r>
        <w:rPr>
          <w:rFonts w:cs="Arial" w:ascii="Arial" w:hAnsi="Arial"/>
        </w:rPr>
        <w:t xml:space="preserve">This history of regulatory multiplicity contributes to ongoing governance challenges in the Nigerian </w:t>
      </w:r>
      <w:r>
        <w:rPr>
          <w:rStyle w:val="Strong"/>
          <w:rFonts w:cs="Arial" w:ascii="Arial" w:hAnsi="Arial"/>
        </w:rPr>
        <w:t>deposit money banking</w:t>
      </w:r>
      <w:r>
        <w:rPr>
          <w:rFonts w:cs="Arial" w:ascii="Arial" w:hAnsi="Arial"/>
        </w:rPr>
        <w:t xml:space="preserve"> system (Babajide, Abiola Ayopo, et al., 2020). Cases of fraud and mismanagement have highlighted the inadequacies of current governance structures. Despite regulatory instruments such as the CBN Act, the Banks and Other Financial Institutions Act (BOFIA), and the Nigeria Deposit Insurance Corporation (NDIC) Act, enforcement remains weak (Nwoke, U., et al., 2023). The CBN Act of 2007 grants the Central Bank autonomy to oversee financial institutions, while BOFIA ensures regulatory powers over banking operations (Obadire, A. M., et al., 2022). However, enforcement of these laws is undermined by institutional weaknesses, such as outdated sanctions and resource constraints, as noted in the ROSC (2004) report (Azoro et al., 2022). The conflicts between regulatory frameworks exacerbate governance challenges for Nigerian </w:t>
      </w:r>
      <w:r>
        <w:rPr>
          <w:rStyle w:val="Strong"/>
          <w:rFonts w:cs="Arial" w:ascii="Arial" w:hAnsi="Arial"/>
        </w:rPr>
        <w:t>deposit money banks</w:t>
      </w:r>
      <w:r>
        <w:rPr>
          <w:rFonts w:cs="Arial" w:ascii="Arial" w:hAnsi="Arial"/>
        </w:rPr>
        <w:t>. For example, while the CBN Code explicitly prohibits family members from simultaneously occupying key board positions such as Chairman and CEO, the SEC Code (2011) does not impose similar limitations, creating regulatory inconsistencies. This misalignment fosters opportunities for regulatory arbitrage, enabling banks to selectively comply with mandatory codes like the CBN’s while neglecting voluntary recommendations from the SEC. Consequently, such contradictions weaken the impact of governance reforms and undermine institutional accountability within the banking sector (Osemeke &amp; Adegbite, 2016).</w:t>
      </w:r>
    </w:p>
    <w:p>
      <w:pPr>
        <w:pStyle w:val="BodyText"/>
        <w:spacing w:lineRule="auto" w:line="480"/>
        <w:ind w:hanging="0" w:start="0" w:end="0"/>
        <w:rPr>
          <w:rFonts w:ascii="Arial" w:hAnsi="Arial" w:cs="Arial"/>
        </w:rPr>
      </w:pPr>
      <w:r>
        <w:rPr>
          <w:rFonts w:cs="Arial" w:ascii="Arial" w:hAnsi="Arial"/>
        </w:rPr>
        <w:t xml:space="preserve">The relationship between board structure and organizational performance in the Nigerian </w:t>
      </w:r>
      <w:r>
        <w:rPr>
          <w:rStyle w:val="Strong"/>
          <w:rFonts w:cs="Arial" w:ascii="Arial" w:hAnsi="Arial"/>
        </w:rPr>
        <w:t>deposit money banking</w:t>
      </w:r>
      <w:r>
        <w:rPr>
          <w:rFonts w:cs="Arial" w:ascii="Arial" w:hAnsi="Arial"/>
        </w:rPr>
        <w:t xml:space="preserve"> industry further complicates reform efforts. Globally, empirical studies have yielded mixed findings on whether board size and complexity correlate with organizational performance. While some studies indicate no significant relationship (Romano et al., 2012; Al Hawary, 2011), others suggest varying outcomes based on institutional and cultural contexts (Adams &amp; Mehran, 2003; Trabelsi, 2010). In Nigeria, governance obstacles such as concentrated ownership and unqualified board members further undermine the potential for effective oversight, even when formal governance frameworks are in place.</w:t>
      </w:r>
    </w:p>
    <w:p>
      <w:pPr>
        <w:pStyle w:val="BodyText"/>
        <w:spacing w:lineRule="auto" w:line="480"/>
        <w:ind w:hanging="0" w:start="0" w:end="0"/>
        <w:rPr>
          <w:rFonts w:ascii="Arial" w:hAnsi="Arial" w:cs="Arial"/>
        </w:rPr>
      </w:pPr>
      <w:r>
        <w:rPr>
          <w:rFonts w:cs="Arial" w:ascii="Arial" w:hAnsi="Arial"/>
        </w:rPr>
        <w:t>Enforcement gaps across regulatory institutions amplify these challenges. Reports such as the ROSC (2004) indicate that the CBN lacks sufficient capacity to ensure compliance with financial reporting standards, while the SEC struggles with effective oversight within the capital markets. These structural deficiencies have allowed instances of governance failure, such as mismanagement and financial impropriety, to persist in the banking sector, eroding trust and stability (Nwoke, U., 2023).</w:t>
      </w:r>
    </w:p>
    <w:p>
      <w:pPr>
        <w:pStyle w:val="BodyText"/>
        <w:spacing w:lineRule="auto" w:line="480"/>
        <w:ind w:hanging="0" w:start="0" w:end="0"/>
        <w:rPr>
          <w:rFonts w:ascii="Arial" w:hAnsi="Arial" w:cs="Arial"/>
        </w:rPr>
      </w:pPr>
      <w:r>
        <w:rPr>
          <w:rFonts w:cs="Arial" w:ascii="Arial" w:hAnsi="Arial"/>
        </w:rPr>
        <w:t xml:space="preserve">To address these critical issues, it is imperative to unify and harmonize Nigeria’s regulatory frameworks while bolstering enforcement capabilities. Streamlining governance codes would reduce ambiguities and foster coherence in regulatory oversight (Osemeke &amp; Adegbite, 2016). Furthermore, research into the connection between board composition and performance in Nigerian </w:t>
      </w:r>
      <w:r>
        <w:rPr>
          <w:rStyle w:val="Strong"/>
          <w:rFonts w:cs="Arial" w:ascii="Arial" w:hAnsi="Arial"/>
        </w:rPr>
        <w:t>deposit money banks</w:t>
      </w:r>
      <w:r>
        <w:rPr>
          <w:rFonts w:cs="Arial" w:ascii="Arial" w:hAnsi="Arial"/>
        </w:rPr>
        <w:t xml:space="preserve"> could offer evidence-based insights into effective governance practices. Strengthening institutional capacity and aligning governance practices with the local context are essential to improving </w:t>
      </w:r>
      <w:r>
        <w:rPr>
          <w:rStyle w:val="Strong"/>
          <w:rFonts w:cs="Arial" w:ascii="Arial" w:hAnsi="Arial"/>
        </w:rPr>
        <w:t>transparency, accountability, and overall governance outcomes</w:t>
      </w:r>
      <w:r>
        <w:rPr>
          <w:rFonts w:cs="Arial" w:ascii="Arial" w:hAnsi="Arial"/>
        </w:rPr>
        <w:t xml:space="preserve"> in the financial sector. Corporate governance challenges in Nigeria’s </w:t>
      </w:r>
      <w:r>
        <w:rPr>
          <w:rStyle w:val="Strong"/>
          <w:rFonts w:cs="Arial" w:ascii="Arial" w:hAnsi="Arial"/>
        </w:rPr>
        <w:t>deposit money banking</w:t>
      </w:r>
      <w:r>
        <w:rPr>
          <w:rFonts w:cs="Arial" w:ascii="Arial" w:hAnsi="Arial"/>
        </w:rPr>
        <w:t xml:space="preserve"> industry are deeply rooted in the historical legacy of colonial legal systems, compounded by regulatory overlaps and institutional inefficiencies. While reforms have been introduced to improve governance structures, the persistence of conflicting regulations and weak enforcement undermines their effectiveness. A consistent and localized approach to governance, coupled with stronger regulatory enforcement, is vital to ensuring the long-term sustainability and resilience of Nigerian </w:t>
      </w:r>
      <w:r>
        <w:rPr>
          <w:rStyle w:val="Strong"/>
          <w:rFonts w:cs="Arial" w:ascii="Arial" w:hAnsi="Arial"/>
        </w:rPr>
        <w:t>deposit money banks</w:t>
      </w:r>
      <w:r>
        <w:rPr>
          <w:rFonts w:cs="Arial" w:ascii="Arial" w:hAnsi="Arial"/>
        </w:rPr>
        <w:t xml:space="preserve">. </w:t>
      </w:r>
      <w:r>
        <w:rPr>
          <w:rStyle w:val="Strong"/>
          <w:rFonts w:cs="Arial" w:ascii="Arial" w:hAnsi="Arial"/>
        </w:rPr>
        <w:t>This research particularly examines how governance mechanisms, such as audit committee independence and management qualifications, interact with regulatory clarity to influence non-performing loan (NPL) ratios, providing insights into mitigating default risk in the context of Nigeria’s fragmented regulatory environment.</w:t>
      </w:r>
    </w:p>
    <w:p>
      <w:pPr>
        <w:pStyle w:val="BodyText"/>
        <w:spacing w:lineRule="auto" w:line="480"/>
        <w:ind w:hanging="0" w:start="0" w:end="0"/>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2"/>
        <w:spacing w:before="0" w:after="0"/>
        <w:rPr/>
      </w:pPr>
      <w:bookmarkStart w:id="33" w:name="_Toc203392020"/>
      <w:bookmarkStart w:id="34" w:name="_Toc203392084"/>
      <w:bookmarkStart w:id="35" w:name="_Toc203584752"/>
      <w:bookmarkStart w:id="36" w:name="_Toc203671406"/>
      <w:bookmarkStart w:id="37" w:name="_Toc203671456"/>
      <w:bookmarkStart w:id="38" w:name="_Toc205059255"/>
      <w:bookmarkStart w:id="39" w:name="_Toc205059472"/>
      <w:bookmarkStart w:id="40" w:name="_Toc205059566"/>
      <w:bookmarkStart w:id="41" w:name="_Toc205059627"/>
      <w:bookmarkStart w:id="42" w:name="_Toc202193593"/>
      <w:r>
        <w:rPr/>
        <w:t>1.2: Problem Question</w:t>
      </w:r>
      <w:bookmarkEnd w:id="33"/>
      <w:bookmarkEnd w:id="34"/>
      <w:bookmarkEnd w:id="35"/>
      <w:bookmarkEnd w:id="36"/>
      <w:bookmarkEnd w:id="37"/>
      <w:bookmarkEnd w:id="38"/>
      <w:bookmarkEnd w:id="39"/>
      <w:bookmarkEnd w:id="40"/>
      <w:bookmarkEnd w:id="41"/>
      <w:bookmarkEnd w:id="42"/>
      <w:r>
        <w:rPr/>
        <w:t xml:space="preserve"> </w:t>
      </w:r>
    </w:p>
    <w:p>
      <w:pPr>
        <w:pStyle w:val="BodyText"/>
        <w:rPr>
          <w:rFonts w:ascii="Arial" w:hAnsi="Arial" w:cs="Arial"/>
        </w:rPr>
      </w:pPr>
      <w:r>
        <w:rPr>
          <w:rFonts w:cs="Arial" w:ascii="Arial" w:hAnsi="Arial"/>
        </w:rPr>
        <w:t xml:space="preserve">The Nigerian </w:t>
      </w:r>
      <w:r>
        <w:rPr>
          <w:rStyle w:val="Strong"/>
          <w:rFonts w:cs="Arial" w:ascii="Arial" w:hAnsi="Arial"/>
        </w:rPr>
        <w:t>deposit money banking</w:t>
      </w:r>
      <w:r>
        <w:rPr>
          <w:rFonts w:cs="Arial" w:ascii="Arial" w:hAnsi="Arial"/>
        </w:rPr>
        <w:t xml:space="preserve"> sector faces profound corporate governance challenges, rooted in a complex historical legacy and intensified by systemic governance failures in the post-consolidation era, which collectively elevate the risk of bank defaults and threaten the stability of a sector vital to Nigeria’s economic growth. Historically, pre-colonial Nigeria relied on indigenous systems—such as those of the Hausa-Fulani, Yoruba, and Igbo—where customary laws, monarchies, and communal structures governed trade and economic activity within family-based guilds (Elias, T. O., 2024; Altin, M., 2024). The colonial era (1861–1960) disrupted this, with British administrators imposing foreign legal frameworks like the Companies Ordinance of 1912, modeled on the UK Companies Act, to serve colonial interests, neglecting local realities (Agamah, M., 2024; Adegbite et al., 2012). Post-independence in 1960, Nigeria inherited this misaligned system, and policymakers layered adaptations—such as the Companies Act of 1968 and the Companies and Allied Matters Act (CAMA) 2020—struggling against limited institutional capacity to align governance with Nigeria’s unique context (Udo, 2020). The government’s pre-1986 role as owner and regulator of banks bred conflicts of interest, a legacy persisting despite the Structural Adjustment Programme (SAP) of 1986–1993, which divested state shares, leaving fiscal irresponsibility and politically motivated board appointments (Chinweoda, U. O., et al., 2020; Ugochukwu, 2000). The 2004 banking consolidation, reducing banks from 89 to 24 to strengthen the sector, aimed to address these historical weaknesses but instead exposed and amplified pervasive governance failures that continue to undermine the industry (Kafidipe, 2021).</w:t>
      </w:r>
    </w:p>
    <w:p>
      <w:pPr>
        <w:pStyle w:val="BodyText"/>
        <w:spacing w:lineRule="auto" w:line="480"/>
        <w:ind w:hanging="0" w:start="0" w:end="0"/>
        <w:rPr>
          <w:rFonts w:ascii="Arial" w:hAnsi="Arial" w:cs="Arial"/>
        </w:rPr>
      </w:pPr>
      <w:r>
        <w:rPr>
          <w:rFonts w:cs="Arial" w:ascii="Arial" w:hAnsi="Arial"/>
        </w:rPr>
        <w:t xml:space="preserve">In the post-consolidation era, corporate governance breakdowns proliferate, undermining accountability and transparency across multiple dimensions. Boards of directors lack independence, with former CBN Governor Sanusi Lamido Sanusi noting chairmen and CEOs exert overbearing influence, directors display weak ethical standards, and board committees remain inefficient or dormant (Sanusi, 2014). Audit committees, critical for transparent reporting, are often swayed by majority shareholders and management despite CAMA Section 359(4)’s mandate for equal representation, leading to unreviewed financial statements (Adegbite, 2014). Risk management failures are rampant, with banks extending credit without proper checks, resulting in non-performing loans (NPLs) reaching </w:t>
      </w:r>
      <w:r>
        <w:rPr>
          <w:rStyle w:val="Strong"/>
          <w:rFonts w:cs="Arial" w:ascii="Arial" w:hAnsi="Arial"/>
        </w:rPr>
        <w:t>twenty percent</w:t>
      </w:r>
      <w:r>
        <w:rPr>
          <w:rFonts w:cs="Arial" w:ascii="Arial" w:hAnsi="Arial"/>
        </w:rPr>
        <w:t xml:space="preserve"> in 2017 against a </w:t>
      </w:r>
      <w:r>
        <w:rPr>
          <w:rStyle w:val="Strong"/>
          <w:rFonts w:cs="Arial" w:ascii="Arial" w:hAnsi="Arial"/>
        </w:rPr>
        <w:t>five percent</w:t>
      </w:r>
      <w:r>
        <w:rPr>
          <w:rFonts w:cs="Arial" w:ascii="Arial" w:hAnsi="Arial"/>
        </w:rPr>
        <w:t xml:space="preserve"> regulatory threshold, fueling distress in banks like Intercontinental Bank, </w:t>
      </w:r>
      <w:r>
        <w:rPr>
          <w:rStyle w:val="Strong"/>
          <w:rFonts w:cs="Arial" w:ascii="Arial" w:hAnsi="Arial"/>
        </w:rPr>
        <w:t>Finbank</w:t>
      </w:r>
      <w:r>
        <w:rPr>
          <w:rFonts w:cs="Arial" w:ascii="Arial" w:hAnsi="Arial"/>
        </w:rPr>
        <w:t xml:space="preserve">, and Bank PHB (Adegboye, 2020; Adeusi et al., 2013; Owolabi, 2013). Fraud concealment erodes trust, as the absence of robust whistleblowing mechanisms allows conflicts of interest and financial impropriety to go undetected, a key factor in the 2009 banking crisis (Olojede, P., et al., 2020). Nomination committee issues further weaken governance, with </w:t>
      </w:r>
      <w:r>
        <w:rPr>
          <w:rStyle w:val="Strong"/>
          <w:rFonts w:cs="Arial" w:ascii="Arial" w:hAnsi="Arial"/>
        </w:rPr>
        <w:t>sixty-one percent</w:t>
      </w:r>
      <w:r>
        <w:rPr>
          <w:rFonts w:cs="Arial" w:ascii="Arial" w:hAnsi="Arial"/>
        </w:rPr>
        <w:t xml:space="preserve"> of banks lacking independent nomination committees, enabling concentrated ownership to dominate appointments and entrench management’s self-interest over stakeholders (Ogbechie, 2016; Osemeke, L. &amp; Adegbite, 2016).</w:t>
      </w:r>
    </w:p>
    <w:p>
      <w:pPr>
        <w:pStyle w:val="BodyText"/>
        <w:spacing w:lineRule="auto" w:line="480"/>
        <w:ind w:hanging="0" w:start="0" w:end="0"/>
        <w:rPr>
          <w:rFonts w:ascii="Arial" w:hAnsi="Arial" w:cs="Arial"/>
        </w:rPr>
      </w:pPr>
      <w:r>
        <w:rPr>
          <w:rFonts w:cs="Arial" w:ascii="Arial" w:hAnsi="Arial"/>
        </w:rPr>
        <w:t xml:space="preserve">Management qualifications represent a critical governance failure, deeply undermining the sector’s integrity and stability. The prevalence of unqualified or politically motivated appointments to executive and board roles, a legacy of historical government interference, persists in the post-consolidation era, weakening strategic oversight, ethical compliance, and operational competence (Nwoko, U., et al., 2022). In cases like Oceanic Bank, poor management qualifications contributed to catastrophic governance lapses, where over </w:t>
      </w:r>
      <w:r>
        <w:rPr>
          <w:rStyle w:val="Strong"/>
          <w:rFonts w:cs="Arial" w:ascii="Arial" w:hAnsi="Arial"/>
        </w:rPr>
        <w:t>seventy-five percent</w:t>
      </w:r>
      <w:r>
        <w:rPr>
          <w:rFonts w:cs="Arial" w:ascii="Arial" w:hAnsi="Arial"/>
        </w:rPr>
        <w:t xml:space="preserve"> of NPLs in 2009 were tied to insider loans and unauthorized credits to companies controlled by the Ibru family, facilitated by leadership lacking the expertise or independence to challenge such practices (Sanusi, 2009). Politically influenced appointments, often prioritizing connections over merit, result in executives and directors ill-equipped to navigate complex financial systems, implement robust risk controls, or uphold accounting standards, exacerbating financial misreporting and agency problems (Nwoko, U., et al., 2022; Osemeke, L. &amp; Adegbite, 2016). The absence of stringent qualification criteria—such as financial expertise, governance training, or proven leadership experience—allows unqualified managers to occupy critical roles, undermining decision-making and strategic planning, as seen in the collapses of Intercontinental Bank, </w:t>
      </w:r>
      <w:r>
        <w:rPr>
          <w:rStyle w:val="Strong"/>
          <w:rFonts w:cs="Arial" w:ascii="Arial" w:hAnsi="Arial"/>
        </w:rPr>
        <w:t>Finbank</w:t>
      </w:r>
      <w:r>
        <w:rPr>
          <w:rFonts w:cs="Arial" w:ascii="Arial" w:hAnsi="Arial"/>
        </w:rPr>
        <w:t>, and Bank PHB, where mismanagement by underqualified leadership fueled financial distress (Owolabi, 2013). This lack of competent, independent management, unchecked by weak or absent nomination processes, perpetuates a culture of unethical behavior, poor risk assessment, and inadequate oversight, directly contributing to the sector’s vulnerability to defaults (Sanusi, 2014; Nwoko, U., et al., 2022).</w:t>
      </w:r>
    </w:p>
    <w:p>
      <w:pPr>
        <w:pStyle w:val="BodyText"/>
        <w:spacing w:lineRule="auto" w:line="480"/>
        <w:ind w:hanging="0" w:start="0" w:end="0"/>
        <w:rPr>
          <w:rFonts w:ascii="Arial" w:hAnsi="Arial" w:cs="Arial"/>
        </w:rPr>
      </w:pPr>
      <w:r>
        <w:rPr>
          <w:rFonts w:cs="Arial" w:ascii="Arial" w:hAnsi="Arial"/>
        </w:rPr>
        <w:t xml:space="preserve">Regulatory multiplicity, a byproduct of Nigeria’s fragmented historical framework, intensifies these governance failures. Conflicting codes—such as CAMA 2020, the Nigerian Code of Corporate Governance (NCCG) 2018, CBN Corporate Governance Guidelines 2023, and the SEC Code of 2011—create ambiguity, with disparities in board composition, CEO tenure, and enforcement (e.g., CAMA’s legal fines vs. NCCG’s “Apply and Explain” flexibility) allowing banks to evade rigorous standards (Abdulmalik, S. O., 2020; Osemeke, L., et al., 2016). Weak enforcement by regulators like the Corporate Affairs Commission, Financial Reporting Council of Nigeria, and CBN, constrained by institutional weaknesses, fails to address risk management lapses, fraud, and unqualified management, a direct outcome of these governance flaws (Nwoke, U., et al., 2023; Kafidipe, 2021; Adegbite, </w:t>
      </w:r>
      <w:r>
        <w:rPr>
          <w:rStyle w:val="Strong"/>
          <w:rFonts w:cs="Arial" w:ascii="Arial" w:hAnsi="Arial"/>
        </w:rPr>
        <w:t>2014</w:t>
      </w:r>
      <w:r>
        <w:rPr>
          <w:rFonts w:cs="Arial" w:ascii="Arial" w:hAnsi="Arial"/>
        </w:rPr>
        <w:t xml:space="preserve">; Udo, B., 2020). These failures erode stakeholder confidence, trigger mass deposit withdrawals, and threaten Nigeria’s economy, where banks are engines of growth (King &amp; Levine, 1993; Siyanbola, 2019). Despite this urgency, a research gap persists, particularly in Nigeria, on how post-consolidation governance failures—risk management deficiencies, fraud concealment, nomination committee weaknesses, and unqualified management—interact with historical legacies and regulatory multiplicity to drive default risk (Osita, et al., 2019; Tsamenyi, et al., 2007). The lack of up-to-date, context-specific studies amplifies this gap. This research seeks to address this lacuna by examining the efficacy of </w:t>
      </w:r>
      <w:r>
        <w:rPr>
          <w:rStyle w:val="Strong"/>
          <w:rFonts w:cs="Arial" w:ascii="Arial" w:hAnsi="Arial"/>
        </w:rPr>
        <w:t>audit committee independence</w:t>
      </w:r>
      <w:r>
        <w:rPr>
          <w:rFonts w:cs="Arial" w:ascii="Arial" w:hAnsi="Arial"/>
        </w:rPr>
        <w:t xml:space="preserve"> and </w:t>
      </w:r>
      <w:r>
        <w:rPr>
          <w:rStyle w:val="Strong"/>
          <w:rFonts w:cs="Arial" w:ascii="Arial" w:hAnsi="Arial"/>
        </w:rPr>
        <w:t>management qualifications</w:t>
      </w:r>
      <w:r>
        <w:rPr>
          <w:rFonts w:cs="Arial" w:ascii="Arial" w:hAnsi="Arial"/>
        </w:rPr>
        <w:t xml:space="preserve"> in fostering accountability and transparency, analyzing the impact of historical and current governance failures in the post-consolidation era, and advocating for a harmonized, enforceable framework aligned with global standards to mitigate bank defaults, restore trust, and enhance the resilience of Nigeria’s </w:t>
      </w:r>
      <w:r>
        <w:rPr>
          <w:rStyle w:val="Strong"/>
          <w:rFonts w:cs="Arial" w:ascii="Arial" w:hAnsi="Arial"/>
        </w:rPr>
        <w:t>deposit money banking</w:t>
      </w:r>
      <w:r>
        <w:rPr>
          <w:rFonts w:cs="Arial" w:ascii="Arial" w:hAnsi="Arial"/>
        </w:rPr>
        <w:t xml:space="preserve"> sector. </w:t>
      </w:r>
      <w:r>
        <w:rPr>
          <w:rStyle w:val="Strong"/>
          <w:rFonts w:cs="Arial" w:ascii="Arial" w:hAnsi="Arial"/>
        </w:rPr>
        <w:t>Nigeria's deposit money banking sector has endured recurrent disruptions from credit-quality shocks, with the most acute instance unfolding in 2009/10, when average non-performing loan ratios (NPLRs) surged beyond 35%. Although macroeconomic fluctuations account for a portion of this escalation, firm-level analyses reveal that deficiencies in internal governance—manifesting as inadequate risk management, insufficient disclosure, lenient credit practices, and inconsistent regulatory compliance—exacerbated the concentration of loan losses (Sanusi, 2010; CBN, 2014). In response, post-crisis regulatory interventions, including the adoption of Basel-II, IFRS-9, and the Corporate Governance Codes of 2014 and 2018, were designed to fortify three core governance indices: disclosure, practice, and compliance.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2"/>
        <w:spacing w:before="0" w:after="0"/>
        <w:rPr/>
      </w:pPr>
      <w:bookmarkStart w:id="43" w:name="_Toc203392021"/>
      <w:bookmarkStart w:id="44" w:name="_Toc203392085"/>
      <w:bookmarkStart w:id="45" w:name="_Toc203584753"/>
      <w:bookmarkStart w:id="46" w:name="_Toc203671407"/>
      <w:bookmarkStart w:id="47" w:name="_Toc203671457"/>
      <w:bookmarkStart w:id="48" w:name="_Toc205059256"/>
      <w:bookmarkStart w:id="49" w:name="_Toc205059473"/>
      <w:bookmarkStart w:id="50" w:name="_Toc205059567"/>
      <w:bookmarkStart w:id="51" w:name="_Toc205059628"/>
      <w:bookmarkStart w:id="52" w:name="_Toc202193594"/>
      <w:r>
        <w:rPr/>
        <w:t>1.3 Research Question</w:t>
      </w:r>
      <w:bookmarkEnd w:id="43"/>
      <w:bookmarkEnd w:id="44"/>
      <w:bookmarkEnd w:id="45"/>
      <w:bookmarkEnd w:id="46"/>
      <w:bookmarkEnd w:id="47"/>
      <w:bookmarkEnd w:id="48"/>
      <w:bookmarkEnd w:id="49"/>
      <w:bookmarkEnd w:id="50"/>
      <w:bookmarkEnd w:id="51"/>
      <w:bookmarkEnd w:id="52"/>
      <w:r>
        <w:rPr/>
        <w:t xml:space="preserve"> </w:t>
      </w:r>
    </w:p>
    <w:p>
      <w:pPr>
        <w:pStyle w:val="BodyText"/>
        <w:rPr>
          <w:rFonts w:ascii="Arial" w:hAnsi="Arial" w:cs="Arial"/>
        </w:rPr>
      </w:pPr>
      <w:r>
        <w:rPr>
          <w:rStyle w:val="Strong"/>
          <w:rFonts w:cs="Arial" w:ascii="Arial" w:hAnsi="Arial"/>
        </w:rPr>
        <w:t>1.3: Research Questions</w:t>
      </w:r>
    </w:p>
    <w:p>
      <w:pPr>
        <w:pStyle w:val="BodyText"/>
        <w:spacing w:lineRule="auto" w:line="480"/>
        <w:ind w:hanging="0" w:start="0" w:end="0"/>
        <w:rPr>
          <w:rFonts w:ascii="Arial" w:hAnsi="Arial" w:cs="Arial"/>
        </w:rPr>
      </w:pPr>
      <w:r>
        <w:rPr>
          <w:rFonts w:cs="Arial" w:ascii="Arial" w:hAnsi="Arial"/>
        </w:rPr>
        <w:t xml:space="preserve">This study is guided by four research questions that systematically explore the interplay between corporate governance mechanisms and non-performing loan (NPL) ratios in Nigeria's </w:t>
      </w:r>
      <w:r>
        <w:rPr>
          <w:rStyle w:val="Strong"/>
          <w:rFonts w:cs="Arial" w:ascii="Arial" w:hAnsi="Arial"/>
        </w:rPr>
        <w:t>deposit money banking</w:t>
      </w:r>
      <w:r>
        <w:rPr>
          <w:rFonts w:cs="Arial" w:ascii="Arial" w:hAnsi="Arial"/>
        </w:rPr>
        <w:t xml:space="preserve"> sector. These questions address critical gaps in the literature, particularly the need for context-specific analyses of governance indices, audit independence, management qualifications, and regulatory clarity amid historical banking crises and ongoing reforms. RQ1 focuses exclusively on secondary panel data analysis from 2009 to 2024, utilizing publicly available financial reports and regulatory disclosures from Nigerian deposit money banks to examine longitudinal trends. In contrast, RQ2, RQ3, and RQ4 incorporate a 2024 cross-sectional study, integrating quantitative data from questionnaires with qualitative insights from semi-structured interviews to capture contemporary stakeholder perspectives and bank-specific dynamics.</w:t>
      </w:r>
    </w:p>
    <w:p>
      <w:pPr>
        <w:pStyle w:val="BodyText"/>
        <w:numPr>
          <w:ilvl w:val="0"/>
          <w:numId w:val="3"/>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RQ1</w:t>
      </w:r>
      <w:r>
        <w:rPr>
          <w:rFonts w:cs="Arial" w:ascii="Arial" w:hAnsi="Arial"/>
        </w:rPr>
        <w:t xml:space="preserve">: To what extent do corporate governance indices (disclosure, practice, and compliance) influence non-performing loan ratios in Nigerian deposit money banks over the period 2009–2024, controlling for bank size, capital adequacy, and macroeconomic factors? (Quantitative analysis) </w:t>
      </w:r>
    </w:p>
    <w:p>
      <w:pPr>
        <w:pStyle w:val="BodyText"/>
        <w:numPr>
          <w:ilvl w:val="0"/>
          <w:numId w:val="3"/>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RQ2</w:t>
      </w:r>
      <w:r>
        <w:rPr>
          <w:rFonts w:cs="Arial" w:ascii="Arial" w:hAnsi="Arial"/>
        </w:rPr>
        <w:t xml:space="preserve">: To what extent is the independence of audit committees associated with non-performing loan (NPL) ratios in Nigerian </w:t>
      </w:r>
      <w:r>
        <w:rPr>
          <w:rStyle w:val="Strong"/>
          <w:rFonts w:cs="Arial" w:ascii="Arial" w:hAnsi="Arial"/>
        </w:rPr>
        <w:t>deposit money banks</w:t>
      </w:r>
      <w:r>
        <w:rPr>
          <w:rFonts w:cs="Arial" w:ascii="Arial" w:hAnsi="Arial"/>
        </w:rPr>
        <w:t xml:space="preserve">, based on a 2024 cross-sectional study? (Mixed methods) </w:t>
      </w:r>
    </w:p>
    <w:p>
      <w:pPr>
        <w:pStyle w:val="BodyText"/>
        <w:numPr>
          <w:ilvl w:val="0"/>
          <w:numId w:val="3"/>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RQ3</w:t>
      </w:r>
      <w:r>
        <w:rPr>
          <w:rFonts w:cs="Arial" w:ascii="Arial" w:hAnsi="Arial"/>
        </w:rPr>
        <w:t xml:space="preserve">: To what extent is the association between management qualifications—measured by banking experience and governance training as reported in the 2024 data—related to non-performing loan (NPL) ratios in Nigerian </w:t>
      </w:r>
      <w:r>
        <w:rPr>
          <w:rStyle w:val="Strong"/>
          <w:rFonts w:cs="Arial" w:ascii="Arial" w:hAnsi="Arial"/>
        </w:rPr>
        <w:t>deposit money banks</w:t>
      </w:r>
      <w:r>
        <w:rPr>
          <w:rFonts w:cs="Arial" w:ascii="Arial" w:hAnsi="Arial"/>
        </w:rPr>
        <w:t xml:space="preserve"> based on a 2024 cross-sectional study? (Mixed methods) </w:t>
      </w:r>
    </w:p>
    <w:p>
      <w:pPr>
        <w:pStyle w:val="BodyText"/>
        <w:numPr>
          <w:ilvl w:val="0"/>
          <w:numId w:val="3"/>
        </w:numPr>
        <w:tabs>
          <w:tab w:val="clear" w:pos="720"/>
          <w:tab w:val="left" w:pos="0" w:leader="none"/>
        </w:tabs>
        <w:spacing w:lineRule="auto" w:line="480"/>
        <w:ind w:hanging="283" w:start="709"/>
        <w:rPr>
          <w:rFonts w:ascii="Arial" w:hAnsi="Arial" w:cs="Arial"/>
        </w:rPr>
      </w:pPr>
      <w:r>
        <w:rPr>
          <w:rStyle w:val="Strong"/>
          <w:rFonts w:cs="Arial" w:ascii="Arial" w:hAnsi="Arial"/>
        </w:rPr>
        <w:t>RQ4</w:t>
      </w:r>
      <w:r>
        <w:rPr>
          <w:rFonts w:cs="Arial" w:ascii="Arial" w:hAnsi="Arial"/>
        </w:rPr>
        <w:t xml:space="preserve">: To what extent is the association between the clarity and enforcement consistency of regulatory frameworks—measured by stakeholder perceptions in the 2024 questionnaire and interviews—related to non-performing loan (NPL) ratios in Nigerian </w:t>
      </w:r>
      <w:r>
        <w:rPr>
          <w:rStyle w:val="Strong"/>
          <w:rFonts w:cs="Arial" w:ascii="Arial" w:hAnsi="Arial"/>
        </w:rPr>
        <w:t>deposit money banks</w:t>
      </w:r>
      <w:r>
        <w:rPr>
          <w:rFonts w:cs="Arial" w:ascii="Arial" w:hAnsi="Arial"/>
        </w:rPr>
        <w:t xml:space="preserve"> based on a 2024 cross-sectional study? (Mixed methods)</w:t>
      </w:r>
    </w:p>
    <w:p>
      <w:pPr>
        <w:pStyle w:val="Normal"/>
        <w:rPr>
          <w:rFonts w:ascii="Arial" w:hAnsi="Arial" w:cs="Arial"/>
        </w:rPr>
      </w:pPr>
      <w:r>
        <w:rPr>
          <w:rFonts w:cs="Arial" w:ascii="Arial" w:hAnsi="Arial"/>
        </w:rPr>
      </w:r>
    </w:p>
    <w:p>
      <w:pPr>
        <w:pStyle w:val="Heading2"/>
        <w:rPr/>
      </w:pPr>
      <w:bookmarkStart w:id="53" w:name="_Toc199862093"/>
      <w:bookmarkStart w:id="54" w:name="_Toc201692433"/>
      <w:bookmarkStart w:id="55" w:name="_Toc202193595"/>
      <w:bookmarkStart w:id="56" w:name="_Toc203392022"/>
      <w:bookmarkStart w:id="57" w:name="_Toc203392086"/>
      <w:bookmarkStart w:id="58" w:name="_Toc203584754"/>
      <w:bookmarkStart w:id="59" w:name="_Toc203671408"/>
      <w:bookmarkStart w:id="60" w:name="_Toc203671458"/>
      <w:bookmarkStart w:id="61" w:name="_Toc205059257"/>
      <w:bookmarkStart w:id="62" w:name="_Toc205059474"/>
      <w:bookmarkStart w:id="63" w:name="_Toc205059568"/>
      <w:bookmarkStart w:id="64" w:name="_Toc205059629"/>
      <w:bookmarkStart w:id="65" w:name="_Toc199856779"/>
      <w:r>
        <w:rPr/>
        <w:t>1.4: Objective of Study</w:t>
      </w:r>
      <w:bookmarkEnd w:id="53"/>
      <w:bookmarkEnd w:id="54"/>
      <w:bookmarkEnd w:id="55"/>
      <w:bookmarkEnd w:id="56"/>
      <w:bookmarkEnd w:id="57"/>
      <w:bookmarkEnd w:id="58"/>
      <w:bookmarkEnd w:id="59"/>
      <w:bookmarkEnd w:id="60"/>
      <w:bookmarkEnd w:id="61"/>
      <w:bookmarkEnd w:id="62"/>
      <w:bookmarkEnd w:id="63"/>
      <w:bookmarkEnd w:id="64"/>
      <w:bookmarkEnd w:id="65"/>
    </w:p>
    <w:p>
      <w:pPr>
        <w:pStyle w:val="Normal"/>
        <w:rPr>
          <w:rFonts w:ascii="Arial" w:hAnsi="Arial" w:cs="Arial"/>
        </w:rPr>
      </w:pPr>
      <w:r>
        <w:rPr>
          <w:rFonts w:cs="Arial" w:ascii="Arial" w:hAnsi="Arial"/>
        </w:rPr>
      </w:r>
    </w:p>
    <w:p>
      <w:pPr>
        <w:pStyle w:val="BodyText"/>
        <w:spacing w:lineRule="auto" w:line="480"/>
        <w:ind w:hanging="0" w:start="0" w:end="0"/>
        <w:rPr/>
      </w:pPr>
      <w:r>
        <w:rPr/>
        <w:t xml:space="preserve">This research aims to bridge the gap in context-specific investigations of corporate governance within Nigeria’s </w:t>
      </w:r>
      <w:r>
        <w:rPr>
          <w:rStyle w:val="Strong"/>
        </w:rPr>
        <w:t>deposit money banking</w:t>
      </w:r>
      <w:r>
        <w:rPr/>
        <w:t xml:space="preserve"> sector by scrutinizing governance mechanisms, identifying systemic weaknesses, and recommending targeted reforms to curb default risk and bolster financial stability. Drawing on Hypotheses 1–4 (H1–H4) and Research Questions 1–4 (RQ1–RQ4), which probe the connections among </w:t>
      </w:r>
      <w:r>
        <w:rPr>
          <w:rStyle w:val="Strong"/>
        </w:rPr>
        <w:t>corporate governance indices, audit committee independence, management qualifications, and regulatory clarity</w:t>
      </w:r>
      <w:r>
        <w:rPr/>
        <w:t>, and non-performing loan (NPL) ratios, the study is structured around the following objectives. These objectives adopt a mixed-methods framework to ensure comprehensive analysis: RQ1 relies on secondary panel data from 2009–2024 for longitudinal quantitative assessment, while RQ2–RQ4 leverage 2024 cross-sectional data from questionnaires and interviews for nuanced, contemporary insights. This approach not only enhances empirical depth but also contextualizes findings within Nigeria's unique regulatory and economic landscape, marked by post-2009 reforms and persistent challenges like macroeconomic volatility and governance lapses.</w:t>
      </w:r>
    </w:p>
    <w:p>
      <w:pPr>
        <w:pStyle w:val="BodyText"/>
        <w:spacing w:lineRule="auto" w:line="480"/>
        <w:ind w:hanging="0" w:start="0" w:end="0"/>
        <w:rPr/>
      </w:pPr>
      <w:r>
        <w:rPr>
          <w:rStyle w:val="Strong"/>
        </w:rPr>
        <w:t>OB1</w:t>
      </w:r>
      <w:r>
        <w:rPr/>
        <w:t xml:space="preserve">: To assess the extent to which the integrated framework of </w:t>
      </w:r>
      <w:r>
        <w:rPr>
          <w:rStyle w:val="Strong"/>
        </w:rPr>
        <w:t>corporate governance indices—encompassing disclosure (Corporate Governance Disclosure Index, CGDI), practice (Bank Practice Score, OPEFF), and compliance (Banking Compliance Index, COMID)</w:t>
      </w:r>
      <w:r>
        <w:rPr/>
        <w:t xml:space="preserve">—mitigates non-performing loan ratios among Nigeria's leading deposit money banks across the 2009–2024 reform era, </w:t>
      </w:r>
      <w:r>
        <w:rPr>
          <w:rStyle w:val="Strong"/>
        </w:rPr>
        <w:t>controlling for bank size, capital adequacy, and macroeconomic factors</w:t>
      </w:r>
      <w:r>
        <w:rPr/>
        <w:t xml:space="preserve">, with particular emphasis on discerning the </w:t>
      </w:r>
      <w:r>
        <w:rPr>
          <w:rStyle w:val="Strong"/>
        </w:rPr>
        <w:t>index</w:t>
      </w:r>
      <w:r>
        <w:rPr/>
        <w:t xml:space="preserve"> yielding the greatest incremental impact on credit quality pre- and post- the 2014 Corporate Governance Code implementation. This objective fills a critical research void by evaluating how </w:t>
      </w:r>
      <w:r>
        <w:rPr>
          <w:rStyle w:val="Strong"/>
        </w:rPr>
        <w:t>compliance with evolving governance standards</w:t>
      </w:r>
      <w:r>
        <w:rPr/>
        <w:t>, including the Central Bank of Nigeria (CBN) Guidelines 2023 and subsequent updates, promotes accountability and transparency to diminish default risk (Sanusi, 2009). In alignment with Hypothesis 1 and Research Question 1, it delves into the nexus between governance stringency and NPLs, drawing on historical precedents like the 2009 banking crisis that exposed vulnerabilities amplified by weak internal controls and fragmented oversight (Osemeke &amp; Adegbite, 2016). By analyzing secondary panel data from audited financial statements and regulatory reports spanning 2009–2024, this objective isolates the effects of governance indices while controlling for confounders such as bank size, capital adequacy (</w:t>
      </w:r>
      <w:r>
        <w:rPr>
          <w:rStyle w:val="Strong"/>
        </w:rPr>
        <w:t>via Total Capital Adequacy Ratio, TCAR</w:t>
      </w:r>
      <w:r>
        <w:rPr/>
        <w:t>), and macroeconomic indicators (e.g., GDP growth, inflation, oil prices), thereby providing robust evidence on reform efficacy in an emerging market context (Kafidipe et al., 2021).</w:t>
      </w:r>
    </w:p>
    <w:p>
      <w:pPr>
        <w:pStyle w:val="BodyText"/>
        <w:spacing w:lineRule="auto" w:line="480"/>
        <w:ind w:hanging="0" w:start="0" w:end="0"/>
        <w:rPr/>
      </w:pPr>
      <w:r>
        <w:rPr>
          <w:rStyle w:val="Strong"/>
        </w:rPr>
        <w:t>OB2</w:t>
      </w:r>
      <w:r>
        <w:rPr/>
        <w:t xml:space="preserve">: To estimate the association of </w:t>
      </w:r>
      <w:r>
        <w:rPr>
          <w:rStyle w:val="Strong"/>
        </w:rPr>
        <w:t>independent audit committees</w:t>
      </w:r>
      <w:r>
        <w:rPr/>
        <w:t xml:space="preserve"> with strengthening financial reporting integrity and lower non-performing loan (NPL) ratios in Nigerian </w:t>
      </w:r>
      <w:r>
        <w:rPr>
          <w:rStyle w:val="Strong"/>
        </w:rPr>
        <w:t>deposit money banks</w:t>
      </w:r>
      <w:r>
        <w:rPr/>
        <w:t xml:space="preserve">, based on stakeholder perceptions from </w:t>
      </w:r>
      <w:r>
        <w:rPr>
          <w:rStyle w:val="Strong"/>
        </w:rPr>
        <w:t>2024</w:t>
      </w:r>
      <w:r>
        <w:rPr/>
        <w:t xml:space="preserve"> interviews and questionnaires, with NPL ratios reflecting data up to 2024. This objective confronts the dearth of localized empirical studies by scrutinizing how </w:t>
      </w:r>
      <w:r>
        <w:rPr>
          <w:rStyle w:val="Strong"/>
        </w:rPr>
        <w:t>audit committee independence</w:t>
      </w:r>
      <w:r>
        <w:rPr/>
        <w:t xml:space="preserve"> deters hazardous lending behaviors, a recurring issue in Nigeria’s banking sector following the 2005 consolidation and 2009 crisis (Sanusi, 2014). Correlating with Hypothesis 2 and Research Question 2, it emphasizes accountability structures essential for rectifying governance shortcomings, in line with international benchmarks such as the OECD (2023) principles and recent calls for fully independent audit committees in Nigeria to mitigate NPL risks (Al-Shaer et al., 2022; Nwoke et al., 2023). Through cross-sectional analysis of 2024 data, including Likert-scale responses on committee composition and oversight efficacy, this objective highlights the role of independent audits in enhancing transparency and curbing managerial opportunism in emerging markets.</w:t>
      </w:r>
    </w:p>
    <w:p>
      <w:pPr>
        <w:pStyle w:val="BodyText"/>
        <w:spacing w:lineRule="auto" w:line="480"/>
        <w:ind w:hanging="0" w:start="0" w:end="0"/>
        <w:rPr/>
      </w:pPr>
      <w:r>
        <w:rPr>
          <w:rStyle w:val="Strong"/>
        </w:rPr>
        <w:t>OB3</w:t>
      </w:r>
      <w:r>
        <w:rPr/>
        <w:t xml:space="preserve">: To evaluate the association between </w:t>
      </w:r>
      <w:r>
        <w:rPr>
          <w:rStyle w:val="Strong"/>
        </w:rPr>
        <w:t>management qualifications—encompassing extensive banking experience, specialized governance training, and relevant certifications as captured in 2024 data</w:t>
      </w:r>
      <w:r>
        <w:rPr/>
        <w:t xml:space="preserve">—and non-performing loan (NPL) ratios in Nigerian </w:t>
      </w:r>
      <w:r>
        <w:rPr>
          <w:rStyle w:val="Strong"/>
        </w:rPr>
        <w:t>deposit money banks</w:t>
      </w:r>
      <w:r>
        <w:rPr/>
        <w:t>, based on a 2024 cross-sectional study utilizing questionnaires and interviews. Addressing a notable gap in research on human capital's influence on bank performance, this objective examines how qualified leadership fosters prudent credit risk management and ethical practices, countering issues like insider lending that plagued Nigeria's banks during past crises (Sanusi, 2009; Ejike et al., 2022). Aligned with Hypothesis 3 and Research Question 3, it tests the premise that experienced and trained managers reduce NPLs by improving decision-making and oversight, drawing on upper echelons theory and recent studies linking managerial expertise to lower default risks in African banking contexts (Ozili, 2020; Hambrick &amp; Mason, 1984). The cross-sectional design incorporates stakeholder perceptions from 2024 surveys, quantifying qualifications through metrics like years of experience and training hours, to provide actionable insights into leadership's role in enhancing resilience amid Nigeria's oil-dependent economy.</w:t>
      </w:r>
    </w:p>
    <w:p>
      <w:pPr>
        <w:pStyle w:val="BodyText"/>
        <w:spacing w:lineRule="auto" w:line="480"/>
        <w:ind w:hanging="0" w:start="0" w:end="0"/>
        <w:rPr/>
      </w:pPr>
      <w:r>
        <w:rPr>
          <w:rStyle w:val="Strong"/>
        </w:rPr>
        <w:t>OB4</w:t>
      </w:r>
      <w:r>
        <w:rPr/>
        <w:t xml:space="preserve">: To assess the influence of </w:t>
      </w:r>
      <w:r>
        <w:rPr>
          <w:rStyle w:val="Strong"/>
        </w:rPr>
        <w:t>clear and consistently enforced regulatory frameworks</w:t>
      </w:r>
      <w:r>
        <w:rPr/>
        <w:t xml:space="preserve"> on fostering compliance and reducing NPL ratios in Nigeria’s </w:t>
      </w:r>
      <w:r>
        <w:rPr>
          <w:rStyle w:val="Strong"/>
        </w:rPr>
        <w:t>deposit money banking</w:t>
      </w:r>
      <w:r>
        <w:rPr/>
        <w:t xml:space="preserve"> sector. This objective responds to scholarly appeals for unified regulatory structures by dissecting how </w:t>
      </w:r>
      <w:r>
        <w:rPr>
          <w:rStyle w:val="Strong"/>
        </w:rPr>
        <w:t>clarity in frameworks</w:t>
      </w:r>
      <w:r>
        <w:rPr/>
        <w:t xml:space="preserve">—such as the harmonized application of CAMA 2020, NCCG 2018, and CBN Guidelines 2023—alleviates governance failures in Nigeria’s multifaceted regulatory environment (Abdulmalik &amp; Ahmad, 2020). In harmony with Hypothesis 4 and Research Question 4, it bridges gaps in existing literature by leveraging 2024 cross-sectional data to analyze stakeholder views on </w:t>
      </w:r>
      <w:r>
        <w:rPr>
          <w:rStyle w:val="Strong"/>
        </w:rPr>
        <w:t>enforcement consistency</w:t>
      </w:r>
      <w:r>
        <w:rPr/>
        <w:t xml:space="preserve">, promoting stability through regulations aligned with global standards (Nwoke et al., 2023; </w:t>
      </w:r>
      <w:r>
        <w:rPr>
          <w:rStyle w:val="Strong"/>
        </w:rPr>
        <w:t>CBN, 2024</w:t>
      </w:r>
      <w:r>
        <w:rPr/>
        <w:t>). By incorporating qualitative interviews and quantitative perceptions, this objective underscores the need for robust enforcement to mitigate NPL spikes driven by regulatory ambiguities.</w:t>
      </w:r>
    </w:p>
    <w:p>
      <w:pPr>
        <w:pStyle w:val="BodyText"/>
        <w:spacing w:lineRule="auto" w:line="480"/>
        <w:ind w:hanging="0" w:start="0" w:end="0"/>
        <w:rPr/>
      </w:pPr>
      <w:r>
        <w:rPr>
          <w:rStyle w:val="Strong"/>
        </w:rPr>
        <w:t>OB5</w:t>
      </w:r>
      <w:r>
        <w:rPr/>
        <w:t xml:space="preserve">: To formulate actionable recommendations for a harmonized corporate governance framework, aligned with global standards, to mitigate bank defaults, restore stakeholder trust, and enhance the resilience of Nigeria’s </w:t>
      </w:r>
      <w:r>
        <w:rPr>
          <w:rStyle w:val="Strong"/>
        </w:rPr>
        <w:t>deposit money banking</w:t>
      </w:r>
      <w:r>
        <w:rPr/>
        <w:t xml:space="preserve"> sector. This culminating objective integrates insights from OB1–OB4 to advocate pragmatic reforms that rectify entrenched governance issues, informed by empirical data and contextual narratives. It advances the study's overarching goal by proposing a cohesive framework resonant with OECD (2023) principles and recent regulatory evolutions, ensuring recommendations are evidence-based and adaptable to Nigeria's dynamic financial ecosystem (Aguilera &amp; Ruiz Castillo, 2025). The mixed-methods paradigm underpins this, blending quantitative rigor with qualitative depth for holistic policy implications.</w:t>
      </w:r>
    </w:p>
    <w:p>
      <w:pPr>
        <w:pStyle w:val="BodyText"/>
        <w:spacing w:lineRule="auto" w:line="480"/>
        <w:ind w:hanging="0" w:start="0" w:end="0"/>
        <w:rPr/>
      </w:pPr>
      <w:r>
        <w:rPr/>
        <w:t>The research embraces a pragmatic epistemology, merging positivist quantitative analyses (e.g., panel and cross-sectional regressions) with interpretivist qualitative explorations (e.g., thematic analysis of interviews) to tackle Nigeria’s multifaceted governance dilemmas (Creswell &amp; Plano Clark, 2018). This dual lens ensures methodological robustness and relevance, with a detailed epistemological rationale outlined in the methodology chapter.</w:t>
      </w:r>
    </w:p>
    <w:p>
      <w:pPr>
        <w:sectPr>
          <w:footerReference w:type="default" r:id="rId10"/>
          <w:footerReference w:type="first" r:id="rId11"/>
          <w:type w:val="nextPage"/>
          <w:pgSz w:w="12240" w:h="15840"/>
          <w:pgMar w:left="1134" w:right="1134" w:gutter="0" w:header="0" w:top="1134" w:footer="0" w:bottom="1134"/>
          <w:pgNumType w:fmt="decimal"/>
          <w:formProt w:val="false"/>
          <w:textDirection w:val="lrTb"/>
          <w:docGrid w:type="default" w:linePitch="100" w:charSpace="0"/>
        </w:sectPr>
        <w:pStyle w:val="Normal"/>
        <w:rPr/>
      </w:pPr>
      <w:r>
        <w:rPr/>
      </w:r>
    </w:p>
    <w:tbl>
      <w:tblPr>
        <w:tblpPr w:vertAnchor="margin" w:horzAnchor="margin" w:leftFromText="180" w:rightFromText="180" w:tblpX="0" w:tblpY="571"/>
        <w:tblW w:w="13562" w:type="dxa"/>
        <w:jc w:val="start"/>
        <w:tblInd w:w="-5" w:type="dxa"/>
        <w:tblLayout w:type="fixed"/>
        <w:tblCellMar>
          <w:top w:w="0" w:type="dxa"/>
          <w:start w:w="108" w:type="dxa"/>
          <w:bottom w:w="0" w:type="dxa"/>
          <w:end w:w="108" w:type="dxa"/>
        </w:tblCellMar>
      </w:tblPr>
      <w:tblGrid>
        <w:gridCol w:w="5518"/>
        <w:gridCol w:w="2586"/>
        <w:gridCol w:w="5458"/>
      </w:tblGrid>
      <w:tr>
        <w:trPr/>
        <w:tc>
          <w:tcPr>
            <w:tcW w:w="5518"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Research Question (RQ)</w:t>
            </w:r>
          </w:p>
        </w:tc>
        <w:tc>
          <w:tcPr>
            <w:tcW w:w="258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Hypothesis (H)</w:t>
            </w:r>
          </w:p>
        </w:tc>
        <w:tc>
          <w:tcPr>
            <w:tcW w:w="5458"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Linkage Explanation</w:t>
            </w:r>
          </w:p>
        </w:tc>
      </w:tr>
      <w:tr>
        <w:trPr/>
        <w:tc>
          <w:tcPr>
            <w:tcW w:w="551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RQ1: To what extent do corporate governance indices (disclosure, practice, and compliance) influence non-performing loan ratios in Nigerian deposit money banks over the period 2009–2024, controlling for bank size, capital adequacy, and macroeconomic factors?</w:t>
            </w:r>
          </w:p>
        </w:tc>
        <w:tc>
          <w:tcPr>
            <w:tcW w:w="258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H1: Banks with robust governance practices exhibit lower default risk, as measured by reduced NPL ratios.</w:t>
            </w:r>
          </w:p>
        </w:tc>
        <w:tc>
          <w:tcPr>
            <w:tcW w:w="545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RQ1 directly tests H1 by quantifying the influence of governance indices (e.g., CGDI for disclosure, OPEFF for practice, COMID for compliance) on NPL ratios via secondary panel data analysis (2009–2024). It operationalizes the hypothesis within Nigeria’s reform context, controlling for variables to isolate governance effects on default risk amid fragmented regulations.</w:t>
            </w:r>
          </w:p>
        </w:tc>
      </w:tr>
      <w:tr>
        <w:trPr/>
        <w:tc>
          <w:tcPr>
            <w:tcW w:w="551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RQ2: To what extent is the independence of audit committees associated with non-performing loan (NPL) ratios in Nigerian commercial banks, based on a 2024 cross-sectional study?</w:t>
            </w:r>
          </w:p>
        </w:tc>
        <w:tc>
          <w:tcPr>
            <w:tcW w:w="258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H2: Banks with independent audit committees exhibit lower default risk, as measured by reduced NPL ratios.</w:t>
            </w:r>
          </w:p>
        </w:tc>
        <w:tc>
          <w:tcPr>
            <w:tcW w:w="545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RQ2 aligns with H2 by assessing audit independence's impact on NPLs through 2024 cross-sectional data, probing how it bolsters oversight and integrity to curb default risk, enabling empirical validation of this mechanism's efficacy.</w:t>
            </w:r>
          </w:p>
        </w:tc>
      </w:tr>
      <w:tr>
        <w:trPr/>
        <w:tc>
          <w:tcPr>
            <w:tcW w:w="551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RQ3: To what extent is the association between management qualifications—measured by banking experience and governance training as reported in the 2024 data—related to non-performing loan (NPL) ratios in Nigerian commercial banks based on a 2024 cross-sectional study?</w:t>
            </w:r>
          </w:p>
        </w:tc>
        <w:tc>
          <w:tcPr>
            <w:tcW w:w="258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H3: Banks with qualified management exhibit lower default risk, as measured by reduced NPL ratios.</w:t>
            </w:r>
          </w:p>
        </w:tc>
        <w:tc>
          <w:tcPr>
            <w:tcW w:w="545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RQ3 corresponds to H3 by evaluating management qualifications' effect on NPLs via 2024 data, testing how expertise enhances risk management and ethics to lower default risk, facilitating targeted data on leadership attributes.</w:t>
            </w:r>
          </w:p>
        </w:tc>
      </w:tr>
      <w:tr>
        <w:trPr/>
        <w:tc>
          <w:tcPr>
            <w:tcW w:w="551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RQ4: To what extent is the association between the clarity and enforcement consistency of regulatory frameworks—measured by stakeholder perceptions in the 2024 questionnaire and interviews—related to non-performing loan (NPL) ratios in Nigerian commercial banks based on a 2024 cross-sectional study?</w:t>
            </w:r>
          </w:p>
        </w:tc>
        <w:tc>
          <w:tcPr>
            <w:tcW w:w="258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H4: Banks under clear regulatory frameworks exhibit lower default risk, as measured by reduced NPL ratios.</w:t>
            </w:r>
          </w:p>
        </w:tc>
        <w:tc>
          <w:tcPr>
            <w:tcW w:w="545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RQ4 maps to H4 by examining regulatory clarity's influence on NPLs through 2024 perceptions, operationalizing how consistent enforcement promotes compliance and mitigates default risk in Nigeria’s regulatory mosaic.</w:t>
            </w:r>
          </w:p>
        </w:tc>
      </w:tr>
    </w:tbl>
    <w:p>
      <w:pPr>
        <w:sectPr>
          <w:footerReference w:type="default" r:id="rId12"/>
          <w:footerReference w:type="first" r:id="rId13"/>
          <w:type w:val="nextPage"/>
          <w:pgSz w:orient="landscape" w:w="15840" w:h="12240"/>
          <w:pgMar w:left="1134" w:right="1134" w:gutter="0" w:header="0" w:top="1134" w:footer="0" w:bottom="1134"/>
          <w:pgNumType w:fmt="decimal"/>
          <w:formProt w:val="false"/>
          <w:textDirection w:val="lrTb"/>
          <w:docGrid w:type="default" w:linePitch="326" w:charSpace="0"/>
        </w:sectPr>
        <w:pStyle w:val="Normal"/>
        <w:rPr>
          <w:rFonts w:ascii="Arial" w:hAnsi="Arial" w:cs="Arial"/>
        </w:rPr>
      </w:pPr>
      <w:r>
        <w:rPr>
          <w:rFonts w:cs="Arial" w:ascii="Arial" w:hAnsi="Arial"/>
        </w:rPr>
        <mc:AlternateContent>
          <mc:Choice Requires="wps">
            <w:drawing>
              <wp:anchor behindDoc="0" distT="0" distB="0" distL="0" distR="1270" simplePos="0" locked="0" layoutInCell="1" allowOverlap="1" relativeHeight="552">
                <wp:simplePos x="0" y="0"/>
                <wp:positionH relativeFrom="column">
                  <wp:posOffset>-137795</wp:posOffset>
                </wp:positionH>
                <wp:positionV relativeFrom="paragraph">
                  <wp:posOffset>-494030</wp:posOffset>
                </wp:positionV>
                <wp:extent cx="3757295" cy="457200"/>
                <wp:effectExtent l="635" t="0" r="0" b="0"/>
                <wp:wrapNone/>
                <wp:docPr id="9" name="Text Box 1"/>
                <a:graphic xmlns:a="http://schemas.openxmlformats.org/drawingml/2006/main">
                  <a:graphicData uri="http://schemas.microsoft.com/office/word/2010/wordprocessingShape">
                    <wps:wsp>
                      <wps:cNvSpPr/>
                      <wps:spPr>
                        <a:xfrm>
                          <a:off x="0" y="0"/>
                          <a:ext cx="3757320" cy="457200"/>
                        </a:xfrm>
                        <a:prstGeom prst="rect">
                          <a:avLst/>
                        </a:prstGeom>
                        <a:noFill/>
                        <a:ln w="0">
                          <a:noFill/>
                        </a:ln>
                      </wps:spPr>
                      <wps:style>
                        <a:lnRef idx="0"/>
                        <a:fillRef idx="0"/>
                        <a:effectRef idx="0"/>
                        <a:fontRef idx="minor"/>
                      </wps:style>
                      <wps:txbx>
                        <w:txbxContent>
                          <w:p>
                            <w:pPr>
                              <w:pStyle w:val="FrameContents"/>
                              <w:rPr>
                                <w:rFonts w:ascii="Arial" w:hAnsi="Arial" w:eastAsia="Nimbus Sans" w:cs="Arial"/>
                                <w:sz w:val="22"/>
                                <w:szCs w:val="22"/>
                              </w:rPr>
                            </w:pPr>
                            <w:r>
                              <w:rPr/>
                              <w:t xml:space="preserve">Table </w:t>
                            </w:r>
                            <w:r>
                              <w:rPr/>
                              <w:fldChar w:fldCharType="begin"/>
                            </w:r>
                            <w:r>
                              <w:rPr/>
                              <w:instrText xml:space="preserve"> SEQ Table \* ARABIC </w:instrText>
                            </w:r>
                            <w:r>
                              <w:rPr/>
                              <w:fldChar w:fldCharType="separate"/>
                            </w:r>
                            <w:r>
                              <w:rPr/>
                              <w:t>2</w:t>
                            </w:r>
                            <w:r>
                              <w:rPr/>
                              <w:fldChar w:fldCharType="end"/>
                            </w:r>
                            <w:r>
                              <w:rPr/>
                              <w:t xml:space="preserve">: </w:t>
                            </w:r>
                            <w:r>
                              <w:rPr>
                                <w:rFonts w:cs="Arial" w:ascii="Arial" w:hAnsi="Arial"/>
                              </w:rPr>
                              <w:t>Linking Research Questions to Hypotheses</w:t>
                            </w:r>
                          </w:p>
                          <w:p>
                            <w:pPr>
                              <w:pStyle w:val="FrameContents"/>
                              <w:rPr/>
                            </w:pPr>
                            <w:r>
                              <w:rPr/>
                            </w:r>
                          </w:p>
                        </w:txbxContent>
                      </wps:txbx>
                      <wps:bodyPr lIns="0" rIns="0" tIns="0" bIns="0" anchor="t">
                        <a:noAutofit/>
                      </wps:bodyPr>
                    </wps:wsp>
                  </a:graphicData>
                </a:graphic>
              </wp:anchor>
            </w:drawing>
          </mc:Choice>
          <mc:Fallback>
            <w:pict>
              <v:rect id="shape_0" ID="Text Box 1" path="m0,0l-2147483645,0l-2147483645,-2147483646l0,-2147483646xe" stroked="f" o:allowincell="f" style="position:absolute;margin-left:-10.85pt;margin-top:-38.9pt;width:295.8pt;height:35.95pt;mso-wrap-style:square;v-text-anchor:top">
                <v:fill o:detectmouseclick="t" on="false"/>
                <v:stroke color="#3465a4" joinstyle="round" endcap="flat"/>
                <v:textbox>
                  <w:txbxContent>
                    <w:p>
                      <w:pPr>
                        <w:pStyle w:val="FrameContents"/>
                        <w:rPr>
                          <w:rFonts w:ascii="Arial" w:hAnsi="Arial" w:eastAsia="Nimbus Sans" w:cs="Arial"/>
                          <w:sz w:val="22"/>
                          <w:szCs w:val="22"/>
                        </w:rPr>
                      </w:pPr>
                      <w:r>
                        <w:rPr/>
                        <w:t xml:space="preserve">Table </w:t>
                      </w:r>
                      <w:r>
                        <w:rPr/>
                        <w:fldChar w:fldCharType="begin"/>
                      </w:r>
                      <w:r>
                        <w:rPr/>
                        <w:instrText xml:space="preserve"> SEQ Table \* ARABIC </w:instrText>
                      </w:r>
                      <w:r>
                        <w:rPr/>
                        <w:fldChar w:fldCharType="separate"/>
                      </w:r>
                      <w:r>
                        <w:rPr/>
                        <w:t>2</w:t>
                      </w:r>
                      <w:r>
                        <w:rPr/>
                        <w:fldChar w:fldCharType="end"/>
                      </w:r>
                      <w:r>
                        <w:rPr/>
                        <w:t xml:space="preserve">: </w:t>
                      </w:r>
                      <w:r>
                        <w:rPr>
                          <w:rFonts w:cs="Arial" w:ascii="Arial" w:hAnsi="Arial"/>
                        </w:rPr>
                        <w:t>Linking Research Questions to Hypotheses</w:t>
                      </w:r>
                    </w:p>
                    <w:p>
                      <w:pPr>
                        <w:pStyle w:val="FrameContents"/>
                        <w:rPr/>
                      </w:pPr>
                      <w:r>
                        <w:rPr/>
                      </w:r>
                    </w:p>
                  </w:txbxContent>
                </v:textbox>
                <w10:wrap type="none"/>
              </v:rect>
            </w:pict>
          </mc:Fallback>
        </mc:AlternateContent>
      </w:r>
    </w:p>
    <w:p>
      <w:pPr>
        <w:pStyle w:val="Heading2"/>
        <w:rPr/>
      </w:pPr>
      <w:bookmarkStart w:id="66" w:name="_Toc203392023"/>
      <w:bookmarkStart w:id="67" w:name="_Toc203392087"/>
      <w:bookmarkStart w:id="68" w:name="_Toc203584755"/>
      <w:bookmarkStart w:id="69" w:name="_Toc203671409"/>
      <w:bookmarkStart w:id="70" w:name="_Toc203671459"/>
      <w:bookmarkStart w:id="71" w:name="_Toc205059258"/>
      <w:bookmarkStart w:id="72" w:name="_Toc205059475"/>
      <w:bookmarkStart w:id="73" w:name="_Toc205059569"/>
      <w:bookmarkStart w:id="74" w:name="_Toc205059630"/>
      <w:bookmarkStart w:id="75" w:name="_Toc202193596"/>
      <w:r>
        <w:rPr/>
        <w:t>1.5: Hypothesis Development</w:t>
      </w:r>
      <w:bookmarkEnd w:id="66"/>
      <w:bookmarkEnd w:id="67"/>
      <w:bookmarkEnd w:id="68"/>
      <w:bookmarkEnd w:id="69"/>
      <w:bookmarkEnd w:id="70"/>
      <w:bookmarkEnd w:id="71"/>
      <w:bookmarkEnd w:id="72"/>
      <w:bookmarkEnd w:id="73"/>
      <w:bookmarkEnd w:id="74"/>
      <w:bookmarkEnd w:id="75"/>
      <w:r>
        <w:rPr/>
        <w:t xml:space="preserve"> </w:t>
      </w:r>
    </w:p>
    <w:p>
      <w:pPr>
        <w:pStyle w:val="BodyText"/>
        <w:spacing w:lineRule="auto" w:line="480"/>
        <w:ind w:hanging="0" w:start="0" w:end="0"/>
        <w:rPr/>
      </w:pPr>
      <w:r>
        <w:rPr/>
        <w:t>This study investigates corporate governance's role in mitigating default risk in Nigeria’s deposit money banking sector, employing non-performing loan (NPL) ratios—defined as loans overdue by 90 days or more relative to total loans—as the key proxy for default risk. NPLs encapsulate failures in loan recovery, eroding capital bases and heightening insolvency threats, and have underpinned Nigeria’s recurrent banking upheavals, including the 2009 peak of 37% and 2017 surge to 20%, often exacerbated by governance shortfalls like deficient risk frameworks and insider abuses (Adegboye, 2020; Sanusi, 2009). Their relevance is affirmed by alignment with the CBN’s 5% benchmark and extensive use in emerging market scholarship, though limitations include a narrow focus on credit risk (potentially ignoring liquidity or operational risks) and data opacity in Nigeria’s reporting milieu (Natufe &amp; Evbayiro-Osagie, 2023; Fernando et al., 2019; Olojede et al., 2020). To counteract these, NPL data are triangulated from CBN, NDIC, and audited reports; controls (e.g., bank size, GDP growth, oil prices) isolate governance influences; and qualitative interview data add depth. For RQ1, analysis draws on secondary panel data from 2009–2024, enabling longitudinal examination of reform impacts, while RQ2–RQ4 utilize 2024 cross-sectional data for timely snapshots.</w:t>
      </w:r>
    </w:p>
    <w:p>
      <w:pPr>
        <w:pStyle w:val="BodyText"/>
        <w:spacing w:lineRule="auto" w:line="480"/>
        <w:ind w:hanging="0" w:start="0" w:end="0"/>
        <w:rPr/>
      </w:pPr>
      <w:r>
        <w:rPr/>
        <w:t>Four hypotheses scrutinize governance-NPL linkages via a mixed-methods lens: 7-point Likert-scale questionnaires, semi-structured interviews with executives and regulators, observational governance assessments, and SPSS-driven regressions for p-values (significance) and R-squared (variance explained). These are rooted in Nigeria’s governance woes, including a patchwork of regulations (CAMA 2020, NCCG 2018, CBN Guidelines 2023) and over 425 bank failures since 1988, frequently linked to lax oversight and ethical breaches (Sanusi, 2014; Osemeke &amp; Adegbite, 2016; Kafidipe et al., 2021).</w:t>
      </w:r>
    </w:p>
    <w:p>
      <w:pPr>
        <w:pStyle w:val="BodyText"/>
        <w:spacing w:lineRule="auto" w:line="480"/>
        <w:ind w:hanging="0" w:start="0" w:end="0"/>
        <w:rPr/>
      </w:pPr>
      <w:r>
        <w:rPr/>
        <w:t>H1: Stronger corporate governance indices (higher CGDI, OPEFF, and COMID) jointly and significantly reduce the non-performing loan ratio, with the magnitude of the reduction being largest for the practice index (OPEFF) and most potent in the post-2014 mandatory-disclosure regime.</w:t>
      </w:r>
    </w:p>
    <w:p>
      <w:pPr>
        <w:pStyle w:val="BodyText"/>
        <w:spacing w:lineRule="auto" w:line="480"/>
        <w:ind w:hanging="0" w:start="0" w:end="0"/>
        <w:rPr/>
      </w:pPr>
      <w:r>
        <w:rPr/>
        <w:t>This hypothesis asserts that Nigerian deposit money banks demonstrating strong adherence to corporate governance indices—specifically disclosure (Corporate Governance Disclosure Index, CGDI), practice (Bank Practice Score, OPEFF), and compliance (Banking Compliance Index, COMID)—within a fragmented regulatory framework achieve lower NPL ratios than those with lax implementation. Robust governance cultivates accountability, transparency, and proactive risk mitigation, thereby curbing default propensities. Grounded in agency theory, it highlights mechanisms that reconcile managerial and stakeholder interests, averting agency conflicts that spur imprudent lending (Jensen &amp; Meckling, 1976). In Nigeria, such deficiencies intensified the 2009 crisis through insider lending and opaque boards (Sanusi, 2014). Stewardship theory augments this, positing empowered boards as stewards fostering stability via rigorous mandates (Donaldson &amp; Davis, 1991). The regulatory mosaic, with overlapping codes, fosters evasion, but stricter compliance (e.g., CBN 2023) correlates with reduced NPLs in emerging contexts (Kafidipe et al., 2021; Fernando et al., 2019). Cases like Oceanic Bank's 2009 downfall exemplify selective compliance's perils. Confounders include macroeconomic turbulence (oil shocks) or cultural patronage networks. Governance is gauged via secondary panel data (2009–2024) on indices from bank reports, tested through fixed-effects regression controlling for size, capital adequacy (via Total Capital Adequacy Ratio, TCAR), and macros. This integration of theories illuminates governance as a vital shield against default in Nigeria’s volatile setting.</w:t>
      </w:r>
    </w:p>
    <w:p>
      <w:pPr>
        <w:pStyle w:val="BodyText"/>
        <w:spacing w:lineRule="auto" w:line="480"/>
        <w:ind w:hanging="0" w:start="0" w:end="0"/>
        <w:rPr/>
      </w:pPr>
      <w:r>
        <w:rPr/>
        <w:t>H2: Banks with independent audit committees exhibit lower default risk, as measured by reduced NPL ratios.</w:t>
      </w:r>
    </w:p>
    <w:p>
      <w:pPr>
        <w:pStyle w:val="BodyText"/>
        <w:spacing w:lineRule="auto" w:line="480"/>
        <w:ind w:hanging="0" w:start="0" w:end="0"/>
        <w:rPr/>
      </w:pPr>
      <w:r>
        <w:rPr/>
        <w:t>This hypothesis maintains that banks featuring independent audit committees attain lower NPL ratios via superior oversight and reporting fidelity, restraining risky loans and elevating portfolio quality. Anchored in agency theory, it underscores committees' mitigation of opportunism through vigilant monitoring (Jensen &amp; Meckling, 1976). In Nigeria, compromised audits fueled 2009 insider excesses (Sanusi, 2014). Resource dependence theory bolsters this, framing committees as conduits for expertise and legitimacy in risk governance (Pfeffer &amp; Salancik, 1978). Amid shareholder pressures and enforcement gaps, independent committees are pivotal for loan integrity. Evidence from emerging markets affirms their NPL-reducing impact (Al-Shaer et al., 2022; Nwoke et al., 2023). Oceanic Bank's collapse underscores audit lapses' costs. External interferences or economic shocks may dilute effects. Independence is assessed via 2024 Likert responses on composition and frequency, from financials, regressed with controls. Theories emphasize committees' accountability and expertise in curbing default.</w:t>
      </w:r>
    </w:p>
    <w:p>
      <w:pPr>
        <w:pStyle w:val="BodyText"/>
        <w:spacing w:lineRule="auto" w:line="480"/>
        <w:ind w:hanging="0" w:start="0" w:end="0"/>
        <w:rPr/>
      </w:pPr>
      <w:r>
        <w:rPr/>
        <w:t>H3: Banks with qualified management exhibit lower default risk, as measured by reduced NPL ratios.</w:t>
      </w:r>
    </w:p>
    <w:p>
      <w:pPr>
        <w:pStyle w:val="BodyText"/>
        <w:spacing w:lineRule="auto" w:line="480"/>
        <w:ind w:hanging="0" w:start="0" w:end="0"/>
        <w:rPr/>
      </w:pPr>
      <w:r>
        <w:rPr/>
        <w:t>This hypothesis proposes that management with substantial banking tenure and governance training yields lower NPLs through enhanced oversight and ethics. Based on upper echelons theory, executives' profiles dictate outcomes (Hambrick &amp; Mason, 1984). Qualified leaders adeptly handle volatility. Stewardship theory views them as stability guardians (Donaldson &amp; Davis, 1991). In Nigeria, political appointments exacerbated 2009 NPLs at 75% in cases like Oceanic (Sanusi, 2009). Studies tie expertise to reduced NPLs via ethics and risk acumen (Ejike et al., 2022; Ozili, 2020). Political meddling or volatility may override. Qualifications are measured via 2024 Likert on experience/certifications, from reports, regressed with controls. Theories spotlight management's expertise in default mitigation.</w:t>
      </w:r>
    </w:p>
    <w:p>
      <w:pPr>
        <w:pStyle w:val="BodyText"/>
        <w:spacing w:lineRule="auto" w:line="480"/>
        <w:ind w:hanging="0" w:start="0" w:end="0"/>
        <w:rPr/>
      </w:pPr>
      <w:r>
        <w:rPr/>
        <w:t>H4: Banks under clear regulatory frameworks exhibit lower default risk, as measured by reduced NPL ratios.</w:t>
      </w:r>
    </w:p>
    <w:p>
      <w:pPr>
        <w:pStyle w:val="BodyText"/>
        <w:spacing w:lineRule="auto" w:line="480"/>
        <w:ind w:hanging="0" w:start="0" w:end="0"/>
        <w:rPr/>
      </w:pPr>
      <w:r>
        <w:rPr/>
        <w:t>This hypothesis argues that clear, enforced regulations lower NPLs by bolstering compliance and risk practices. Institutional theory sees frameworks molding behavior (DiMaggio &amp; Powell, 1983). Nigeria’s overlaps enable evasion (Abdulmalik &amp; Ahmad, 2020). Agency theory aligns actions with interests (Jensen &amp; Meckling, 1976). Clarity links to lower NPLs (Nwoke et al., 2023; Fernando et al., 2019). 2009 evasion highlights needs. Enforcement weaknesses or shocks may hinder. Clarity is evaluated via 2024 Likert on consistency, regressed with controls. Theories stress clarity's compliance-fostering role.</w:t>
      </w:r>
    </w:p>
    <w:p>
      <w:pPr>
        <w:pStyle w:val="BodyText"/>
        <w:spacing w:lineRule="auto" w:line="480"/>
        <w:ind w:hanging="0" w:start="0" w:end="0"/>
        <w:rPr/>
      </w:pPr>
      <w:r>
        <w:rPr/>
        <w:t>Regressions include controls to counter confounders, VIF for multicollinearity, lags for NPL delays. Data validation and triangulation address gaps in post-consolidation research (Ozili, 2020).</w:t>
      </w:r>
    </w:p>
    <w:p>
      <w:pPr>
        <w:pStyle w:val="Normal"/>
        <w:rPr/>
      </w:pPr>
      <w:r>
        <w:rPr/>
      </w:r>
    </w:p>
    <w:p>
      <w:pPr>
        <w:pStyle w:val="Normal"/>
        <w:rPr>
          <w:rFonts w:ascii="Arial" w:hAnsi="Arial" w:cs="Arial"/>
        </w:rPr>
      </w:pPr>
      <w:r>
        <w:rPr>
          <w:rFonts w:cs="Arial" w:ascii="Arial" w:hAnsi="Arial"/>
        </w:rPr>
        <w:b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bookmarkStart w:id="76" w:name="_Toc201692434"/>
      <w:bookmarkStart w:id="77" w:name="_Toc199862096"/>
      <w:bookmarkStart w:id="78" w:name="_Toc199856782"/>
      <w:bookmarkStart w:id="79" w:name="_Toc201692434"/>
      <w:bookmarkStart w:id="80" w:name="_Toc199862096"/>
      <w:bookmarkStart w:id="81" w:name="_Toc199856782"/>
      <w:bookmarkEnd w:id="79"/>
      <w:bookmarkEnd w:id="80"/>
      <w:bookmarkEnd w:id="81"/>
    </w:p>
    <w:p>
      <w:pPr>
        <w:pStyle w:val="Heading2"/>
        <w:rPr/>
      </w:pPr>
      <w:bookmarkStart w:id="82" w:name="_Toc199862096"/>
      <w:bookmarkStart w:id="83" w:name="_Toc199856782"/>
      <w:bookmarkStart w:id="84" w:name="_Toc205059476"/>
      <w:bookmarkStart w:id="85" w:name="_Toc205059631"/>
      <w:bookmarkStart w:id="86" w:name="_Toc205059570"/>
      <w:bookmarkStart w:id="87" w:name="_Toc205059259"/>
      <w:bookmarkStart w:id="88" w:name="_Toc203671460"/>
      <w:bookmarkStart w:id="89" w:name="_Toc203671410"/>
      <w:bookmarkStart w:id="90" w:name="_Toc203584756"/>
      <w:bookmarkStart w:id="91" w:name="_Toc203392088"/>
      <w:bookmarkStart w:id="92" w:name="_Toc203392024"/>
      <w:bookmarkStart w:id="93" w:name="_Toc202193597"/>
      <w:bookmarkEnd w:id="82"/>
      <w:bookmarkEnd w:id="83"/>
      <w:r>
        <w:rPr/>
        <w:t>1.6: The scope of Study</w:t>
      </w:r>
      <w:bookmarkEnd w:id="84"/>
      <w:bookmarkEnd w:id="85"/>
      <w:bookmarkEnd w:id="86"/>
      <w:bookmarkEnd w:id="87"/>
      <w:bookmarkEnd w:id="88"/>
      <w:bookmarkEnd w:id="89"/>
      <w:bookmarkEnd w:id="90"/>
      <w:bookmarkEnd w:id="91"/>
      <w:bookmarkEnd w:id="92"/>
      <w:bookmarkEnd w:id="93"/>
    </w:p>
    <w:p>
      <w:pPr>
        <w:pStyle w:val="BodyText"/>
        <w:rPr>
          <w:rFonts w:ascii="Arial" w:hAnsi="Arial" w:cs="Arial"/>
        </w:rPr>
      </w:pPr>
      <w:bookmarkStart w:id="94" w:name="_Toc201692434"/>
      <w:bookmarkEnd w:id="94"/>
      <w:r>
        <w:rPr>
          <w:rStyle w:val="Strong"/>
          <w:rFonts w:cs="Arial" w:ascii="Arial" w:hAnsi="Arial"/>
        </w:rPr>
        <w:t>1.6: Scope of Study</w:t>
      </w:r>
    </w:p>
    <w:p>
      <w:pPr>
        <w:pStyle w:val="BodyText"/>
        <w:spacing w:lineRule="auto" w:line="480"/>
        <w:ind w:hanging="0" w:start="0" w:end="0"/>
        <w:rPr>
          <w:rFonts w:ascii="Arial" w:hAnsi="Arial" w:cs="Arial"/>
        </w:rPr>
      </w:pPr>
      <w:r>
        <w:rPr>
          <w:rFonts w:cs="Arial" w:ascii="Arial" w:hAnsi="Arial"/>
        </w:rPr>
        <w:t xml:space="preserve">This research tests corporate governance challenges in Nigeria’s </w:t>
      </w:r>
      <w:r>
        <w:rPr>
          <w:rStyle w:val="Strong"/>
          <w:rFonts w:cs="Arial" w:ascii="Arial" w:hAnsi="Arial"/>
        </w:rPr>
        <w:t>deposit money banking</w:t>
      </w:r>
      <w:r>
        <w:rPr>
          <w:rFonts w:cs="Arial" w:ascii="Arial" w:hAnsi="Arial"/>
        </w:rPr>
        <w:t xml:space="preserve"> sector, with a specific focus on deposit money banks (DMBs), to examine their impact on default risk, as measured by non-performing loan (NPL) ratios, and to propose reforms for enhancing financial stability. The scope is delimited to ensure a context-specific analysis that addresses the research gap in up-to-date, Nigeria-centric studies, as outlined in the problem statement (Osita et al., 2019; Tsamenyi et al., 2007). Below, the scope is defined in terms of institutional focus, geographic boundaries, time frame, thematic areas, and epistemological stance, providing a clear framework for the research.</w:t>
      </w:r>
    </w:p>
    <w:p>
      <w:pPr>
        <w:pStyle w:val="BodyText"/>
        <w:spacing w:lineRule="auto" w:line="480"/>
        <w:ind w:hanging="0" w:start="0" w:end="0"/>
        <w:rPr>
          <w:rFonts w:ascii="Arial" w:hAnsi="Arial" w:cs="Arial"/>
        </w:rPr>
      </w:pPr>
      <w:r>
        <w:rPr>
          <w:rFonts w:cs="Arial" w:ascii="Arial" w:hAnsi="Arial"/>
        </w:rPr>
        <w:t>The research is limited to deposit money banks operating in Nigeria, which are pivotal to the country’s financial system and economic growth (King &amp; Levine, 1993; Siyanbola, 2019). Deposit money banks, as regulated by the Central Bank of Nigeria (CBN) under the Banks and Other Financial Institutions Act (BOFIA), include commercial banks that accept deposits and provide loans, excluding other financial institutions such as microfinance banks, discount houses, or non-bank financial entities. This focus is justified by the document’s emphasis on the systemic risks posed by governance failures in these banks, evidenced by 425 failures since 1988 and high NPLs peaking at 37% in 2009 (Udo, 2020; Nwosu, 2020). Geographically, the research is confined to Nigeria, reflecting the unique historical, regulatory, and cultural context shaping its banking sector, including pre-colonial governance systems, colonial legacies (e.g., Companies Ordinance of 1912), and post-independence regulatory frameworks like CAMA 2020 (Elias, 2024; Abdulmalik &amp; Ahmad, 2020). This Nigeria-specific scope ensures relevance to the identified governance challenges, such as regulatory multiplicity and politically motivated appointments, which are distinct to the country’s banking landscape (Osemeke &amp; Adegbite, 2016).</w:t>
      </w:r>
    </w:p>
    <w:p>
      <w:pPr>
        <w:pStyle w:val="BodyText"/>
        <w:spacing w:lineRule="auto" w:line="480"/>
        <w:ind w:hanging="0" w:start="0" w:end="0"/>
        <w:rPr>
          <w:rFonts w:ascii="Arial" w:hAnsi="Arial" w:cs="Arial"/>
        </w:rPr>
      </w:pPr>
      <w:r>
        <w:rPr>
          <w:rStyle w:val="Strong"/>
          <w:rFonts w:cs="Arial" w:ascii="Arial" w:hAnsi="Arial"/>
        </w:rPr>
        <w:t>The research covers two distinct time frames to align with the research questions. For RQ1, it spans 2009–2024, leveraging secondary panel data to capture longitudinal trends in corporate governance indices (disclosure, practice, compliance) and their impact on NPLs, reflecting post-2009 crisis reforms like Basel II, IFRS-9, and the 2014 Corporate Governance Code (Sanusi, 2010; CBN, 2024). For RQ2–RQ4, it focuses on a 2024 cross-sectional study, using questionnaire and interview data to provide contemporary insights into audit committee independence, management qualifications, and regulatory clarity, addressing recent governance challenges (Adegboye, 2020; Nwoke et al., 2023). Historical data (e.g., 2009 crisis) are used for contextual analysis only (Sanusi, 2009; Olojede et al., 2020).</w:t>
      </w:r>
    </w:p>
    <w:p>
      <w:pPr>
        <w:pStyle w:val="BodyText"/>
        <w:spacing w:lineRule="auto" w:line="480"/>
        <w:ind w:hanging="0" w:start="0" w:end="0"/>
        <w:rPr>
          <w:rFonts w:ascii="Arial" w:hAnsi="Arial" w:cs="Arial"/>
        </w:rPr>
      </w:pPr>
      <w:r>
        <w:rPr>
          <w:rStyle w:val="Strong"/>
          <w:rFonts w:cs="Arial" w:ascii="Arial" w:hAnsi="Arial"/>
        </w:rPr>
        <w:t>The research’s thematic scope is defined by the objectives (OB1–OB4) and research questions (RQ1–RQ4), focusing on four key areas of corporate governance in deposit money banks:</w:t>
      </w:r>
    </w:p>
    <w:p>
      <w:pPr>
        <w:pStyle w:val="BodyText"/>
        <w:numPr>
          <w:ilvl w:val="0"/>
          <w:numId w:val="4"/>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Corporate Governance Indices (OB1, RQ1)</w:t>
      </w:r>
      <w:r>
        <w:rPr>
          <w:rFonts w:cs="Arial" w:ascii="Arial" w:hAnsi="Arial"/>
        </w:rPr>
        <w:t xml:space="preserve">: Examining the effectiveness of disclosure (CGDI), practice (OPEFF), and compliance (COMID) in reducing NPLs, addressing deficiencies like weak accountability and lax lending practices (Sanusi, 2009; Osemeke &amp; Adegbite, 2016). </w:t>
      </w:r>
    </w:p>
    <w:p>
      <w:pPr>
        <w:pStyle w:val="BodyText"/>
        <w:numPr>
          <w:ilvl w:val="0"/>
          <w:numId w:val="4"/>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Audit Committee Independence (OB2, RQ2)</w:t>
      </w:r>
      <w:r>
        <w:rPr>
          <w:rFonts w:cs="Arial" w:ascii="Arial" w:hAnsi="Arial"/>
        </w:rPr>
        <w:t xml:space="preserve">: Evaluating their role in enhancing financial reporting integrity to curb risky lending, given their compromised independence in cases like Oceanic Bank (Sanusi, 2014; Olojede et al., 2020). </w:t>
      </w:r>
    </w:p>
    <w:p>
      <w:pPr>
        <w:pStyle w:val="BodyText"/>
        <w:numPr>
          <w:ilvl w:val="0"/>
          <w:numId w:val="4"/>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Management Qualifications (OB3, RQ3)</w:t>
      </w:r>
      <w:r>
        <w:rPr>
          <w:rFonts w:cs="Arial" w:ascii="Arial" w:hAnsi="Arial"/>
        </w:rPr>
        <w:t xml:space="preserve">: Assessing the impact of banking experience and governance training on NPL reduction, targeting unqualified appointments (Sanusi, 2009; Ejike et al., 2022). </w:t>
      </w:r>
    </w:p>
    <w:p>
      <w:pPr>
        <w:pStyle w:val="BodyText"/>
        <w:numPr>
          <w:ilvl w:val="0"/>
          <w:numId w:val="4"/>
        </w:numPr>
        <w:tabs>
          <w:tab w:val="clear" w:pos="720"/>
          <w:tab w:val="left" w:pos="0" w:leader="none"/>
        </w:tabs>
        <w:spacing w:lineRule="auto" w:line="480" w:before="0" w:after="0"/>
        <w:ind w:hanging="283" w:start="709"/>
        <w:rPr>
          <w:rFonts w:ascii="Arial" w:hAnsi="Arial" w:cs="Arial"/>
        </w:rPr>
      </w:pPr>
      <w:r>
        <w:rPr>
          <w:rStyle w:val="Strong"/>
          <w:rFonts w:cs="Arial" w:ascii="Arial" w:hAnsi="Arial"/>
        </w:rPr>
        <w:t>Regulatory Clarity and Enforcement Consistency (OB4, RQ4)</w:t>
      </w:r>
      <w:r>
        <w:rPr>
          <w:rFonts w:cs="Arial" w:ascii="Arial" w:hAnsi="Arial"/>
        </w:rPr>
        <w:t xml:space="preserve">: Investigating the effect of clear, enforced regulatory frameworks on compliance and NPL reduction, targeting Nigeria’s fragmented codes (e.g., CAMA 2020, NCCG 2018) (Abdulmalik &amp; Ahmad, 2020; Nwoke et al., 2023). </w:t>
      </w:r>
    </w:p>
    <w:p>
      <w:pPr>
        <w:pStyle w:val="BodyText"/>
        <w:numPr>
          <w:ilvl w:val="0"/>
          <w:numId w:val="4"/>
        </w:numPr>
        <w:tabs>
          <w:tab w:val="clear" w:pos="720"/>
          <w:tab w:val="left" w:pos="0" w:leader="none"/>
        </w:tabs>
        <w:spacing w:lineRule="auto" w:line="480"/>
        <w:ind w:hanging="283" w:start="709"/>
        <w:rPr>
          <w:rFonts w:ascii="Arial" w:hAnsi="Arial" w:cs="Arial"/>
        </w:rPr>
      </w:pPr>
      <w:r>
        <w:rPr>
          <w:rStyle w:val="Strong"/>
          <w:rFonts w:cs="Arial" w:ascii="Arial" w:hAnsi="Arial"/>
        </w:rPr>
        <w:t>Proposing reforms</w:t>
      </w:r>
      <w:r>
        <w:rPr>
          <w:rFonts w:cs="Arial" w:ascii="Arial" w:hAnsi="Arial"/>
        </w:rPr>
        <w:t xml:space="preserve"> aligned with global standards (e.g., OECD, 2023) to mitigate defaults and restore trust, addressing historical and current governance failures (Aguilera &amp; Ruiz Castillo, 2025). This excludes other governance aspects, such as shareholder activism or environmental, social, and governance (ESG) factors, unless they directly relate to NPLs or default risk. It also omits non-banking sectors and international comparisons, focusing solely on Nigeria’s deposit money banks to maintain depth and specificity. </w:t>
      </w:r>
    </w:p>
    <w:p>
      <w:pPr>
        <w:pStyle w:val="BodyText"/>
        <w:spacing w:lineRule="auto" w:line="480"/>
        <w:ind w:hanging="0" w:start="0" w:end="0"/>
        <w:rPr>
          <w:rFonts w:ascii="Arial" w:hAnsi="Arial" w:cs="Arial"/>
        </w:rPr>
      </w:pPr>
      <w:r>
        <w:rPr>
          <w:rFonts w:cs="Arial" w:ascii="Arial" w:hAnsi="Arial"/>
        </w:rPr>
        <w:t xml:space="preserve">The research adopts a pragmatic epistemological stance, integrating positivist and interpretivist paradigms to address the multifaceted governance challenges in Nigeria’s </w:t>
      </w:r>
      <w:r>
        <w:rPr>
          <w:rStyle w:val="Strong"/>
          <w:rFonts w:cs="Arial" w:ascii="Arial" w:hAnsi="Arial"/>
        </w:rPr>
        <w:t>deposit money banking</w:t>
      </w:r>
      <w:r>
        <w:rPr>
          <w:rFonts w:cs="Arial" w:ascii="Arial" w:hAnsi="Arial"/>
        </w:rPr>
        <w:t xml:space="preserve"> sector, as reiterated from the objectives section (Creswell &amp; Plano Clark, 2018). Pragmatism views knowledge as context-dependent and problem-driven, prioritizing practical outcomes to inform governance reforms (OB4). The positivist paradigm underpins quantitative analysis, such as regression of NPL ratios, to objectively measure governance impacts, addressing data reliability through cross-validation with CBN, NDIC, and audited reports (Olojede et al., 2020). The interpretivist paradigm informs qualitative insights from stakeholder interviews, capturing subjective realities like regulatory perceptions and cultural patronage, which shape governance failures (Osemeke &amp; Adegbite, 2016). This mixed-method approach ensures a comprehensive understanding of governance deficiencies, aligning with the research’s objectives and the document’s emphasis on context-specific insights. A detailed epistemological discussion is provided in the methodology chapter to further elucidate the knowledge generation process.</w:t>
      </w:r>
    </w:p>
    <w:p>
      <w:pPr>
        <w:pStyle w:val="BodyText"/>
        <w:spacing w:lineRule="auto" w:line="480"/>
        <w:ind w:hanging="0" w:start="0" w:end="0"/>
        <w:rPr>
          <w:rFonts w:ascii="Arial" w:hAnsi="Arial" w:cs="Arial"/>
        </w:rPr>
      </w:pPr>
      <w:r>
        <w:rPr>
          <w:rFonts w:cs="Arial" w:ascii="Arial" w:hAnsi="Arial"/>
        </w:rPr>
        <w:t xml:space="preserve">The research’s scope is intentionally narrow to ensure feasibility and focus. By limiting the institutional scope to deposit money banks, it excludes other financial institutions that may exhibit different governance dynamics. The geographic focus on Nigeria precludes comparative analyses with other countries, which could offer broader insights but dilute context-specificity. </w:t>
      </w:r>
      <w:r>
        <w:rPr>
          <w:rStyle w:val="Strong"/>
          <w:rFonts w:cs="Arial" w:ascii="Arial" w:hAnsi="Arial"/>
        </w:rPr>
        <w:t>The dual time frames (2009–2024 for RQ1, 2024 for RQ2–RQ4) restrict historical analysis to contextual background for RQ2–RQ4, focusing on contemporary data to ensure relevance.</w:t>
      </w:r>
      <w:r>
        <w:rPr>
          <w:rFonts w:cs="Arial" w:ascii="Arial" w:hAnsi="Arial"/>
        </w:rPr>
        <w:t xml:space="preserve"> The thematic scope, while comprehensive within governance mechanisms, omits peripheral issues (e.g., technological impacts on banking) unless directly tied to NPLs. These boundaries ensure a targeted investigation that addresses the research gap while acknowledging constraints that future studies may explore.</w:t>
      </w:r>
    </w:p>
    <w:p>
      <w:pPr>
        <w:pStyle w:val="BodyText"/>
        <w:spacing w:lineRule="auto" w:line="480"/>
        <w:ind w:hanging="0" w:start="0" w:end="0"/>
        <w:rPr>
          <w:rFonts w:ascii="Arial" w:hAnsi="Arial" w:cs="Arial"/>
        </w:rPr>
      </w:pPr>
      <w:r>
        <w:rPr>
          <w:rFonts w:cs="Arial" w:ascii="Arial" w:hAnsi="Arial"/>
        </w:rPr>
        <w:t xml:space="preserve">By focusing on deposit money banks in Nigeria </w:t>
      </w:r>
      <w:r>
        <w:rPr>
          <w:rStyle w:val="Strong"/>
          <w:rFonts w:cs="Arial" w:ascii="Arial" w:hAnsi="Arial"/>
        </w:rPr>
        <w:t>from 2009–2024 for longitudinal analysis and 2024 for cross-sectional insights</w:t>
      </w:r>
      <w:r>
        <w:rPr>
          <w:rFonts w:cs="Arial" w:ascii="Arial" w:hAnsi="Arial"/>
        </w:rPr>
        <w:t xml:space="preserve">, the research provides timely, context-specific insights into governance challenges that threaten financial stability, as evidenced by 425 bank failures and persistent NPL issues (Udo, 2020; Adegboye, 2020). The pragmatic epistemological stance and mixed-method approach enable a robust analysis of governance mechanisms, regulatory frameworks, and reform needs, fulfilling the research’s aim to propose actionable solutions aligned with global standards (OECD, 2023). This scope positions the research to contribute meaningfully to policy reforms, stakeholder trust restoration, and the resilience of Nigeria’s </w:t>
      </w:r>
      <w:r>
        <w:rPr>
          <w:rStyle w:val="Strong"/>
          <w:rFonts w:cs="Arial" w:ascii="Arial" w:hAnsi="Arial"/>
        </w:rPr>
        <w:t>deposit money banking</w:t>
      </w:r>
      <w:r>
        <w:rPr>
          <w:rFonts w:cs="Arial" w:ascii="Arial" w:hAnsi="Arial"/>
        </w:rPr>
        <w:t xml:space="preserve"> sector, as outlined in the executive summary and problem statement.</w:t>
      </w:r>
    </w:p>
    <w:p>
      <w:pPr>
        <w:pStyle w:val="Normal"/>
        <w:rPr>
          <w:rFonts w:ascii="Arial" w:hAnsi="Arial" w:cs="Arial"/>
        </w:rPr>
      </w:pPr>
      <w:r>
        <w:rPr>
          <w:rFonts w:cs="Arial" w:ascii="Arial" w:hAnsi="Arial"/>
        </w:rPr>
      </w:r>
      <w:bookmarkStart w:id="95" w:name="_Toc199856783"/>
      <w:bookmarkStart w:id="96" w:name="_Toc199862097"/>
      <w:bookmarkStart w:id="97" w:name="_Toc201692435"/>
      <w:bookmarkStart w:id="98" w:name="_Toc199856783"/>
      <w:bookmarkStart w:id="99" w:name="_Toc199862097"/>
      <w:bookmarkStart w:id="100" w:name="_Toc201692435"/>
      <w:r>
        <w:br w:type="page"/>
      </w:r>
    </w:p>
    <w:p>
      <w:pPr>
        <w:pStyle w:val="Heading2"/>
        <w:spacing w:before="0" w:after="0"/>
        <w:rPr/>
      </w:pPr>
      <w:bookmarkStart w:id="101" w:name="_Toc199856783"/>
      <w:bookmarkStart w:id="102" w:name="_Toc199862097"/>
      <w:bookmarkStart w:id="103" w:name="_Toc201692435"/>
      <w:bookmarkStart w:id="104" w:name="_Toc203671461"/>
      <w:bookmarkStart w:id="105" w:name="_Toc202193598"/>
      <w:bookmarkStart w:id="106" w:name="_Toc205059632"/>
      <w:bookmarkStart w:id="107" w:name="_Toc205059571"/>
      <w:bookmarkStart w:id="108" w:name="_Toc205059477"/>
      <w:bookmarkStart w:id="109" w:name="_Toc205059260"/>
      <w:bookmarkStart w:id="110" w:name="_Toc203671411"/>
      <w:bookmarkStart w:id="111" w:name="_Toc203584757"/>
      <w:bookmarkStart w:id="112" w:name="_Toc203392089"/>
      <w:bookmarkStart w:id="113" w:name="_Toc203392025"/>
      <w:r>
        <w:rPr/>
        <w:t>1.7: Motivation of Study</w:t>
      </w:r>
      <w:bookmarkEnd w:id="101"/>
      <w:bookmarkEnd w:id="102"/>
      <w:bookmarkEnd w:id="103"/>
      <w:bookmarkEnd w:id="104"/>
      <w:bookmarkEnd w:id="105"/>
      <w:bookmarkEnd w:id="106"/>
      <w:bookmarkEnd w:id="107"/>
      <w:bookmarkEnd w:id="108"/>
      <w:bookmarkEnd w:id="109"/>
      <w:bookmarkEnd w:id="110"/>
      <w:bookmarkEnd w:id="111"/>
      <w:bookmarkEnd w:id="112"/>
      <w:bookmarkEnd w:id="113"/>
    </w:p>
    <w:p>
      <w:pPr>
        <w:pStyle w:val="BodyText"/>
        <w:rPr>
          <w:rFonts w:ascii="Arial" w:hAnsi="Arial" w:cs="Arial"/>
        </w:rPr>
      </w:pPr>
      <w:r>
        <w:rPr>
          <w:rFonts w:cs="Arial" w:ascii="Arial" w:hAnsi="Arial"/>
        </w:rPr>
        <w:t xml:space="preserve">A primary driver of this research is the alarming governance failures observed in Nigerian </w:t>
      </w:r>
      <w:r>
        <w:rPr>
          <w:rStyle w:val="Strong"/>
          <w:rFonts w:cs="Arial" w:ascii="Arial" w:hAnsi="Arial"/>
        </w:rPr>
        <w:t>deposit money banks</w:t>
      </w:r>
      <w:r>
        <w:rPr>
          <w:rFonts w:cs="Arial" w:ascii="Arial" w:hAnsi="Arial"/>
        </w:rPr>
        <w:t xml:space="preserve">, particularly in the </w:t>
      </w:r>
      <w:r>
        <w:rPr>
          <w:rStyle w:val="Strong"/>
          <w:rFonts w:cs="Arial" w:ascii="Arial" w:hAnsi="Arial"/>
        </w:rPr>
        <w:t>2009–2024 period for longitudinal trends and 2024 for contemporary insights</w:t>
      </w:r>
      <w:r>
        <w:rPr>
          <w:rFonts w:cs="Arial" w:ascii="Arial" w:hAnsi="Arial"/>
        </w:rPr>
        <w:t xml:space="preserve">, where issues like inadequate risk management, weak internal controls, and lax lending practices have fueled non-performing loans (NPLs) and financial distress, as seen in cases like Oceanic Bank, Intercontinental Bank, Finbank, and Bank PHB (Adegboye, 2020; Adeusi et al., 2013; Owolabi, 2013). The lack of independent nomination committees in 61% of banks allows concentrated ownership to dominate appointments, entrenching management’s self-interest and weakening board oversight, while unqualified or politically motivated management appointments—lacking financial expertise or governance training—compromise ethics and strategic decision-making, as evidenced by Oceanic Bank’s insider loans tied to 75% of NPLs in 2009 (Ogbechie, 2016; Sanusi, 2009; Nwoko et al., 2022). These deficiencies, coupled with weak </w:t>
      </w:r>
      <w:r>
        <w:rPr>
          <w:rStyle w:val="Strong"/>
          <w:rFonts w:cs="Arial" w:ascii="Arial" w:hAnsi="Arial"/>
        </w:rPr>
        <w:t>audit committee</w:t>
      </w:r>
      <w:r>
        <w:rPr>
          <w:rFonts w:cs="Arial" w:ascii="Arial" w:hAnsi="Arial"/>
        </w:rPr>
        <w:t xml:space="preserve"> oversight and fraud concealment, erode stakeholder trust, trigger mass deposit withdrawals, and heighten systemic risks, necessitating a focused examination to address their impact on default risk (Olojede et al., 2020; Sanusi, 2014).</w:t>
      </w:r>
    </w:p>
    <w:p>
      <w:pPr>
        <w:pStyle w:val="BodyText"/>
        <w:spacing w:lineRule="auto" w:line="480"/>
        <w:ind w:hanging="0" w:start="0" w:end="0"/>
        <w:rPr>
          <w:rFonts w:ascii="Arial" w:hAnsi="Arial" w:cs="Arial"/>
        </w:rPr>
      </w:pPr>
      <w:r>
        <w:rPr>
          <w:rStyle w:val="Strong"/>
          <w:rFonts w:cs="Arial" w:ascii="Arial" w:hAnsi="Arial"/>
        </w:rPr>
        <w:t>Regulatory multiplicity</w:t>
      </w:r>
      <w:r>
        <w:rPr>
          <w:rFonts w:cs="Arial" w:ascii="Arial" w:hAnsi="Arial"/>
        </w:rPr>
        <w:t xml:space="preserve"> further motivates this research, as conflicting codes—such as CAMA 2020, NCCG 2018, CBN Corporate Governance Guidelines 2023, and SEC Code of 2011—combined with weak enforcement by regulators like the CAC, FRCN, and CBN, create ambiguity and enable banks to evade rigorous standards, exacerbating governance failures in the </w:t>
      </w:r>
      <w:r>
        <w:rPr>
          <w:rStyle w:val="Strong"/>
          <w:rFonts w:cs="Arial" w:ascii="Arial" w:hAnsi="Arial"/>
        </w:rPr>
        <w:t>2024</w:t>
      </w:r>
      <w:r>
        <w:rPr>
          <w:rFonts w:cs="Arial" w:ascii="Arial" w:hAnsi="Arial"/>
        </w:rPr>
        <w:t xml:space="preserve"> timeframe (Abdulmalik &amp; Ahmad, 2020; Osemeke et al., 2016; Shaba, </w:t>
      </w:r>
      <w:r>
        <w:rPr>
          <w:rStyle w:val="Strong"/>
          <w:rFonts w:cs="Arial" w:ascii="Arial" w:hAnsi="Arial"/>
        </w:rPr>
        <w:t>2024</w:t>
      </w:r>
      <w:r>
        <w:rPr>
          <w:rFonts w:cs="Arial" w:ascii="Arial" w:hAnsi="Arial"/>
        </w:rPr>
        <w:t>). This fragmented regulatory landscape undermines accountability and transparency, critical pillars for financial stability, and highlights the urgent need for empirical insights into how these conflicts drive default risk and hinder effective governance.</w:t>
      </w:r>
    </w:p>
    <w:p>
      <w:pPr>
        <w:pStyle w:val="BodyText"/>
        <w:spacing w:lineRule="auto" w:line="480"/>
        <w:ind w:hanging="0" w:start="0" w:end="0"/>
        <w:rPr>
          <w:rFonts w:ascii="Arial" w:hAnsi="Arial" w:cs="Arial"/>
        </w:rPr>
      </w:pPr>
      <w:r>
        <w:rPr>
          <w:rFonts w:cs="Arial" w:ascii="Arial" w:hAnsi="Arial"/>
        </w:rPr>
        <w:t xml:space="preserve">The paucity of context-specific, up-to-date research on Nigeria’s </w:t>
      </w:r>
      <w:r>
        <w:rPr>
          <w:rStyle w:val="Strong"/>
          <w:rFonts w:cs="Arial" w:ascii="Arial" w:hAnsi="Arial"/>
        </w:rPr>
        <w:t>deposit money banking</w:t>
      </w:r>
      <w:r>
        <w:rPr>
          <w:rFonts w:cs="Arial" w:ascii="Arial" w:hAnsi="Arial"/>
        </w:rPr>
        <w:t xml:space="preserve"> sector, particularly post-consolidation, is a compelling motivator. While studies highlight governance failures and their economic consequences, few address the interplay of historical legacies, specific deficiencies like risk management and nomination committee weaknesses, </w:t>
      </w:r>
      <w:r>
        <w:rPr>
          <w:rStyle w:val="Strong"/>
          <w:rFonts w:cs="Arial" w:ascii="Arial" w:hAnsi="Arial"/>
        </w:rPr>
        <w:t>unqualified management</w:t>
      </w:r>
      <w:r>
        <w:rPr>
          <w:rFonts w:cs="Arial" w:ascii="Arial" w:hAnsi="Arial"/>
        </w:rPr>
        <w:t xml:space="preserve">, and </w:t>
      </w:r>
      <w:r>
        <w:rPr>
          <w:rStyle w:val="Strong"/>
          <w:rFonts w:cs="Arial" w:ascii="Arial" w:hAnsi="Arial"/>
        </w:rPr>
        <w:t>regulatory multiplicity</w:t>
      </w:r>
      <w:r>
        <w:rPr>
          <w:rFonts w:cs="Arial" w:ascii="Arial" w:hAnsi="Arial"/>
        </w:rPr>
        <w:t xml:space="preserve"> in the Nigerian context, especially within the recent </w:t>
      </w:r>
      <w:r>
        <w:rPr>
          <w:rStyle w:val="Strong"/>
          <w:rFonts w:cs="Arial" w:ascii="Arial" w:hAnsi="Arial"/>
        </w:rPr>
        <w:t>2009–2024 period for longitudinal analysis and 2024 for cross-sectional insights</w:t>
      </w:r>
      <w:r>
        <w:rPr>
          <w:rFonts w:cs="Arial" w:ascii="Arial" w:hAnsi="Arial"/>
        </w:rPr>
        <w:t xml:space="preserve"> (Osita et al., 2019; Tsamenyi et al., 2007; Ozili, 2020). This research gap limits the ability to develop targeted reforms aligned with Nigeria’s unique cultural, political, and economic realities, driving the need for this research to fill this lacuna with empirical and qualitative insights.</w:t>
      </w:r>
    </w:p>
    <w:p>
      <w:pPr>
        <w:pStyle w:val="BodyText"/>
        <w:spacing w:lineRule="auto" w:line="480"/>
        <w:ind w:hanging="0" w:start="0" w:end="0"/>
        <w:rPr>
          <w:rFonts w:ascii="Arial" w:hAnsi="Arial" w:cs="Arial"/>
        </w:rPr>
      </w:pPr>
      <w:r>
        <w:rPr>
          <w:rFonts w:cs="Arial" w:ascii="Arial" w:hAnsi="Arial"/>
        </w:rPr>
        <w:t xml:space="preserve">This research is further motivated by the broader implications for stakeholders—shareholders, depositors, regulators, and the Nigerian economy at large. Persistent bank failures and governance lapses erode investor confidence, both domestic and foreign, stifling capital flow and economic growth, while weak accountability and transparency jeopardize financial integrity and public trust (Okoye et al., 2016; Frost et al., 2002). </w:t>
      </w:r>
      <w:r>
        <w:rPr>
          <w:rStyle w:val="Strong"/>
          <w:rFonts w:cs="Arial" w:ascii="Arial" w:hAnsi="Arial"/>
        </w:rPr>
        <w:t>By investigating the effectiveness of corporate governance indices, audit committee independence, management qualifications, and regulatory clarity within the 2009–2024 period for RQ1 and 2024 for RQ2–RQ4, this research seeks to provide actionable insights to strengthen governance mechanisms, mitigate default risk, and restore stability.</w:t>
      </w:r>
      <w:r>
        <w:rPr>
          <w:rFonts w:cs="Arial" w:ascii="Arial" w:hAnsi="Arial"/>
        </w:rPr>
        <w:t xml:space="preserve"> The urgency to align Nigeria’s </w:t>
      </w:r>
      <w:r>
        <w:rPr>
          <w:rStyle w:val="Strong"/>
          <w:rFonts w:cs="Arial" w:ascii="Arial" w:hAnsi="Arial"/>
        </w:rPr>
        <w:t>deposit money banking</w:t>
      </w:r>
      <w:r>
        <w:rPr>
          <w:rFonts w:cs="Arial" w:ascii="Arial" w:hAnsi="Arial"/>
        </w:rPr>
        <w:t xml:space="preserve"> governance with global best practices, coupled with the potential to inform regulatory reforms and enhance stakeholder confidence, underscores the critical importance of this research (Solomon, 2020; Efunniyi et al., 2024; Nwoke et al., 2023).</w:t>
      </w:r>
    </w:p>
    <w:p>
      <w:pPr>
        <w:pStyle w:val="BodyText"/>
        <w:spacing w:lineRule="auto" w:line="480"/>
        <w:ind w:hanging="0" w:start="0" w:end="0"/>
        <w:rPr>
          <w:rFonts w:ascii="Arial" w:hAnsi="Arial" w:cs="Arial"/>
        </w:rPr>
      </w:pPr>
      <w:r>
        <w:rPr>
          <w:rFonts w:cs="Arial" w:ascii="Arial" w:hAnsi="Arial"/>
        </w:rPr>
        <w:t xml:space="preserve">This research is structured as follows: Section 2 will review the relevant literature on corporate governance and board accountability, emphasizing accountability and transparency in the Nigerian </w:t>
      </w:r>
      <w:r>
        <w:rPr>
          <w:rStyle w:val="Strong"/>
          <w:rFonts w:cs="Arial" w:ascii="Arial" w:hAnsi="Arial"/>
        </w:rPr>
        <w:t>deposit money banking</w:t>
      </w:r>
      <w:r>
        <w:rPr>
          <w:rFonts w:cs="Arial" w:ascii="Arial" w:hAnsi="Arial"/>
        </w:rPr>
        <w:t xml:space="preserve"> sector. Section 3 will provide details on the proposed methodology for this research, including examples of the survey questions. Section 4 will provide the method of data analysis. Section 5 will provide the current state of corporate governance, specifically accountability and transparency in Nigerian </w:t>
      </w:r>
      <w:r>
        <w:rPr>
          <w:rStyle w:val="Strong"/>
          <w:rFonts w:cs="Arial" w:ascii="Arial" w:hAnsi="Arial"/>
        </w:rPr>
        <w:t>deposit money banks</w:t>
      </w:r>
      <w:r>
        <w:rPr>
          <w:rFonts w:cs="Arial" w:ascii="Arial" w:hAnsi="Arial"/>
        </w:rPr>
        <w: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spacing w:before="0" w:after="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lineRule="auto" w:line="240"/>
        <w:jc w:val="start"/>
        <w:rPr>
          <w:rFonts w:ascii="Arial" w:hAnsi="Arial" w:cs="Arial"/>
        </w:rPr>
      </w:pPr>
      <w:r>
        <w:rPr>
          <w:rFonts w:cs="Arial" w:ascii="Arial" w:hAnsi="Arial"/>
        </w:rPr>
      </w:r>
      <w:r>
        <w:br w:type="page"/>
      </w:r>
    </w:p>
    <w:p>
      <w:pPr>
        <w:pStyle w:val="Heading1"/>
        <w:spacing w:before="0" w:after="80"/>
        <w:rPr/>
      </w:pPr>
      <w:bookmarkStart w:id="114" w:name="_Toc203671413"/>
      <w:bookmarkStart w:id="115" w:name="_Toc202193600"/>
      <w:bookmarkStart w:id="116" w:name="_Toc205059634"/>
      <w:bookmarkStart w:id="117" w:name="_Toc205059573"/>
      <w:bookmarkStart w:id="118" w:name="_Toc205059479"/>
      <w:bookmarkStart w:id="119" w:name="_Toc205059262"/>
      <w:bookmarkStart w:id="120" w:name="_Toc203671463"/>
      <w:bookmarkStart w:id="121" w:name="_Toc203584759"/>
      <w:bookmarkStart w:id="122" w:name="_Toc203392091"/>
      <w:bookmarkStart w:id="123" w:name="_Toc203392027"/>
      <w:r>
        <w:rPr/>
        <w:t>2.0 Literature Review</w:t>
      </w:r>
      <w:bookmarkEnd w:id="114"/>
      <w:bookmarkEnd w:id="115"/>
      <w:bookmarkEnd w:id="116"/>
      <w:bookmarkEnd w:id="117"/>
      <w:bookmarkEnd w:id="118"/>
      <w:bookmarkEnd w:id="119"/>
      <w:bookmarkEnd w:id="120"/>
      <w:bookmarkEnd w:id="121"/>
      <w:bookmarkEnd w:id="122"/>
      <w:bookmarkEnd w:id="123"/>
    </w:p>
    <w:p>
      <w:pPr>
        <w:pStyle w:val="Heading2"/>
        <w:rPr/>
      </w:pPr>
      <w:bookmarkStart w:id="124" w:name="_Toc205059263"/>
      <w:bookmarkStart w:id="125" w:name="_Toc205059480"/>
      <w:bookmarkStart w:id="126" w:name="_Toc205059574"/>
      <w:bookmarkStart w:id="127" w:name="_Toc205059635"/>
      <w:bookmarkStart w:id="128" w:name="_Toc202193601"/>
      <w:bookmarkStart w:id="129" w:name="_Toc203671414"/>
      <w:bookmarkStart w:id="130" w:name="_Toc203584760"/>
      <w:bookmarkStart w:id="131" w:name="_Toc203392092"/>
      <w:bookmarkStart w:id="132" w:name="_Toc203392028"/>
      <w:bookmarkStart w:id="133" w:name="_Toc203671464"/>
      <w:r>
        <w:rPr/>
        <w:t>2.1 Introduction</w:t>
      </w:r>
      <w:bookmarkEnd w:id="124"/>
      <w:bookmarkEnd w:id="125"/>
      <w:bookmarkEnd w:id="126"/>
      <w:bookmarkEnd w:id="127"/>
      <w:bookmarkEnd w:id="128"/>
      <w:bookmarkEnd w:id="129"/>
      <w:bookmarkEnd w:id="130"/>
      <w:bookmarkEnd w:id="131"/>
      <w:bookmarkEnd w:id="132"/>
      <w:bookmarkEnd w:id="133"/>
    </w:p>
    <w:p>
      <w:pPr>
        <w:pStyle w:val="BodyText"/>
        <w:rPr>
          <w:rFonts w:ascii="Arial" w:hAnsi="Arial" w:cs="Arial"/>
        </w:rPr>
      </w:pPr>
      <w:r>
        <w:rPr/>
        <w:t xml:space="preserve">This chapter synthesizes the extant literature on corporate governance (CG) in banking, with a focus on its behavioral dimensions and their implications for non-performing loan (NPL) ratios in emerging markets, particularly Nigeria. Drawing on agency theory and stewardship perspectives, it examines how </w:t>
      </w:r>
      <w:r>
        <w:rPr>
          <w:rStyle w:val="Strong"/>
        </w:rPr>
        <w:t>corporate governance indices—disclosure, practice, and compliance</w:t>
      </w:r>
      <w:r>
        <w:rPr/>
        <w:t xml:space="preserve">—influence credit risk outcomes. The review highlights gaps in context-specific empirical evidence for post-2009 Nigerian reforms, motivating this study's </w:t>
      </w:r>
      <w:r>
        <w:rPr>
          <w:rStyle w:val="Strong"/>
        </w:rPr>
        <w:t>panel analysis of 2009–2024 data for RQ1 and cross-sectional analysis of 2024 data for RQ2–RQ4</w:t>
      </w:r>
      <w:r>
        <w:rPr/>
        <w:t xml:space="preserve">. </w:t>
      </w:r>
      <w:r>
        <w:rPr>
          <w:rStyle w:val="Strong"/>
        </w:rPr>
        <w:t>Recent studies underscore the persistence of NPL challenges in Nigerian deposit money banks, with corporate governance mechanisms playing a pivotal role in mitigation amid regulatory multiplicity and economic volatility (e.g., sector NPL average of 5.62% in April 2024, exceeding the 5% threshold; CBN, 2024).</w:t>
      </w:r>
      <w:r>
        <w:rPr/>
        <w:t xml:space="preserve"> By integrating theoretical lenses with empirical findings, this framework grounds the hypotheses (H1–H4) and objectives (OB1–OB4), emphasizing </w:t>
      </w:r>
      <w:r>
        <w:rPr>
          <w:rStyle w:val="Strong"/>
        </w:rPr>
        <w:t>behavioral indices</w:t>
      </w:r>
      <w:r>
        <w:rPr/>
        <w:t xml:space="preserve"> over structural attributes.</w:t>
      </w:r>
    </w:p>
    <w:p>
      <w:pPr>
        <w:pStyle w:val="BodyText"/>
        <w:spacing w:lineRule="auto" w:line="480"/>
        <w:ind w:hanging="0" w:start="0" w:end="0"/>
        <w:rPr/>
      </w:pPr>
      <w:r>
        <w:rPr/>
        <w:t xml:space="preserve">This literature review examines corporate governance challenges in Nigeria’s </w:t>
      </w:r>
      <w:r>
        <w:rPr>
          <w:rStyle w:val="Strong"/>
        </w:rPr>
        <w:t>deposit money banking</w:t>
      </w:r>
      <w:r>
        <w:rPr/>
        <w:t xml:space="preserve"> sector, focusing on their impact on default risk, as measured by non-performing loan (NPL) ratios, and the urgent need for context-specific reforms to enhance financial stability. The Nigerian banking sector, pivotal to economic growth, faces systemic governance deficiencies rooted in historical legacies, including pre-colonial customary systems, colonial frameworks like the Companies Ordinance of 1912, and post-independence regulatory adaptations such as CAMA 2020 (Elias, 2024; Agamah, 2024; Udo, 2020). These legacies have fostered a fragmented governance environment characterized by regulatory multiplicity, unqualified management, inadequate risk management, and weak board and </w:t>
      </w:r>
      <w:r>
        <w:rPr>
          <w:rStyle w:val="Strong"/>
        </w:rPr>
        <w:t>audit committee independence</w:t>
      </w:r>
      <w:r>
        <w:rPr/>
        <w:t xml:space="preserve">, contributing to 425 bank failures since 1988 (Udo, 2020). Key issues include conflicting regulatory codes (e.g., CAMA 2020, NCCG 2018, CBN Guidelines 2023, SEC Code 2011), which create ambiguity and enable non-compliance, as well as concentrated ownership and politically motivated appointments that undermine accountability and transparency (Abdulmalik &amp; Ahmad, 2020; Sanusi, 2009; Ogbechie, 2016). These deficiencies exacerbate default risk, with NPLs peaking at 37% in 2009 and 20% in 2017, far exceeding the CBN’s 5% threshold, as seen in cases like Oceanic Bank, where insider lending fueled financial distress (Nwosu, 2020; Sanusi, 2009). </w:t>
      </w:r>
      <w:r>
        <w:rPr>
          <w:rStyle w:val="Strong"/>
        </w:rPr>
        <w:t>Recent studies, such as those by Afolabi and Afolabi (2024), further highlight how these governance lapses persist, with operational performance in Nigerian deposit money banks suffering from opaque reporting and weak board oversight, directly tying into the indices of disclosure, practice, and compliance, as well as audit committee independence and management qualifications.</w:t>
      </w:r>
    </w:p>
    <w:p>
      <w:pPr>
        <w:pStyle w:val="BodyText"/>
        <w:spacing w:lineRule="auto" w:line="480"/>
        <w:ind w:hanging="0" w:start="0" w:end="0"/>
        <w:rPr/>
      </w:pPr>
      <w:r>
        <w:rPr/>
        <w:t xml:space="preserve">The review synthesizes global and Nigerian literature to analyze how these governance failures drive NPLs and proposes reforms, such as harmonized regulations and independent nomination committees, to align with global standards like OECD principles (OECD, 2015; OECD, 2023). This aligns with the research’s objectives (OB1–OB4) and hypotheses (H1–H4), which guide the investigation into governance mechanisms’ impact on default risk. </w:t>
      </w:r>
      <w:r>
        <w:rPr>
          <w:rStyle w:val="Strong"/>
        </w:rPr>
        <w:t>OB1 and H1 examine the effectiveness of corporate governance indices (disclosure, practice, compliance) in reducing NPLs within Nigeria’s fragmented regulatory framework, addressing historical failures like the 2009 crisis (Osemeke &amp; Adegbite, 2016; Sanusi, 2009). OB2 and H2 evaluate independent audit committees’ role in enhancing financial reporting integrity to curb risky lending, responding to lapses in transparency (Adegbite, 2014; Sanusi, 2014). OB3 and H3 assess how management qualifications, measured by banking experience and governance training, mitigate NPLs, tackling unqualified appointments (Sanusi, 2009; Ejike et al., 2022). OB4 and H4 investigate how clear and consistently enforced regulatory frameworks reduce NPLs, addressing regulatory multiplicity (Abdulmalik &amp; Ahmad, 2020; Nwoke et al., 2023). OB5 synthesizes these findings to propose actionable, context-specific reforms aligned with global benchmarks, such as the OECD (2023) principles, filling the research gap on post-consolidation governance failures in Nigeria (Osita et al., 2019; Aguilera &amp; Ruiz Castillo, 2025).</w:t>
      </w:r>
      <w:r>
        <w:rPr/>
        <w:t xml:space="preserve"> By critically reviewing literature on board composition, </w:t>
      </w:r>
      <w:r>
        <w:rPr>
          <w:rStyle w:val="Strong"/>
        </w:rPr>
        <w:t>management qualifications</w:t>
      </w:r>
      <w:r>
        <w:rPr/>
        <w:t xml:space="preserve">, and </w:t>
      </w:r>
      <w:r>
        <w:rPr>
          <w:rStyle w:val="Strong"/>
        </w:rPr>
        <w:t>regulatory clarity</w:t>
      </w:r>
      <w:r>
        <w:rPr/>
        <w:t xml:space="preserve">, this chapter establishes a foundation for empirical analysis, emphasizing the need for tailored reforms to enhance accountability, reduce default risk, and ensure the sustainability of Nigeria’s </w:t>
      </w:r>
      <w:r>
        <w:rPr>
          <w:rStyle w:val="Strong"/>
        </w:rPr>
        <w:t>deposit money banking</w:t>
      </w:r>
      <w:r>
        <w:rPr/>
        <w:t xml:space="preserve"> sector. </w:t>
      </w:r>
      <w:r>
        <w:rPr>
          <w:rStyle w:val="Strong"/>
        </w:rPr>
        <w:t>The expansion here adds depth by integrating recent 2024 studies, such as Ojo and Ojo (2024), who emphasize the role of audit committees in mitigating risk management failures, thereby relating back to the overarching themes of disclosure, practice, compliance, audit committee independence, and management qualifications.</w:t>
      </w:r>
    </w:p>
    <w:p>
      <w:pPr>
        <w:pStyle w:val="Normal"/>
        <w:rPr>
          <w:rFonts w:ascii="Arial" w:hAnsi="Arial" w:cs="Arial"/>
        </w:rPr>
      </w:pPr>
      <w:r>
        <w:rPr/>
        <w:br/>
      </w:r>
    </w:p>
    <w:p>
      <w:pPr>
        <w:pStyle w:val="BodyText"/>
        <w:rPr>
          <w:rFonts w:ascii="Calibri Light" w:hAnsi="Calibri Light" w:eastAsia="DejaVu Sans" w:cs="Mangal"/>
          <w:szCs w:val="29"/>
        </w:rPr>
      </w:pPr>
      <w:r>
        <w:rPr>
          <w:rFonts w:eastAsia="DejaVu Sans" w:cs="Mangal" w:ascii="Calibri Light" w:hAnsi="Calibri Light"/>
          <w:szCs w:val="29"/>
        </w:rPr>
      </w:r>
      <w:r>
        <w:br w:type="page"/>
      </w:r>
    </w:p>
    <w:p>
      <w:pPr>
        <w:pStyle w:val="BodyText"/>
        <w:spacing w:before="0" w:after="40"/>
        <w:rPr/>
      </w:pPr>
      <w:r>
        <w:rPr>
          <w:rStyle w:val="Strong"/>
        </w:rPr>
        <w:t>2.1 Corporate-Governance Indices Theory</w:t>
      </w:r>
    </w:p>
    <w:p>
      <w:pPr>
        <w:pStyle w:val="BodyText"/>
        <w:spacing w:lineRule="auto" w:line="480" w:before="0" w:after="40"/>
        <w:ind w:hanging="0" w:start="0" w:end="0"/>
        <w:rPr/>
      </w:pPr>
      <w:r>
        <w:rPr/>
        <w:t xml:space="preserve">Traditional agency theory posits that managers maximize private benefits unless constrained by governance mechanisms, as managers (agents) may pursue self-interests at the expense of shareholders (principals), leading to moral hazard and adverse selection in lending decisions (Jensen &amp; Meckling, 1976). In banking, ownership dispersion amplifies agency costs due to opacity and high leverage, intensifying risk-shifting incentives where executives favor short-term gains over long-term stability (Shleifer &amp; Vishny, 1997). Empirical literature has disproportionately emphasized structural governance attributes—such as board size, independence, and CEO duality—while neglecting </w:t>
      </w:r>
      <w:r>
        <w:rPr>
          <w:rStyle w:val="Strong"/>
        </w:rPr>
        <w:t>behavioral governance indices</w:t>
      </w:r>
      <w:r>
        <w:rPr/>
        <w:t xml:space="preserve"> that capture the quality and execution of oversight (e.g., </w:t>
      </w:r>
      <w:r>
        <w:rPr>
          <w:rStyle w:val="Strong"/>
        </w:rPr>
        <w:t>board practices reduce NPLs in Nigerian banks by enhancing monitoring, but only when coupled with ethical norms</w:t>
      </w:r>
      <w:r>
        <w:rPr/>
        <w:t>; Kafidipe et al., 2021).</w:t>
      </w:r>
    </w:p>
    <w:p>
      <w:pPr>
        <w:pStyle w:val="BodyText"/>
        <w:spacing w:lineRule="auto" w:line="480" w:before="0" w:after="40"/>
        <w:ind w:hanging="0" w:start="0" w:end="0"/>
        <w:rPr/>
      </w:pPr>
      <w:r>
        <w:rPr>
          <w:rStyle w:val="Strong"/>
        </w:rPr>
        <w:t>Corporate-Governance Indices Theory (CGIT)</w:t>
      </w:r>
      <w:r>
        <w:rPr/>
        <w:t xml:space="preserve"> addresses this oversight by integrating three behavioral indices: </w:t>
      </w:r>
      <w:r>
        <w:rPr>
          <w:rStyle w:val="Strong"/>
        </w:rPr>
        <w:t>disclosure (Corporate Governance Disclosure Index, CGDI), practice (Bank Practice Score, OPEFF), and compliance (Banking Compliance Index, COMID)</w:t>
      </w:r>
      <w:r>
        <w:rPr/>
        <w:t xml:space="preserve">. Unlike structural models, </w:t>
      </w:r>
      <w:r>
        <w:rPr>
          <w:rStyle w:val="Strong"/>
        </w:rPr>
        <w:t>CGIT</w:t>
      </w:r>
      <w:r>
        <w:rPr/>
        <w:t xml:space="preserve"> views these indices as dynamic board-level stewardship behaviors that foster accountability and ethical decision-making, rather than static features (BIS, 2015). Rooted in stewardship theory, it posits that aligned executives act as stewards of organizational stability, prioritizing long-term value over opportunism (Donaldson &amp; Davis, 1991). In emerging markets, </w:t>
      </w:r>
      <w:r>
        <w:rPr>
          <w:rStyle w:val="Strong"/>
        </w:rPr>
        <w:t>behavioral indices</w:t>
      </w:r>
      <w:r>
        <w:rPr/>
        <w:t xml:space="preserve"> are particularly salient, as cultural and institutional factors like patronage networks can undermine structural safeguards (Osemeke &amp; Adegbite, 2016). For instance, </w:t>
      </w:r>
      <w:r>
        <w:rPr>
          <w:rStyle w:val="Strong"/>
        </w:rPr>
        <w:t>recent Nigerian studies reveal that ethical board behaviors—encompassing disclosure and practice—mitigate NPLs more effectively than formal independence, especially post-2009 reforms (Efunniyi et al., 2024)</w:t>
      </w:r>
      <w:r>
        <w:rPr/>
        <w:t xml:space="preserve">. </w:t>
      </w:r>
      <w:r>
        <w:rPr>
          <w:rStyle w:val="Strong"/>
        </w:rPr>
        <w:t>CGIT</w:t>
      </w:r>
      <w:r>
        <w:rPr/>
        <w:t xml:space="preserve"> predicts that strengthening these indices reduces credit-risk outcomes, but empirical hierarchies remain underexplored, particularly in fragmented regulatory environments like Nigeria's, where overlapping codes (e.g., CAMA 2020, NCCG 2018) dilute </w:t>
      </w:r>
      <w:r>
        <w:rPr>
          <w:rStyle w:val="Strong"/>
        </w:rPr>
        <w:t>enforcement consistency</w:t>
      </w:r>
      <w:r>
        <w:rPr/>
        <w:t xml:space="preserve"> (Abdulmalik &amp; Ahmad, 2020).</w:t>
      </w:r>
    </w:p>
    <w:p>
      <w:pPr>
        <w:pStyle w:val="BodyText"/>
        <w:spacing w:lineRule="auto" w:line="480" w:before="0" w:after="40"/>
        <w:ind w:hanging="0" w:start="0" w:end="0"/>
        <w:rPr/>
      </w:pPr>
      <w:r>
        <w:rPr>
          <w:rStyle w:val="Strong"/>
        </w:rPr>
        <w:t>This study operationalizes CGIT in the Nigerian context by testing the implied hierarchy using a longitudinal panel of ten systemically important deposit money banks from 2009–2024 for RQ1, complemented by 2024 cross-sectional data for RQ2–RQ4. It extends prior work by quantifying index elasticities on NPLs, controlling for bank size, capital adequacy (via TCAR), and macroeconomic factors (e.g., GDP growth, inflation, oil prices), addressing calls for behavioral-focused analyses in African banking (Nwoke et al., 2023).</w:t>
      </w:r>
      <w:r>
        <w:rPr/>
        <w:t xml:space="preserve"> By doing so, it bridges the gap between global principles (e.g., OECD, 2023) and local realities, where governance failures contributed to 425 bank insolvencies since 1988 (Udo, 2020).</w:t>
      </w:r>
    </w:p>
    <w:p>
      <w:pPr>
        <w:pStyle w:val="Normal"/>
        <w:spacing w:before="0" w:after="40"/>
        <w:rPr/>
      </w:pPr>
      <w:r>
        <w:rPr/>
      </w:r>
      <w:bookmarkStart w:id="134" w:name="_Toc203671465"/>
      <w:bookmarkStart w:id="135" w:name="_Toc205059636"/>
      <w:bookmarkStart w:id="136" w:name="_Toc205059575"/>
      <w:bookmarkStart w:id="137" w:name="_Toc205059481"/>
      <w:bookmarkStart w:id="138" w:name="_Toc205059264"/>
      <w:bookmarkStart w:id="139" w:name="_Toc203671415"/>
      <w:bookmarkStart w:id="140" w:name="_Toc203584761"/>
      <w:bookmarkStart w:id="141" w:name="_Toc203392093"/>
      <w:bookmarkStart w:id="142" w:name="_Toc203392029"/>
      <w:bookmarkStart w:id="143" w:name="_Toc202193602"/>
      <w:bookmarkStart w:id="144" w:name="_Toc203671465"/>
      <w:bookmarkStart w:id="145" w:name="_Toc205059636"/>
      <w:bookmarkStart w:id="146" w:name="_Toc205059575"/>
      <w:bookmarkStart w:id="147" w:name="_Toc205059481"/>
      <w:bookmarkStart w:id="148" w:name="_Toc205059264"/>
      <w:bookmarkStart w:id="149" w:name="_Toc203671415"/>
      <w:bookmarkStart w:id="150" w:name="_Toc203584761"/>
      <w:bookmarkStart w:id="151" w:name="_Toc203392093"/>
      <w:bookmarkStart w:id="152" w:name="_Toc203392029"/>
      <w:bookmarkStart w:id="153" w:name="_Toc202193602"/>
    </w:p>
    <w:p>
      <w:pPr>
        <w:pStyle w:val="Heading3"/>
        <w:rPr/>
      </w:pPr>
      <w:r>
        <w:rPr/>
        <w:t>2.2 Risk-Management Tenet and Capital Adequacy</w:t>
      </w:r>
    </w:p>
    <w:p>
      <w:pPr>
        <w:pStyle w:val="BodyText"/>
        <w:spacing w:lineRule="auto" w:line="480"/>
        <w:ind w:hanging="0" w:start="0" w:end="0"/>
        <w:rPr/>
      </w:pPr>
      <w:r>
        <w:rPr>
          <w:rStyle w:val="Strong"/>
        </w:rPr>
        <w:t>The practice index within CGIT emphasizes disciplined risk management frameworks to curb excessive lending, aligning with Basel Accords' view of capital as a proxy for prudence (BCBS, 2010).</w:t>
      </w:r>
      <w:r>
        <w:rPr/>
        <w:t xml:space="preserve"> Higher capital buffers signal voluntary risk aversion, deterring moral hazard by absorbing losses without eroding solvency. Empirical findings are mixed: In developed markets, Aggarwal and Jacques (2001) find that elevated capital reduces future NPLs by 10–15 basis points per percentage-point increase, as it incentivizes conservative underwriting. Conversely, in African contexts, Barry, Lepetit, and Tarazi (2011) report insignificant effects, attributing this to weak enforcement and macroeconomic dominance (e.g., oil shocks inflating NPLs independently of capital).</w:t>
      </w:r>
    </w:p>
    <w:p>
      <w:pPr>
        <w:pStyle w:val="BodyText"/>
        <w:spacing w:lineRule="auto" w:line="480"/>
        <w:ind w:hanging="0" w:start="0" w:end="0"/>
        <w:rPr/>
      </w:pPr>
      <w:r>
        <w:rPr>
          <w:rStyle w:val="Strong"/>
        </w:rPr>
        <w:t>A governance lens refines this by distinguishing governed risk management practices—voluntarily implemented above minima—from coerced holdings, where behavioral discipline amplifies buffering effects.</w:t>
      </w:r>
      <w:r>
        <w:rPr/>
        <w:t xml:space="preserve"> In Nigeria, recent panel analyses (2009–</w:t>
      </w:r>
      <w:r>
        <w:rPr>
          <w:rStyle w:val="Strong"/>
        </w:rPr>
        <w:t>2024</w:t>
      </w:r>
      <w:r>
        <w:rPr/>
        <w:t xml:space="preserve">) confirm that total capital adequacy ratio (TCAR) negatively correlates with NPLs (β ≈ -0.35, p&lt;0.05), particularly in systemically important </w:t>
      </w:r>
      <w:r>
        <w:rPr>
          <w:rStyle w:val="Strong"/>
        </w:rPr>
        <w:t>deposit money banks</w:t>
      </w:r>
      <w:r>
        <w:rPr/>
        <w:t xml:space="preserve">, but only when paired with robust </w:t>
      </w:r>
      <w:r>
        <w:rPr>
          <w:rStyle w:val="Strong"/>
        </w:rPr>
        <w:t>practice indices (OPEFF)</w:t>
      </w:r>
      <w:r>
        <w:rPr/>
        <w:t xml:space="preserve"> (Kafidipe et al., 2021). Sub-Saharan evidence echoes this: Amid rising NPLs (averaging 10% since mid-2010s), higher CAR (e.g., </w:t>
      </w:r>
      <w:r>
        <w:rPr>
          <w:rStyle w:val="Strong"/>
        </w:rPr>
        <w:t>14.3% in 2024</w:t>
      </w:r>
      <w:r>
        <w:rPr/>
        <w:t xml:space="preserve">) mitigates fragility in commodity-dependent economies, though enforcement gaps limit potency (IMF, </w:t>
      </w:r>
      <w:r>
        <w:rPr>
          <w:rStyle w:val="Strong"/>
        </w:rPr>
        <w:t>2024</w:t>
      </w:r>
      <w:r>
        <w:rPr/>
        <w:t xml:space="preserve">). Lagged TCAR serves as the proxy here, addressing reverse causality from NPL spikes to capital depletion, as observed in Nigeria's 2017 NPL surge to 20% (Adegboye, 2020). </w:t>
      </w:r>
      <w:r>
        <w:rPr>
          <w:rStyle w:val="Strong"/>
        </w:rPr>
        <w:t>This index aligns with H1, positing that robust practice (OPEFF), integrated with disclosure and compliance, yields the strongest NPL reductions in post-reform regimes, tested via panel regression controlling for bank size and macroeconomic factors.</w:t>
      </w:r>
    </w:p>
    <w:p>
      <w:pPr>
        <w:pStyle w:val="BodyText"/>
        <w:spacing w:lineRule="auto" w:line="480"/>
        <w:ind w:hanging="0" w:start="0" w:end="0"/>
        <w:rPr/>
      </w:pPr>
      <w:r>
        <w:rPr>
          <w:rStyle w:val="Strong"/>
        </w:rPr>
        <w:t>2.3 Transparency Index and Disclosure</w:t>
      </w:r>
    </w:p>
    <w:p>
      <w:pPr>
        <w:pStyle w:val="BodyText"/>
        <w:spacing w:lineRule="auto" w:line="480"/>
        <w:ind w:hanging="0" w:start="0" w:end="0"/>
        <w:rPr/>
      </w:pPr>
      <w:r>
        <w:rPr>
          <w:rStyle w:val="Strong"/>
        </w:rPr>
        <w:t>The disclosure index mitigates information asymmetry, a core agency driver enabling insider opportunism and mispriced risks (Akerlof, 1970).</w:t>
      </w:r>
      <w:r>
        <w:rPr/>
        <w:t xml:space="preserve"> La Porta et al. (1998) argue that robust disclosure disciplines executives by enabling external monitoring, reducing NPLs through better market discipline. In emerging markets, Patel, Balic, and Bwakira (2002) show that comprehensive governance disclosures lower loan spreads by 50–100 basis points, as investors penalize opacity via higher funding costs.</w:t>
      </w:r>
    </w:p>
    <w:p>
      <w:pPr>
        <w:pStyle w:val="BodyText"/>
        <w:spacing w:lineRule="auto" w:line="480"/>
        <w:ind w:hanging="0" w:start="0" w:end="0"/>
        <w:rPr/>
      </w:pPr>
      <w:r>
        <w:rPr/>
        <w:t xml:space="preserve">The Corporate Governance Disclosure Index (CGDI), aligned with OECD (2015) guidelines, quantifies voluntary and mandatory revelations on board practices, risks, and conflicts. Nigerian evidence supports this: </w:t>
      </w:r>
      <w:r>
        <w:rPr>
          <w:rStyle w:val="Strong"/>
        </w:rPr>
        <w:t>Deposit money banks</w:t>
      </w:r>
      <w:r>
        <w:rPr/>
        <w:t xml:space="preserve"> with higher CGDI scores (post-2014 code) exhibit 12–18% lower NPLs, as </w:t>
      </w:r>
      <w:r>
        <w:rPr>
          <w:rStyle w:val="Strong"/>
        </w:rPr>
        <w:t>disclosure</w:t>
      </w:r>
      <w:r>
        <w:rPr/>
        <w:t xml:space="preserve"> curbs insider lending—a key 2009 crisis factor (Osemeke &amp; Adegbite, 2016). Cross-emerging market studies affirm: In South Asia, country-level governance disclosures inversely relate to NPLs (r ≈ -0.45), with mandatory regimes amplifying effects via enforceability (Bhatia et al., </w:t>
      </w:r>
      <w:r>
        <w:rPr>
          <w:rStyle w:val="Strong"/>
        </w:rPr>
        <w:t>2024</w:t>
      </w:r>
      <w:r>
        <w:rPr/>
        <w:t xml:space="preserve">). A multi-dimensional CG index, aggregating board effectiveness and disclosure, explains up to 25% of NPL variance in developing banks (Gaganis et al., 2017). </w:t>
      </w:r>
      <w:r>
        <w:rPr>
          <w:rStyle w:val="Strong"/>
        </w:rPr>
        <w:t>Regime-split models in this study test post-2014 potency, hypothesizing stronger NPL elasticity under mandatory disclosure, addressing gaps in African voluntary compliance for RQ1 (Nwoke et al., 2023).</w:t>
      </w:r>
    </w:p>
    <w:p>
      <w:pPr>
        <w:pStyle w:val="BodyText"/>
        <w:spacing w:lineRule="auto" w:line="480"/>
        <w:ind w:hanging="0" w:start="0" w:end="0"/>
        <w:rPr/>
      </w:pPr>
      <w:r>
        <w:rPr>
          <w:rStyle w:val="Strong"/>
        </w:rPr>
        <w:t>2.4 Practice Index and Operational Efficiency</w:t>
      </w:r>
    </w:p>
    <w:p>
      <w:pPr>
        <w:pStyle w:val="BodyText"/>
        <w:spacing w:lineRule="auto" w:line="480"/>
        <w:ind w:hanging="0" w:start="0" w:end="0"/>
        <w:rPr/>
      </w:pPr>
      <w:r>
        <w:rPr/>
        <w:t xml:space="preserve">COSO (2013) frames </w:t>
      </w:r>
      <w:r>
        <w:rPr>
          <w:rStyle w:val="Strong"/>
        </w:rPr>
        <w:t>operational practices</w:t>
      </w:r>
      <w:r>
        <w:rPr/>
        <w:t xml:space="preserve"> as foundational to efficiency, preventing errors and fraud through a strong control environment. Berger and DeYoung (1997) link cost efficiency (inverse cost-to-income ratio) to superior loan quality in U.S. banks, as lean processes minimize underwriting sloppiness. In emerging contexts, inefficiencies exacerbate NPLs: Operational gaps mediate 30–40% of the efficiency-NPL link, with net interest margins as a key channel (Al-Hunnayan, </w:t>
      </w:r>
      <w:r>
        <w:rPr>
          <w:rStyle w:val="Strong"/>
        </w:rPr>
        <w:t>2024</w:t>
      </w:r>
      <w:r>
        <w:rPr/>
        <w:t>).</w:t>
      </w:r>
    </w:p>
    <w:p>
      <w:pPr>
        <w:pStyle w:val="BodyText"/>
        <w:spacing w:lineRule="auto" w:line="480"/>
        <w:ind w:hanging="0" w:start="0" w:end="0"/>
        <w:rPr/>
      </w:pPr>
      <w:r>
        <w:rPr/>
        <w:t xml:space="preserve">The Bank Practice Score (OPEFF), inverting cost-to-income, proxies repeatable, documented processes that avert control exceptions. Nigerian studies validate: Stronger </w:t>
      </w:r>
      <w:r>
        <w:rPr>
          <w:rStyle w:val="Strong"/>
        </w:rPr>
        <w:t>practice indices</w:t>
      </w:r>
      <w:r>
        <w:rPr/>
        <w:t xml:space="preserve"> reduce NPLs by enhancing risk-taking discipline and performance (β ≈ -0.42), particularly in listed </w:t>
      </w:r>
      <w:r>
        <w:rPr>
          <w:rStyle w:val="Strong"/>
        </w:rPr>
        <w:t>deposit money banks</w:t>
      </w:r>
      <w:r>
        <w:rPr/>
        <w:t xml:space="preserve"> (Ezeagba, </w:t>
      </w:r>
      <w:r>
        <w:rPr>
          <w:rStyle w:val="Strong"/>
        </w:rPr>
        <w:t>2024</w:t>
      </w:r>
      <w:r>
        <w:rPr/>
        <w:t xml:space="preserve">). Globally, poor </w:t>
      </w:r>
      <w:r>
        <w:rPr>
          <w:rStyle w:val="Strong"/>
        </w:rPr>
        <w:t>practices</w:t>
      </w:r>
      <w:r>
        <w:rPr/>
        <w:t xml:space="preserve"> hinder loan growth and inflate NPLs by 15–20%, with inverted U-shaped effects in high-control regimes (Wang et al., 2023). </w:t>
      </w:r>
      <w:r>
        <w:rPr>
          <w:rStyle w:val="Strong"/>
        </w:rPr>
        <w:t>This index, hypothesized as the most potent under CGIT, underscores stewardship’s cultural dominance in Nigeria’s patronage-prone deposit money banking sector, aligning with H1 and RQ1 (Sanusi, 2014).</w:t>
      </w:r>
    </w:p>
    <w:p>
      <w:pPr>
        <w:pStyle w:val="Normal"/>
        <w:rPr/>
      </w:pPr>
      <w:r>
        <w:rPr/>
      </w:r>
    </w:p>
    <w:p>
      <w:pPr>
        <w:pStyle w:val="Heading3"/>
        <w:rPr/>
      </w:pPr>
      <w:r>
        <w:rPr/>
        <w:t>2.4 Internal-Control Tenet and Operational Efficiency</w:t>
      </w:r>
    </w:p>
    <w:p>
      <w:pPr>
        <w:pStyle w:val="Normal"/>
        <w:rPr/>
      </w:pPr>
      <w:r>
        <w:rPr/>
        <w:t>COSO (2013) frames internal controls as foundational to operational efficiency, preventing errors and fraud through a strong control environment. Berger and DeYoung (1997) link cost efficiency (inverse cost-to-income ratio) to superior loan quality in U.S. banks, as lean processes minimize underwriting sloppiness. In emerging contexts, inefficiencies exacerbate NPLs: Operational gaps mediate 30–40% of the efficiency-NPL link, with net interest margins as a key channel (Al-Hunnayan, 2024).</w:t>
      </w:r>
    </w:p>
    <w:p>
      <w:pPr>
        <w:pStyle w:val="Normal"/>
        <w:rPr/>
      </w:pPr>
      <w:r>
        <w:rPr/>
        <w:t>The Bank Practice Score (OPEFF), inverting cost-to-income, proxies repeatable, documented processes that avert control exceptions. Nigerian studies validate: Stronger internal controls reduce NPLs by enhancing risk-taking discipline and performance (β ≈ -0.42), particularly in listed banks (Ezeagba, 2025). Globally, poor controls hinder loan growth and inflate NPLs by 15–20%, with inverted U-shaped effects in high-control regimes (Wang et al., 2023). This tenet, hypothesized as the most potent under CGTT, underscores stewardship's cultural dominance in Nigeria's patronage-prone sector (Sanusi, 2014).</w:t>
      </w:r>
    </w:p>
    <w:p>
      <w:pPr>
        <w:pStyle w:val="Heading3"/>
        <w:rPr/>
      </w:pPr>
      <w:r>
        <w:rPr/>
        <w:t>2.5 Compliance Tenet and Regulatory Culture</w:t>
      </w:r>
    </w:p>
    <w:p>
      <w:pPr>
        <w:pStyle w:val="BodyText"/>
        <w:spacing w:lineRule="auto" w:line="480"/>
        <w:ind w:hanging="0" w:start="0" w:end="0"/>
        <w:rPr/>
      </w:pPr>
      <w:r>
        <w:rPr>
          <w:rStyle w:val="Strong"/>
        </w:rPr>
        <w:t>2.5 Compliance Index and Regulatory Culture</w:t>
      </w:r>
    </w:p>
    <w:p>
      <w:pPr>
        <w:pStyle w:val="BodyText"/>
        <w:spacing w:lineRule="auto" w:line="480"/>
        <w:ind w:hanging="0" w:start="0" w:end="0"/>
        <w:rPr/>
      </w:pPr>
      <w:r>
        <w:rPr>
          <w:rStyle w:val="Strong"/>
        </w:rPr>
        <w:t>Compliance index</w:t>
      </w:r>
      <w:r>
        <w:rPr/>
        <w:t>, per Masciandaro and Quintyn (2013), acts as a public-good input, embedding regulatory adherence into organizational culture beyond mechanical box-ticking. Behavioral compliance—timely, accurate responses—signals genuine stewardship, reducing evasion risks. In banking, culture influences NPLs via enforcement actions: U.S. studies link weak cultures to 25% higher violation rates, indirectly inflating defaults (Aebi et al., 2016).</w:t>
      </w:r>
    </w:p>
    <w:p>
      <w:pPr>
        <w:pStyle w:val="BodyText"/>
        <w:spacing w:lineRule="auto" w:line="480"/>
        <w:ind w:hanging="0" w:start="0" w:end="0"/>
        <w:rPr/>
      </w:pPr>
      <w:r>
        <w:rPr/>
        <w:t xml:space="preserve">The Banking Compliance Index (COMID) aggregates prudential returns, CAMELS ratings, and remediation speed. Emerging evidence shows: Independent supervision lowers NPLs by fostering </w:t>
      </w:r>
      <w:r>
        <w:rPr>
          <w:rStyle w:val="Strong"/>
        </w:rPr>
        <w:t>compliance cultures</w:t>
      </w:r>
      <w:r>
        <w:rPr/>
        <w:t xml:space="preserve"> (β ≈ -0.30), as in South Asia (Gupta &amp; Sharma, </w:t>
      </w:r>
      <w:r>
        <w:rPr>
          <w:rStyle w:val="Strong"/>
        </w:rPr>
        <w:t>2024</w:t>
      </w:r>
      <w:r>
        <w:rPr/>
        <w:t xml:space="preserve">). In Nigeria, fragmented frameworks hinder this, but post-2014 </w:t>
      </w:r>
      <w:r>
        <w:rPr>
          <w:rStyle w:val="Strong"/>
        </w:rPr>
        <w:t>compliance</w:t>
      </w:r>
      <w:r>
        <w:rPr/>
        <w:t xml:space="preserve"> correlates with 10–15% NPL drops (Abdulmalik &amp; Ahmad, 2020). </w:t>
      </w:r>
      <w:r>
        <w:rPr>
          <w:rStyle w:val="Strong"/>
        </w:rPr>
        <w:t>This study measures gradations to capture cultural nuances, hypothesizing compliance’s stability across regimes for RQ1, with 2024 cross-sectional data testing enforcement consistency for RQ4 (Nwoke et al., 2023).</w:t>
      </w:r>
    </w:p>
    <w:p>
      <w:pPr>
        <w:pStyle w:val="Normal"/>
        <w:rPr/>
      </w:pPr>
      <w:r>
        <w:rPr/>
      </w:r>
    </w:p>
    <w:p>
      <w:pPr>
        <w:pStyle w:val="Heading3"/>
        <w:rPr/>
      </w:pPr>
      <w:r>
        <w:rPr/>
        <w:t>2.6 Synthesis and Hypothesis Development</w:t>
      </w:r>
    </w:p>
    <w:p>
      <w:pPr>
        <w:pStyle w:val="BodyText"/>
        <w:spacing w:lineRule="auto" w:line="480"/>
        <w:ind w:hanging="0" w:start="0" w:end="0"/>
        <w:rPr/>
      </w:pPr>
      <w:r>
        <w:rPr/>
        <w:t>Synthesizing the literature, CGIT’s indices collectively mitigate agency costs in Nigerian deposit money banking, where structural reforms (e.g., Basel II/III) alone falter without behavioral embedding (Sanusi, 2010). Recent Nigerian empirics affirm: Integrated indices explain 40–50% of NPL variance, with practice (OPEFF) dominant (Ezeagba, 2024; Kafidipe et al., 2021). This leads to the consolidated hypothesis (H1): Stronger indices (higher CGDI, OPEFF, COMID) jointly reduce NPL ratios, with practice (OPEFF) largest in magnitude and disclosure (CGDI) most potent post-2014, controlling for size, capital adequacy, and macroeconomic factors. Subsequent chapters test this via panel regressions for RQ1, complemented by 2024 cross-sectional analyses for RQ2–RQ4, contributing to emerging-market CG discourse.</w:t>
      </w:r>
    </w:p>
    <w:p>
      <w:pPr>
        <w:pStyle w:val="Normal"/>
        <w:rPr/>
      </w:pPr>
      <w:r>
        <w:rPr/>
      </w:r>
    </w:p>
    <w:p>
      <w:pPr>
        <w:pStyle w:val="Normal"/>
        <w:rPr/>
      </w:pPr>
      <w:r>
        <w:rPr/>
      </w:r>
    </w:p>
    <w:p>
      <w:pPr>
        <w:pStyle w:val="Normal"/>
        <w:rPr/>
      </w:pPr>
      <w:r>
        <w:rPr/>
      </w:r>
    </w:p>
    <w:p>
      <w:pPr>
        <w:pStyle w:val="Heading2"/>
        <w:rPr/>
      </w:pPr>
      <w:bookmarkStart w:id="154" w:name="_Toc203671465"/>
      <w:bookmarkStart w:id="155" w:name="_Toc205059636"/>
      <w:bookmarkStart w:id="156" w:name="_Toc205059575"/>
      <w:bookmarkStart w:id="157" w:name="_Toc205059481"/>
      <w:bookmarkStart w:id="158" w:name="_Toc205059264"/>
      <w:bookmarkStart w:id="159" w:name="_Toc203671415"/>
      <w:bookmarkStart w:id="160" w:name="_Toc203584761"/>
      <w:bookmarkStart w:id="161" w:name="_Toc203392093"/>
      <w:bookmarkStart w:id="162" w:name="_Toc203392029"/>
      <w:bookmarkStart w:id="163" w:name="_Toc202193602"/>
      <w:r>
        <w:rPr/>
        <w:t>2.2 Historical Legacies and Governance Evolution</w:t>
      </w:r>
      <w:bookmarkEnd w:id="154"/>
      <w:bookmarkEnd w:id="155"/>
      <w:bookmarkEnd w:id="156"/>
      <w:bookmarkEnd w:id="157"/>
      <w:bookmarkEnd w:id="158"/>
      <w:bookmarkEnd w:id="159"/>
      <w:bookmarkEnd w:id="160"/>
      <w:bookmarkEnd w:id="161"/>
      <w:bookmarkEnd w:id="162"/>
      <w:bookmarkEnd w:id="163"/>
    </w:p>
    <w:p>
      <w:pPr>
        <w:pStyle w:val="BodyText"/>
        <w:rPr>
          <w:rFonts w:ascii="Times New Roman" w:hAnsi="Times New Roman"/>
        </w:rPr>
      </w:pPr>
      <w:r>
        <w:rPr>
          <w:rFonts w:ascii="Times New Roman" w:hAnsi="Times New Roman"/>
        </w:rPr>
        <w:t xml:space="preserve">The corporate governance framework of Nigeria’s </w:t>
      </w:r>
      <w:r>
        <w:rPr>
          <w:rStyle w:val="Strong"/>
          <w:rFonts w:ascii="Times New Roman" w:hAnsi="Times New Roman"/>
        </w:rPr>
        <w:t>deposit money banking</w:t>
      </w:r>
      <w:r>
        <w:rPr>
          <w:rFonts w:ascii="Times New Roman" w:hAnsi="Times New Roman"/>
        </w:rPr>
        <w:t xml:space="preserve"> sector is profoundly shaped by its historical trajectory, encompassing pre-colonial indigenous systems, colonial legal impositions, and post-independence regulatory adaptations. These historical legacies have fostered a fragmented governance environment marked by weak accountability, politically motivated appointments, and systemic inefficiencies that perpetuate high non-performing loan (NPL) ratios and undermine financial stability (Elias, 2024; Agamah, 2024; Udo, 2020). With 425 bank failures recorded since 1988, these governance challenges, rooted in historical discontinuities, continue to drive default risk, as evidenced by NPL peaks of 37% in 2009 and 20% in 2017 against the Central Bank of Nigeria’s (CBN) 5% threshold (Udo, 2020; Nwosu, 2020). This section critically reviews literature on Nigeria’s governance history, analyzes how colonial legacies and pre-1986 government interference entrenched weak accountability and cronyism, and links these to current governance failures, particularly board inefficiencies post-2004 consolidation, which exacerbate default risk in the </w:t>
      </w:r>
      <w:r>
        <w:rPr>
          <w:rStyle w:val="Strong"/>
          <w:rFonts w:ascii="Times New Roman" w:hAnsi="Times New Roman"/>
        </w:rPr>
        <w:t>deposit money banking</w:t>
      </w:r>
      <w:r>
        <w:rPr>
          <w:rFonts w:ascii="Times New Roman" w:hAnsi="Times New Roman"/>
        </w:rPr>
        <w:t xml:space="preserve"> sector (Adegbite et al., 2012; Chinweoda et al., 2020). </w:t>
      </w:r>
      <w:r>
        <w:rPr>
          <w:rStyle w:val="Strong"/>
          <w:rFonts w:ascii="Times New Roman" w:hAnsi="Times New Roman"/>
        </w:rPr>
        <w:t>Expanding on this, recent research by Afolabi and Afolabi (2024) highlights how these historical legacies manifest in ongoing operational performance deficiencies, particularly in risk management and audit committee independence, tying directly into the indices of disclosure, practice, and compliance.</w:t>
      </w:r>
    </w:p>
    <w:p>
      <w:pPr>
        <w:pStyle w:val="BodyText"/>
        <w:spacing w:lineRule="auto" w:line="480"/>
        <w:ind w:hanging="0" w:start="0" w:end="0"/>
        <w:rPr>
          <w:rFonts w:ascii="Times New Roman" w:hAnsi="Times New Roman"/>
        </w:rPr>
      </w:pPr>
      <w:r>
        <w:rPr>
          <w:rStyle w:val="Strong"/>
          <w:rFonts w:ascii="Times New Roman" w:hAnsi="Times New Roman"/>
        </w:rPr>
        <w:t>2.2.1 Pre-Colonial Governance Systems</w:t>
      </w:r>
    </w:p>
    <w:p>
      <w:pPr>
        <w:pStyle w:val="BodyText"/>
        <w:spacing w:lineRule="auto" w:line="480"/>
        <w:ind w:hanging="0" w:start="0" w:end="0"/>
        <w:rPr>
          <w:rFonts w:ascii="Times New Roman" w:hAnsi="Times New Roman"/>
        </w:rPr>
      </w:pPr>
      <w:r>
        <w:rPr>
          <w:rFonts w:ascii="Times New Roman" w:hAnsi="Times New Roman"/>
        </w:rPr>
        <w:t xml:space="preserve">In pre-colonial Nigeria, governance systems were diverse, decentralized, and deeply embedded in the cultural and social fabrics of ethnic groups such as the Hausa-Fulani, Yoruba, and Igbo (Elias, 2024). These systems operated through customary laws, monarchies, and communal structures, providing effective mechanisms for regulating economic activities, resolving disputes, and ensuring resource allocation (Altin, 2024). For instance, the Yoruba Oba system relied on councils of chiefs to oversee trade, while Igbo communities used age-grade associations and kinship networks to enforce accountability in business dealings (Elias, 2024). Business operations, often conducted through family-based guilds or community cooperatives, were governed by oral agreements and social norms that prioritized trust, reciprocity, and collective welfare over individual profit (Nwaukwa, </w:t>
      </w:r>
      <w:r>
        <w:rPr>
          <w:rStyle w:val="Strong"/>
          <w:rFonts w:ascii="Times New Roman" w:hAnsi="Times New Roman"/>
        </w:rPr>
        <w:t>2024</w:t>
      </w:r>
      <w:r>
        <w:rPr>
          <w:rFonts w:ascii="Times New Roman" w:hAnsi="Times New Roman"/>
        </w:rPr>
        <w:t xml:space="preserve">). Elias (2024) emphasizes that these proto-governance structures, though informal by Western standards, were legitimate and adaptive, fostering accountability through community oversight and reputational sanctions. However, their localized nature and lack of formalized corporate structures limited their ability to scale or integrate with modern financial systems, rendering them vulnerable to disruption by colonial interventions (Adegbite et al., 2012). This discontinuity laid the groundwork for governance challenges, as subsequent frameworks failed to build on indigenous accountability mechanisms, contributing to the sector’s susceptibility to mismanagement and high NPLs. </w:t>
      </w:r>
      <w:r>
        <w:rPr>
          <w:rStyle w:val="Strong"/>
          <w:rFonts w:ascii="Times New Roman" w:hAnsi="Times New Roman"/>
        </w:rPr>
        <w:t>To add depth, this pre-colonial emphasis on communal trust contrasts sharply with modern indices of disclosure and compliance, where the absence of such cultural norms in formal banking practices has led to increased fraud concealment and risk management failures, as noted in recent studies by Ojo and Ojo (2024), who link these historical gaps to persistent audit committee weaknesses.</w:t>
      </w:r>
      <w:r>
        <w:rPr>
          <w:rFonts w:ascii="Times New Roman" w:hAnsi="Times New Roman"/>
        </w:rPr>
        <w:t xml:space="preserve"> The pre-colonial focus on collective welfare also parallels contemporary stakeholder theory but was eroded by colonial individualism, affecting current </w:t>
      </w:r>
      <w:r>
        <w:rPr>
          <w:rStyle w:val="Strong"/>
          <w:rFonts w:ascii="Times New Roman" w:hAnsi="Times New Roman"/>
        </w:rPr>
        <w:t>bank practices</w:t>
      </w:r>
      <w:r>
        <w:rPr>
          <w:rFonts w:ascii="Times New Roman" w:hAnsi="Times New Roman"/>
        </w:rPr>
        <w:t xml:space="preserve"> where concentrated ownership often overrides broader accountability (Freeman, 1984; Agamah, 2024).</w:t>
      </w:r>
    </w:p>
    <w:p>
      <w:pPr>
        <w:pStyle w:val="BodyText"/>
        <w:spacing w:lineRule="auto" w:line="480"/>
        <w:ind w:hanging="0" w:start="0" w:end="0"/>
        <w:rPr>
          <w:rFonts w:ascii="Times New Roman" w:hAnsi="Times New Roman"/>
        </w:rPr>
      </w:pPr>
      <w:r>
        <w:rPr>
          <w:rStyle w:val="Strong"/>
          <w:rFonts w:ascii="Times New Roman" w:hAnsi="Times New Roman"/>
        </w:rPr>
        <w:t>2.2.2 Colonial Period: Imposition of British Frameworks</w:t>
      </w:r>
    </w:p>
    <w:p>
      <w:pPr>
        <w:pStyle w:val="BodyText"/>
        <w:spacing w:lineRule="auto" w:line="480"/>
        <w:ind w:hanging="0" w:start="0" w:end="0"/>
        <w:rPr>
          <w:rFonts w:ascii="Times New Roman" w:hAnsi="Times New Roman"/>
        </w:rPr>
      </w:pPr>
      <w:r>
        <w:rPr>
          <w:rFonts w:ascii="Times New Roman" w:hAnsi="Times New Roman"/>
        </w:rPr>
        <w:t xml:space="preserve">The colonial period (1861–1960) introduced a seismic shift in Nigeria’s governance landscape with the imposition of British legal frameworks, most notably the Companies Ordinance of 1912, modeled on the UK Companies Act (Agamah, 2024). Designed to facilitate colonial enterprises like the Royal Niger Company, the ordinance introduced Western corporate concepts such as limited liability, shareholder primacy, and formalized board structures (Elias, 2024). However, Agamah (2024) argues that these provisions were exploitative, prioritizing colonial economic extraction over local development and disregarding Nigeria’s socio-economic realities. The ordinance’s rigid legal template clashed with customary governance practices, which emphasized communal accountability, creating a governance vacuum that marginalized indigenous businesses and entrenched centralized control (Adegbite et al., 2012). For example, the ordinance’s focus on shareholder-driven boards ignored local kinship-based oversight, fostering a culture of unaccountable decision-making that persisted into the post-independence era (Ugochukwu, 2000). Furthermore, colonial authorities neglected institutional capacity-building, concentrating power in expatriate-led entities and limiting local participation in formal governance structures (Elias, 2024). This misalignment sowed seeds of weak accountability, as governance mechanisms were neither inclusive nor adaptive to Nigeria’s diverse context, setting a precedent for regulatory fragmentation and inefficiency that continues to enable governance lapses and elevate default risk in </w:t>
      </w:r>
      <w:r>
        <w:rPr>
          <w:rStyle w:val="Strong"/>
          <w:rFonts w:ascii="Times New Roman" w:hAnsi="Times New Roman"/>
        </w:rPr>
        <w:t>deposit money banks</w:t>
      </w:r>
      <w:r>
        <w:rPr>
          <w:rFonts w:ascii="Times New Roman" w:hAnsi="Times New Roman"/>
        </w:rPr>
        <w:t xml:space="preserve"> (Osemeke &amp; Adegbite, 2016). </w:t>
      </w:r>
      <w:r>
        <w:rPr>
          <w:rStyle w:val="Strong"/>
          <w:rFonts w:ascii="Times New Roman" w:hAnsi="Times New Roman"/>
        </w:rPr>
        <w:t>The colonial legacy’s failure to integrate local realities is evident in modern board inefficiencies, where concentrated ownership often overrides independent oversight, as seen in the 2009 Oceanic Bank crisis (Sanusi, 2009). Expanding this, recent analyses by Afolabi and Afolabi (2024) demonstrate how colonial-imposed structures have evolved into current practice index deficiencies, where audit committees and risk management processes remain undermined by a lack of disclosure, directly contributing to higher NPL ratios.</w:t>
      </w:r>
      <w:r>
        <w:rPr>
          <w:rFonts w:ascii="Times New Roman" w:hAnsi="Times New Roman"/>
        </w:rPr>
        <w:t xml:space="preserve"> The embryonic stages of CG began in 1886 with the Royal Charter to the Royal Niger Company (RNC), revoked in 1899 for unfair practices, illustrating early accountability failures (Crowder, 1978; Pearson, 1971). This period laid the foundation for modern </w:t>
      </w:r>
      <w:r>
        <w:rPr>
          <w:rStyle w:val="Strong"/>
          <w:rFonts w:ascii="Times New Roman" w:hAnsi="Times New Roman"/>
        </w:rPr>
        <w:t>indices</w:t>
      </w:r>
      <w:r>
        <w:rPr>
          <w:rFonts w:ascii="Times New Roman" w:hAnsi="Times New Roman"/>
        </w:rPr>
        <w:t xml:space="preserve"> like </w:t>
      </w:r>
      <w:r>
        <w:rPr>
          <w:rStyle w:val="Strong"/>
          <w:rFonts w:ascii="Times New Roman" w:hAnsi="Times New Roman"/>
        </w:rPr>
        <w:t>disclosure</w:t>
      </w:r>
      <w:r>
        <w:rPr>
          <w:rFonts w:ascii="Times New Roman" w:hAnsi="Times New Roman"/>
        </w:rPr>
        <w:t>, but the exploitative nature undermined trust and risk management in banking precursors.</w:t>
      </w:r>
    </w:p>
    <w:p>
      <w:pPr>
        <w:sectPr>
          <w:footerReference w:type="default" r:id="rId14"/>
          <w:footerReference w:type="first" r:id="rId15"/>
          <w:type w:val="nextPage"/>
          <w:pgSz w:w="12240" w:h="15840"/>
          <w:pgMar w:left="1134" w:right="1134" w:gutter="0" w:header="0" w:top="1134" w:footer="0" w:bottom="1134"/>
          <w:pgNumType w:fmt="decimal"/>
          <w:formProt w:val="false"/>
          <w:textDirection w:val="lrTb"/>
          <w:docGrid w:type="default" w:linePitch="326" w:charSpace="0"/>
        </w:sectPr>
        <w:pStyle w:val="Normal"/>
        <w:rPr>
          <w:rFonts w:ascii="Times New Roman" w:hAnsi="Times New Roman"/>
        </w:rPr>
      </w:pPr>
      <w:r>
        <w:rPr>
          <w:rFonts w:ascii="Times New Roman" w:hAnsi="Times New Roman"/>
        </w:rPr>
      </w:r>
    </w:p>
    <w:tbl>
      <w:tblPr>
        <w:tblpPr w:vertAnchor="text" w:horzAnchor="margin" w:leftFromText="180" w:rightFromText="180" w:tblpX="0" w:tblpY="641"/>
        <w:tblW w:w="13849" w:type="dxa"/>
        <w:jc w:val="start"/>
        <w:tblInd w:w="-5" w:type="dxa"/>
        <w:tblLayout w:type="fixed"/>
        <w:tblCellMar>
          <w:top w:w="0" w:type="dxa"/>
          <w:start w:w="108" w:type="dxa"/>
          <w:bottom w:w="0" w:type="dxa"/>
          <w:end w:w="108" w:type="dxa"/>
        </w:tblCellMar>
      </w:tblPr>
      <w:tblGrid>
        <w:gridCol w:w="2106"/>
        <w:gridCol w:w="3012"/>
        <w:gridCol w:w="3774"/>
        <w:gridCol w:w="4957"/>
      </w:tblGrid>
      <w:tr>
        <w:trPr>
          <w:trHeight w:val="176" w:hRule="atLeast"/>
        </w:trPr>
        <w:tc>
          <w:tcPr>
            <w:tcW w:w="210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Period</w:t>
            </w:r>
          </w:p>
        </w:tc>
        <w:tc>
          <w:tcPr>
            <w:tcW w:w="301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Key Event/Regulation</w:t>
            </w:r>
          </w:p>
        </w:tc>
        <w:tc>
          <w:tcPr>
            <w:tcW w:w="3774"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495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Impact on CG Tenets</w:t>
            </w:r>
          </w:p>
        </w:tc>
      </w:tr>
      <w:tr>
        <w:trPr>
          <w:trHeight w:val="558"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Pre-Colonial</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Customary laws and communal structures</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Oral agreements, kinship networks for trade oversight (Elias, 2024)</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Fostered transparency through reputational sanctions; emphasized collective accountability in bank-like cooperatives.</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1886 (Colonial)</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Royal Charter to Royal Niger Company</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Monopoly power granted; revoked in 1899 for oppressive conduct (Crowder, 1978)</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Early accountability via shareholder scrutiny; highlighted risks of centralized control without local integration.</w:t>
            </w:r>
          </w:p>
        </w:tc>
      </w:tr>
      <w:tr>
        <w:trPr>
          <w:trHeight w:val="540"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1912 (Colonial)</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Companies Ordinance</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Introduced limited liability and board structures for Lagos (Orojo, 1992)</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Laid foundation for formal bank practice but ignored indigenous risk management, leading to transparency gaps.</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1922 (Colonial)</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Companies Ordinance (country-wide)</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Extended regulation; amended in 1929, 1941, 1954 (Ayua, 1984)</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Reinforced colonial control, undermining audit-like communal oversight and accountability.</w:t>
            </w:r>
          </w:p>
        </w:tc>
      </w:tr>
      <w:tr>
        <w:trPr>
          <w:trHeight w:val="364"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1968 (Post-Independence)</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Companies Act</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Mandated audited accounts, minority rights (Ayua, 1984)</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Enhanced transparency and audit requirements; first steps toward modern bank practice.</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1990</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Companies and Allied Matters Act (CAMA)</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Improved disclosures, board duties (CAMA, 2004)</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Strengthened risk management and accountability; basis for current audit committees.</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2003</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SEC Code of Corporate Governance</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Promoted discipline, transparency (Securities and Exchange Commission, 2003)</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Tied to bank practice, emphasizing board independence and risk oversight.</w:t>
            </w:r>
          </w:p>
        </w:tc>
      </w:tr>
      <w:tr>
        <w:trPr>
          <w:trHeight w:val="364"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2006</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CBN Code for Banks</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Mandatory governance for banks post-consolidation (CBN, 2006)</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Focused on risk management and audit committees in banking.</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2011</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SEC Code</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Stricter board and remuneration rules (Securities and Exchange Commission, 2011)</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Improved transparency; conflicts with CBN on enforcement.</w:t>
            </w:r>
          </w:p>
        </w:tc>
      </w:tr>
      <w:tr>
        <w:trPr>
          <w:trHeight w:val="549"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2018</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Nigerian Code of Corporate Governance (NCCG)</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Principles-based for all companies (Financial Reporting Council of Nigeria, 2018)</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Broadened accountability; multiplicity affects bank practice and risk.</w:t>
            </w:r>
          </w:p>
        </w:tc>
      </w:tr>
      <w:tr>
        <w:trPr>
          <w:trHeight w:val="364" w:hRule="atLeast"/>
        </w:trPr>
        <w:tc>
          <w:tcPr>
            <w:tcW w:w="21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2023</w:t>
            </w:r>
          </w:p>
        </w:tc>
        <w:tc>
          <w:tcPr>
            <w:tcW w:w="301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CBN Guidelines</w:t>
            </w:r>
          </w:p>
        </w:tc>
        <w:tc>
          <w:tcPr>
            <w:tcW w:w="377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Updated board, risk, transparency mandates (CBN, 2023)</w:t>
            </w:r>
          </w:p>
        </w:tc>
        <w:tc>
          <w:tcPr>
            <w:tcW w:w="49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Strengthens audit and risk management but highlights enforcement gaps.</w:t>
            </w:r>
          </w:p>
        </w:tc>
      </w:tr>
    </w:tbl>
    <w:p>
      <w:pPr>
        <w:pStyle w:val="Normal"/>
        <w:suppressAutoHyphens w:val="false"/>
        <w:spacing w:lineRule="auto" w:line="240" w:before="280" w:after="280"/>
        <w:jc w:val="start"/>
        <w:rPr>
          <w:rFonts w:ascii="Times New Roman" w:hAnsi="Times New Roman"/>
        </w:rPr>
      </w:pPr>
      <w:r/>
      <w:r>
        <w:rPr>
          <w:rFonts w:ascii="Times New Roman" w:hAnsi="Times New Roman"/>
        </w:rPr>
        <w:t>Table 2.1: Timeline of Key Regulatory Developments in Nigerian Corporate Governance</w:t>
        <w:br/>
      </w:r>
    </w:p>
    <w:p>
      <w:pPr>
        <w:sectPr>
          <w:footerReference w:type="default" r:id="rId16"/>
          <w:footerReference w:type="first" r:id="rId17"/>
          <w:type w:val="nextPage"/>
          <w:pgSz w:orient="landscape" w:w="15840" w:h="12240"/>
          <w:pgMar w:left="1134" w:right="1134" w:gutter="0" w:header="0" w:top="1134" w:footer="0" w:bottom="1134"/>
          <w:pgNumType w:fmt="decimal"/>
          <w:formProt w:val="false"/>
          <w:textDirection w:val="lrTb"/>
          <w:docGrid w:type="default" w:linePitch="326" w:charSpace="0"/>
        </w:sectPr>
        <w:pStyle w:val="Normal"/>
        <w:suppressAutoHyphens w:val="false"/>
        <w:spacing w:lineRule="auto" w:line="240" w:before="280" w:after="0"/>
        <w:jc w:val="start"/>
        <w:rPr>
          <w:rFonts w:ascii="Times New Roman" w:hAnsi="Times New Roman"/>
        </w:rPr>
      </w:pPr>
      <w:r>
        <w:rPr>
          <w:rFonts w:ascii="Times New Roman" w:hAnsi="Times New Roman"/>
        </w:rPr>
        <w:br/>
        <w:t>Note: Adapted from Adegbite et al. (2012), Elias (2024), and recent updates from Ojo and Ojo (2025). Impacts highlight ties to transparency, accountability, bank practice, risk management, and audit committees.</w:t>
      </w:r>
    </w:p>
    <w:p>
      <w:pPr>
        <w:pStyle w:val="BodyText"/>
        <w:rPr>
          <w:rFonts w:ascii="Times New Roman" w:hAnsi="Times New Roman"/>
        </w:rPr>
      </w:pPr>
      <w:r>
        <w:rPr>
          <w:rStyle w:val="Strong"/>
          <w:rFonts w:ascii="Times New Roman" w:hAnsi="Times New Roman"/>
        </w:rPr>
        <w:t>2.2.3 Post-Independence: Regulatory Adaptations and Challenges</w:t>
      </w:r>
    </w:p>
    <w:p>
      <w:pPr>
        <w:pStyle w:val="BodyText"/>
        <w:spacing w:lineRule="auto" w:line="480"/>
        <w:ind w:hanging="0" w:start="0" w:end="0"/>
        <w:rPr>
          <w:rFonts w:ascii="Times New Roman" w:hAnsi="Times New Roman"/>
        </w:rPr>
      </w:pPr>
      <w:r>
        <w:rPr>
          <w:rFonts w:ascii="Times New Roman" w:hAnsi="Times New Roman"/>
        </w:rPr>
        <w:t xml:space="preserve">Following independence in 1960, Nigeria inherited a colonial legal infrastructure ill-suited to its diverse economic and cultural landscape, posing significant challenges to developing a cohesive governance system (Udo, 2020). Policymakers sought to modernize governance through legislation like the Companies Act of 1968 and, later, the Companies and Allied Matters Act (CAMA) 2020, aiming to align corporate practices with economic growth and foreign investment goals (Elias, 2024). However, limited institutional capacity and the prioritization of legal continuity over reform perpetuated a fragmented framework (Ugochukwu, 2000). Pre-1986, the Nigerian government’s dual role as bank owner and regulator created entrenched conflicts of interest, fostering politically motivated appointments and weak accountability (Chinweoda et al., 2020). State-controlled banks, dominant before the Structural Adjustment Programme (SAP) of 1986–1993, were often led by unqualified executives appointed for political loyalty rather than </w:t>
      </w:r>
      <w:r>
        <w:rPr>
          <w:rStyle w:val="Strong"/>
          <w:rFonts w:ascii="Times New Roman" w:hAnsi="Times New Roman"/>
        </w:rPr>
        <w:t>management qualifications</w:t>
      </w:r>
      <w:r>
        <w:rPr>
          <w:rFonts w:ascii="Times New Roman" w:hAnsi="Times New Roman"/>
        </w:rPr>
        <w:t xml:space="preserve">, undermining strategic oversight and ethical compliance (Ugochukwu, 2000). Chinweoda et al. (2020) highlight that this cronyism led to mismanagement and insider abuses, contributing to early bank failures and setting a precedent for governance lapses. The SAP’s divestiture of state shares aimed to liberalize the sector but failed to dismantle the culture of political patronage, as politically connected appointees continued to dominate boards and management, weakening accountability mechanisms (Sanusi, 2014). This legacy of government interference exacerbated agency problems, with managers prioritizing personal or political interests over stakeholder welfare, a pattern linked to high NPLs in </w:t>
      </w:r>
      <w:r>
        <w:rPr>
          <w:rStyle w:val="Strong"/>
          <w:rFonts w:ascii="Times New Roman" w:hAnsi="Times New Roman"/>
        </w:rPr>
        <w:t>deposit money banks</w:t>
      </w:r>
      <w:r>
        <w:rPr>
          <w:rFonts w:ascii="Times New Roman" w:hAnsi="Times New Roman"/>
        </w:rPr>
        <w:t xml:space="preserve"> like Intercontinental Bank (Owolabi, 2013). The absence of robust regulatory enforcement further entrenched these issues, as agencies like the CBN lacked the capacity to curb governance violations, contributing to systemic instability (Nwoke et al., 2023). </w:t>
      </w:r>
      <w:r>
        <w:rPr>
          <w:rStyle w:val="Strong"/>
          <w:rFonts w:ascii="Times New Roman" w:hAnsi="Times New Roman"/>
        </w:rPr>
        <w:t>To deepen this discussion, Ojo and Ojo (2024) argue that post-independence adaptations have failed to fully integrate indices of practice and audit committee independence, leading to ongoing deficiencies in disclosure and compliance that perpetuate default risks.</w:t>
      </w:r>
      <w:r>
        <w:rPr>
          <w:rFonts w:ascii="Times New Roman" w:hAnsi="Times New Roman"/>
        </w:rPr>
        <w:t xml:space="preserve"> The 1968 Companies Act introduced audited accounts and minority rights, enhancing </w:t>
      </w:r>
      <w:r>
        <w:rPr>
          <w:rStyle w:val="Strong"/>
          <w:rFonts w:ascii="Times New Roman" w:hAnsi="Times New Roman"/>
        </w:rPr>
        <w:t>disclosure</w:t>
      </w:r>
      <w:r>
        <w:rPr>
          <w:rFonts w:ascii="Times New Roman" w:hAnsi="Times New Roman"/>
        </w:rPr>
        <w:t xml:space="preserve">, while CAMA 1990 strengthened board duties and audit requirements (Ayua, 1984; CAMA, 2004), but </w:t>
      </w:r>
      <w:r>
        <w:rPr>
          <w:rStyle w:val="Strong"/>
          <w:rFonts w:ascii="Times New Roman" w:hAnsi="Times New Roman"/>
        </w:rPr>
        <w:t>enforcement consistency</w:t>
      </w:r>
      <w:r>
        <w:rPr>
          <w:rFonts w:ascii="Times New Roman" w:hAnsi="Times New Roman"/>
        </w:rPr>
        <w:t xml:space="preserve"> remained weak due to judicial inefficiencies (Oman, 2001).</w:t>
      </w:r>
    </w:p>
    <w:p>
      <w:pPr>
        <w:pStyle w:val="BodyText"/>
        <w:spacing w:lineRule="auto" w:line="480"/>
        <w:ind w:hanging="0" w:start="0" w:end="0"/>
        <w:rPr>
          <w:rFonts w:ascii="Times New Roman" w:hAnsi="Times New Roman"/>
        </w:rPr>
      </w:pPr>
      <w:r>
        <w:rPr>
          <w:rStyle w:val="Strong"/>
          <w:rFonts w:ascii="Times New Roman" w:hAnsi="Times New Roman"/>
        </w:rPr>
        <w:t>2.2.4 The Legacy in the Post-2004 Consolidation Era</w:t>
      </w:r>
    </w:p>
    <w:p>
      <w:pPr>
        <w:pStyle w:val="BodyText"/>
        <w:spacing w:lineRule="auto" w:line="480"/>
        <w:ind w:hanging="0" w:start="0" w:end="0"/>
        <w:rPr>
          <w:rFonts w:ascii="Times New Roman" w:hAnsi="Times New Roman"/>
        </w:rPr>
      </w:pPr>
      <w:r>
        <w:rPr>
          <w:rFonts w:ascii="Times New Roman" w:hAnsi="Times New Roman"/>
        </w:rPr>
        <w:t xml:space="preserve">The historical legacies of colonial misalignment and pre-1986 government interference remain central to Nigeria’s contemporary </w:t>
      </w:r>
      <w:r>
        <w:rPr>
          <w:rStyle w:val="Strong"/>
          <w:rFonts w:ascii="Times New Roman" w:hAnsi="Times New Roman"/>
        </w:rPr>
        <w:t>deposit money banking</w:t>
      </w:r>
      <w:r>
        <w:rPr>
          <w:rFonts w:ascii="Times New Roman" w:hAnsi="Times New Roman"/>
        </w:rPr>
        <w:t xml:space="preserve"> governance challenges, particularly board inefficiencies post-2004 consolidation. The 2004 consolidation, reducing banks from 89 to 24 to enhance resilience, exposed and amplified governance weaknesses rooted in historical discontinuities (Kafidipe, 2021). Adegbite et al. (2012) argue that the colonial-era imposition of foreign governance models, compounded by post-independence regulatory layering, created a system ill-equipped to address Nigeria’s unique context. This is evident in the persistence of board structures lacking </w:t>
      </w:r>
      <w:r>
        <w:rPr>
          <w:rStyle w:val="Strong"/>
          <w:rFonts w:ascii="Times New Roman" w:hAnsi="Times New Roman"/>
        </w:rPr>
        <w:t>independence</w:t>
      </w:r>
      <w:r>
        <w:rPr>
          <w:rFonts w:ascii="Times New Roman" w:hAnsi="Times New Roman"/>
        </w:rPr>
        <w:t xml:space="preserve">, with 61% of </w:t>
      </w:r>
      <w:r>
        <w:rPr>
          <w:rStyle w:val="Strong"/>
          <w:rFonts w:ascii="Times New Roman" w:hAnsi="Times New Roman"/>
        </w:rPr>
        <w:t>deposit money banks</w:t>
      </w:r>
      <w:r>
        <w:rPr>
          <w:rFonts w:ascii="Times New Roman" w:hAnsi="Times New Roman"/>
        </w:rPr>
        <w:t xml:space="preserve"> missing independent nomination committees, allowing concentrated ownership to dominate appointments (Ogbechie, 2016). The Oceanic Bank collapse in 2009 exemplifies this, where family-controlled boards, echoing colonial-era centralized control, facilitated insider loans constituting 75% of NPLs, driven by unqualified leadership (Sanusi, 2009). The legacy of politically motivated appointments continues to undermine </w:t>
      </w:r>
      <w:r>
        <w:rPr>
          <w:rStyle w:val="Strong"/>
          <w:rFonts w:ascii="Times New Roman" w:hAnsi="Times New Roman"/>
        </w:rPr>
        <w:t>management qualifications</w:t>
      </w:r>
      <w:r>
        <w:rPr>
          <w:rFonts w:ascii="Times New Roman" w:hAnsi="Times New Roman"/>
        </w:rPr>
        <w:t xml:space="preserve">, with Nwoko et al. (2022) noting that unqualified directors, often selected for political ties, weaken risk oversight, contributing to NPL ratios of 20% in 2017 against the CBN’s 5% threshold (Adegboye, 2020). Regulatory multiplicity, a direct outcome of post-independence layering of codes like CAMA 2020, NCCG 2018, CBN Guidelines 2023, and SEC Code 2011, perpetuates colonial fragmentation by creating ambiguity that banks exploit to evade accountability (Abdulmalik &amp; Ahmad, 2020). For instance, disparities in board composition and </w:t>
      </w:r>
      <w:r>
        <w:rPr>
          <w:rStyle w:val="Strong"/>
          <w:rFonts w:ascii="Times New Roman" w:hAnsi="Times New Roman"/>
        </w:rPr>
        <w:t>enforcement approaches</w:t>
      </w:r>
      <w:r>
        <w:rPr>
          <w:rFonts w:ascii="Times New Roman" w:hAnsi="Times New Roman"/>
        </w:rPr>
        <w:t xml:space="preserve"> across these codes enable selective compliance, as seen in banks like Intercontinental and Bank PHB, where weak boards failed to curb risky lending (Owolabi, 2013). These governance failures, rooted in historical legacies, drive default risk by undermining </w:t>
      </w:r>
      <w:r>
        <w:rPr>
          <w:rStyle w:val="Strong"/>
          <w:rFonts w:ascii="Times New Roman" w:hAnsi="Times New Roman"/>
        </w:rPr>
        <w:t>disclosure and practice</w:t>
      </w:r>
      <w:r>
        <w:rPr>
          <w:rFonts w:ascii="Times New Roman" w:hAnsi="Times New Roman"/>
        </w:rPr>
        <w:t xml:space="preserve">, necessitating context-specific reforms to strengthen </w:t>
      </w:r>
      <w:r>
        <w:rPr>
          <w:rStyle w:val="Strong"/>
          <w:rFonts w:ascii="Times New Roman" w:hAnsi="Times New Roman"/>
        </w:rPr>
        <w:t>board independence</w:t>
      </w:r>
      <w:r>
        <w:rPr>
          <w:rFonts w:ascii="Times New Roman" w:hAnsi="Times New Roman"/>
        </w:rPr>
        <w:t xml:space="preserve"> and </w:t>
      </w:r>
      <w:r>
        <w:rPr>
          <w:rStyle w:val="Strong"/>
          <w:rFonts w:ascii="Times New Roman" w:hAnsi="Times New Roman"/>
        </w:rPr>
        <w:t>harmonize regulations</w:t>
      </w:r>
      <w:r>
        <w:rPr>
          <w:rFonts w:ascii="Times New Roman" w:hAnsi="Times New Roman"/>
        </w:rPr>
        <w:t xml:space="preserve"> (Osemeke &amp; Adegbite, 2016). </w:t>
      </w:r>
      <w:r>
        <w:rPr>
          <w:rStyle w:val="Strong"/>
          <w:rFonts w:ascii="Times New Roman" w:hAnsi="Times New Roman"/>
        </w:rPr>
        <w:t>Recent contributions by Afolabi and Afolabi (2024) add depth, showing how these historical evolutions continue to affect audit committee effectiveness and overall practice index, directly impacting disclosure and compliance.</w:t>
      </w:r>
      <w:r>
        <w:rPr>
          <w:rFonts w:ascii="Times New Roman" w:hAnsi="Times New Roman"/>
        </w:rPr>
        <w:t xml:space="preserve"> The 2003 SEC Code, 2006 CBN Code for banks, 2011 SEC Code, and 2018 NCCG represent efforts to address these legacies, emphasizing </w:t>
      </w:r>
      <w:r>
        <w:rPr>
          <w:rStyle w:val="Strong"/>
          <w:rFonts w:ascii="Times New Roman" w:hAnsi="Times New Roman"/>
        </w:rPr>
        <w:t>management qualifications</w:t>
      </w:r>
      <w:r>
        <w:rPr>
          <w:rFonts w:ascii="Times New Roman" w:hAnsi="Times New Roman"/>
        </w:rPr>
        <w:t xml:space="preserve">, risk management, and </w:t>
      </w:r>
      <w:r>
        <w:rPr>
          <w:rStyle w:val="Strong"/>
          <w:rFonts w:ascii="Times New Roman" w:hAnsi="Times New Roman"/>
        </w:rPr>
        <w:t>audit committee independence</w:t>
      </w:r>
      <w:r>
        <w:rPr>
          <w:rFonts w:ascii="Times New Roman" w:hAnsi="Times New Roman"/>
        </w:rPr>
        <w:t xml:space="preserve">, but </w:t>
      </w:r>
      <w:r>
        <w:rPr>
          <w:rStyle w:val="Strong"/>
          <w:rFonts w:ascii="Times New Roman" w:hAnsi="Times New Roman"/>
        </w:rPr>
        <w:t>regulatory multiplicity</w:t>
      </w:r>
      <w:r>
        <w:rPr>
          <w:rFonts w:ascii="Times New Roman" w:hAnsi="Times New Roman"/>
        </w:rPr>
        <w:t xml:space="preserve"> persists (Financial Reporting Council of Nigeria, 2018; CBN, 2014).</w:t>
      </w:r>
    </w:p>
    <w:p>
      <w:pPr>
        <w:pStyle w:val="BodyText"/>
        <w:spacing w:lineRule="auto" w:line="480"/>
        <w:ind w:hanging="0" w:start="0" w:end="0"/>
        <w:rPr>
          <w:rFonts w:ascii="Times New Roman" w:hAnsi="Times New Roman"/>
        </w:rPr>
      </w:pPr>
      <w:r>
        <w:rPr>
          <w:rStyle w:val="Strong"/>
          <w:rFonts w:ascii="Times New Roman" w:hAnsi="Times New Roman"/>
        </w:rPr>
        <w:t>2.2.5 Ties to CG Indices</w:t>
      </w:r>
    </w:p>
    <w:p>
      <w:pPr>
        <w:pStyle w:val="BodyText"/>
        <w:spacing w:lineRule="auto" w:line="480"/>
        <w:ind w:hanging="0" w:start="0" w:end="0"/>
        <w:rPr>
          <w:rFonts w:ascii="Times New Roman" w:hAnsi="Times New Roman"/>
        </w:rPr>
      </w:pPr>
      <w:r>
        <w:rPr>
          <w:rFonts w:ascii="Times New Roman" w:hAnsi="Times New Roman"/>
        </w:rPr>
        <w:t xml:space="preserve">Historical legacies in Nigeria's </w:t>
      </w:r>
      <w:r>
        <w:rPr>
          <w:rStyle w:val="Strong"/>
          <w:rFonts w:ascii="Times New Roman" w:hAnsi="Times New Roman"/>
        </w:rPr>
        <w:t>deposit money banking</w:t>
      </w:r>
      <w:r>
        <w:rPr>
          <w:rFonts w:ascii="Times New Roman" w:hAnsi="Times New Roman"/>
        </w:rPr>
        <w:t xml:space="preserve"> governance profoundly influence the core </w:t>
      </w:r>
      <w:r>
        <w:rPr>
          <w:rStyle w:val="Strong"/>
          <w:rFonts w:ascii="Times New Roman" w:hAnsi="Times New Roman"/>
        </w:rPr>
        <w:t>indices of disclosure, practice, and compliance</w:t>
      </w:r>
      <w:r>
        <w:rPr>
          <w:rFonts w:ascii="Times New Roman" w:hAnsi="Times New Roman"/>
        </w:rPr>
        <w:t xml:space="preserve">, as well as </w:t>
      </w:r>
      <w:r>
        <w:rPr>
          <w:rStyle w:val="Strong"/>
          <w:rFonts w:ascii="Times New Roman" w:hAnsi="Times New Roman"/>
        </w:rPr>
        <w:t>audit committee independence and management qualifications</w:t>
      </w:r>
      <w:r>
        <w:rPr>
          <w:rFonts w:ascii="Times New Roman" w:hAnsi="Times New Roman"/>
        </w:rPr>
        <w:t xml:space="preserve">. Pre-colonial communal trust supported </w:t>
      </w:r>
      <w:r>
        <w:rPr>
          <w:rStyle w:val="Strong"/>
          <w:rFonts w:ascii="Times New Roman" w:hAnsi="Times New Roman"/>
        </w:rPr>
        <w:t>disclosure</w:t>
      </w:r>
      <w:r>
        <w:rPr>
          <w:rFonts w:ascii="Times New Roman" w:hAnsi="Times New Roman"/>
        </w:rPr>
        <w:t xml:space="preserve"> through reputational sanctions but was eroded by colonial individualism, leading to current opacity in </w:t>
      </w:r>
      <w:r>
        <w:rPr>
          <w:rStyle w:val="Strong"/>
          <w:rFonts w:ascii="Times New Roman" w:hAnsi="Times New Roman"/>
        </w:rPr>
        <w:t>bank practices</w:t>
      </w:r>
      <w:r>
        <w:rPr>
          <w:rFonts w:ascii="Times New Roman" w:hAnsi="Times New Roman"/>
        </w:rPr>
        <w:t xml:space="preserve"> (Elias, 2024). Colonial impositions fostered weak accountability, as centralized control marginalized local oversight, perpetuating cronyism in post-independence boards (Agamah, 2024). Post-independence layering exacerbated </w:t>
      </w:r>
      <w:r>
        <w:rPr>
          <w:rStyle w:val="Strong"/>
          <w:rFonts w:ascii="Times New Roman" w:hAnsi="Times New Roman"/>
        </w:rPr>
        <w:t>regulatory multiplicity</w:t>
      </w:r>
      <w:r>
        <w:rPr>
          <w:rFonts w:ascii="Times New Roman" w:hAnsi="Times New Roman"/>
        </w:rPr>
        <w:t xml:space="preserve">, undermining </w:t>
      </w:r>
      <w:r>
        <w:rPr>
          <w:rStyle w:val="Strong"/>
          <w:rFonts w:ascii="Times New Roman" w:hAnsi="Times New Roman"/>
        </w:rPr>
        <w:t>practice indices</w:t>
      </w:r>
      <w:r>
        <w:rPr>
          <w:rFonts w:ascii="Times New Roman" w:hAnsi="Times New Roman"/>
        </w:rPr>
        <w:t xml:space="preserve"> by enabling selective compliance (Abdulmalik &amp; Ahmad, 2020). </w:t>
      </w:r>
      <w:r>
        <w:rPr>
          <w:rStyle w:val="Strong"/>
          <w:rFonts w:ascii="Times New Roman" w:hAnsi="Times New Roman"/>
        </w:rPr>
        <w:t>Audit committees</w:t>
      </w:r>
      <w:r>
        <w:rPr>
          <w:rFonts w:ascii="Times New Roman" w:hAnsi="Times New Roman"/>
        </w:rPr>
        <w:t xml:space="preserve">, mandated in CAMA and strengthened in 2018 NCCG, remain compromised by unqualified appointments, tying to accountability gaps (Adegbite, 2014). </w:t>
      </w:r>
      <w:r>
        <w:rPr>
          <w:rStyle w:val="Strong"/>
          <w:rFonts w:ascii="Times New Roman" w:hAnsi="Times New Roman"/>
        </w:rPr>
        <w:t>Bank practice</w:t>
      </w:r>
      <w:r>
        <w:rPr>
          <w:rFonts w:ascii="Times New Roman" w:hAnsi="Times New Roman"/>
        </w:rPr>
        <w:t xml:space="preserve"> suffers from historical cronyism, with 61% lacking independent nomination committees (Ogbechie, 2016). </w:t>
      </w:r>
      <w:r>
        <w:rPr>
          <w:rStyle w:val="Strong"/>
          <w:rFonts w:ascii="Times New Roman" w:hAnsi="Times New Roman"/>
        </w:rPr>
        <w:t>These ties highlight the need for reforms to restore indigenous accountability elements in modern frameworks, addressing RQ1–RQ4 by linking historical legacies to current governance challenges in disclosure, practice, compliance, audit committee independence, and management qualifications.</w:t>
      </w:r>
    </w:p>
    <w:p>
      <w:pPr>
        <w:pStyle w:val="BodyText"/>
        <w:spacing w:lineRule="auto" w:line="480"/>
        <w:ind w:hanging="0" w:start="0" w:end="0"/>
        <w:rPr>
          <w:rFonts w:ascii="Times New Roman" w:hAnsi="Times New Roman"/>
        </w:rPr>
      </w:pPr>
      <w:r>
        <w:rPr>
          <w:rFonts w:ascii="Times New Roman" w:hAnsi="Times New Roman"/>
        </w:rPr>
        <w:t xml:space="preserve">The corporate governance challenges in Nigeria’s </w:t>
      </w:r>
      <w:r>
        <w:rPr>
          <w:rStyle w:val="Strong"/>
          <w:rFonts w:ascii="Times New Roman" w:hAnsi="Times New Roman"/>
        </w:rPr>
        <w:t>deposit money banking</w:t>
      </w:r>
      <w:r>
        <w:rPr>
          <w:rFonts w:ascii="Times New Roman" w:hAnsi="Times New Roman"/>
        </w:rPr>
        <w:t xml:space="preserve"> sector are deeply entrenched in its historical evolution, from pre-colonial communal systems to colonial legal impositions and post-independence regulatory failures. The Companies Ordinance of 1912 and pre-1986 government interference fostered weak accountability and politically motivated appointments, legacies that persist in post-2004 consolidation board inefficiencies, driving high NPLs and systemic instability (Elias, 2024; Chinweoda et al., 2020; Adegbite et al., 2012). The colonial-era disconnect and post-independence cronyism continue to undermine </w:t>
      </w:r>
      <w:r>
        <w:rPr>
          <w:rStyle w:val="Strong"/>
          <w:rFonts w:ascii="Times New Roman" w:hAnsi="Times New Roman"/>
        </w:rPr>
        <w:t>board independence</w:t>
      </w:r>
      <w:r>
        <w:rPr>
          <w:rFonts w:ascii="Times New Roman" w:hAnsi="Times New Roman"/>
        </w:rPr>
        <w:t xml:space="preserve"> and </w:t>
      </w:r>
      <w:r>
        <w:rPr>
          <w:rStyle w:val="Strong"/>
          <w:rFonts w:ascii="Times New Roman" w:hAnsi="Times New Roman"/>
        </w:rPr>
        <w:t>regulatory coherence</w:t>
      </w:r>
      <w:r>
        <w:rPr>
          <w:rFonts w:ascii="Times New Roman" w:hAnsi="Times New Roman"/>
        </w:rPr>
        <w:t xml:space="preserve">, as seen in cases like Oceanic Bank (Sanusi, 2009). This section underscores the need for tailored reforms, such as independent nomination committees and </w:t>
      </w:r>
      <w:r>
        <w:rPr>
          <w:rStyle w:val="Strong"/>
          <w:rFonts w:ascii="Times New Roman" w:hAnsi="Times New Roman"/>
        </w:rPr>
        <w:t>harmonized regulatory frameworks</w:t>
      </w:r>
      <w:r>
        <w:rPr>
          <w:rFonts w:ascii="Times New Roman" w:hAnsi="Times New Roman"/>
        </w:rPr>
        <w:t xml:space="preserve">, to address these historical legacies and mitigate default risk. </w:t>
      </w:r>
      <w:r>
        <w:rPr>
          <w:rStyle w:val="Strong"/>
          <w:rFonts w:ascii="Times New Roman" w:hAnsi="Times New Roman"/>
        </w:rPr>
        <w:t>The discussion sets the foundation for subsequent sections analyzing specific governance mechanisms—disclosure, practice, compliance, audit committee independence, and management qualifications—and their impact on NPLs in Nigeria’s deposit money banking sector.</w:t>
      </w:r>
      <w:r>
        <w:rPr>
          <w:rFonts w:ascii="Times New Roman" w:hAnsi="Times New Roman"/>
        </w:rPr>
        <w:t xml:space="preserve"> </w:t>
      </w:r>
      <w:r>
        <w:rPr>
          <w:rStyle w:val="Strong"/>
          <w:rFonts w:ascii="Times New Roman" w:hAnsi="Times New Roman"/>
        </w:rPr>
        <w:t>Furthermore, integrating recent insights from Ojo and Ojo (2024), the evolution of governance structures highlights ongoing deficiencies in practice indices and audit committee independence, reinforcing the need for enhanced disclosure and compliance in bank practices.</w:t>
      </w:r>
    </w:p>
    <w:p>
      <w:pPr>
        <w:pStyle w:val="Normal"/>
        <w:rPr>
          <w:rFonts w:ascii="Times New Roman" w:hAnsi="Times New Roman"/>
        </w:rPr>
      </w:pPr>
      <w:r>
        <w:rPr>
          <w:rFonts w:ascii="Times New Roman" w:hAnsi="Times New Roman"/>
        </w:rPr>
      </w:r>
    </w:p>
    <w:p>
      <w:pPr>
        <w:pStyle w:val="Normal"/>
        <w:rPr/>
      </w:pPr>
      <w:r>
        <w:rPr/>
      </w:r>
    </w:p>
    <w:p>
      <w:pPr>
        <w:pStyle w:val="Normal"/>
        <w:rPr/>
      </w:pPr>
      <w:r>
        <w:rPr/>
      </w:r>
      <w:r>
        <w:br w:type="page"/>
      </w:r>
    </w:p>
    <w:p>
      <w:pPr>
        <w:pStyle w:val="Heading2"/>
        <w:spacing w:before="0" w:after="0"/>
        <w:rPr/>
      </w:pPr>
      <w:bookmarkStart w:id="164" w:name="_Toc203392030"/>
      <w:bookmarkStart w:id="165" w:name="_Toc202193603"/>
      <w:bookmarkStart w:id="166" w:name="_Toc205059637"/>
      <w:bookmarkStart w:id="167" w:name="_Toc205059576"/>
      <w:bookmarkStart w:id="168" w:name="_Toc205059482"/>
      <w:bookmarkStart w:id="169" w:name="_Toc205059265"/>
      <w:bookmarkStart w:id="170" w:name="_Toc203671466"/>
      <w:bookmarkStart w:id="171" w:name="_Toc203671416"/>
      <w:bookmarkStart w:id="172" w:name="_Toc203584762"/>
      <w:bookmarkStart w:id="173" w:name="_Toc203392094"/>
      <w:r>
        <w:rPr/>
        <w:t>2.3 Regulatory Multiplicity and Enforcement Challenges</w:t>
      </w:r>
      <w:bookmarkEnd w:id="164"/>
      <w:bookmarkEnd w:id="165"/>
      <w:bookmarkEnd w:id="166"/>
      <w:bookmarkEnd w:id="167"/>
      <w:bookmarkEnd w:id="168"/>
      <w:bookmarkEnd w:id="169"/>
      <w:bookmarkEnd w:id="170"/>
      <w:bookmarkEnd w:id="171"/>
      <w:bookmarkEnd w:id="172"/>
      <w:bookmarkEnd w:id="173"/>
    </w:p>
    <w:p>
      <w:pPr>
        <w:pStyle w:val="BodyText"/>
        <w:spacing w:lineRule="auto" w:line="480"/>
        <w:ind w:hanging="0" w:start="0" w:end="0"/>
        <w:rPr/>
      </w:pPr>
      <w:r>
        <w:rPr/>
        <w:t xml:space="preserve">Nigeria’s </w:t>
      </w:r>
      <w:r>
        <w:rPr>
          <w:rStyle w:val="Strong"/>
        </w:rPr>
        <w:t>deposit money banking</w:t>
      </w:r>
      <w:r>
        <w:rPr/>
        <w:t xml:space="preserve"> sector operates within a fragmented corporate governance framework characterized by </w:t>
      </w:r>
      <w:r>
        <w:rPr>
          <w:rStyle w:val="Strong"/>
        </w:rPr>
        <w:t>regulatory multiplicity</w:t>
      </w:r>
      <w:r>
        <w:rPr/>
        <w:t xml:space="preserve">, which undermines </w:t>
      </w:r>
      <w:r>
        <w:rPr>
          <w:rStyle w:val="Strong"/>
        </w:rPr>
        <w:t>compliance, disclosure, and practice</w:t>
      </w:r>
      <w:r>
        <w:rPr/>
        <w:t xml:space="preserve">, thereby exacerbating default risk as evidenced by elevated non-performing loan (NPL) ratios (Abdulmalik &amp; Ahmad, 2020). The coexistence of multiple, often conflicting, regulatory codes—such as the Companies and Allied Matters Act (CAMA) 2020, the Nigerian Code of Corporate Governance (NCCG) 2018, the Central Bank of Nigeria (CBN) Corporate Governance Guidelines 2023, and the Securities and Exchange Commission (SEC) Code of 2011—creates ambiguity that banks exploit to evade rigorous standards, contributing to systemic instability (Osemeke &amp; Adegbite, 2016). Weak </w:t>
      </w:r>
      <w:r>
        <w:rPr>
          <w:rStyle w:val="Strong"/>
        </w:rPr>
        <w:t>enforcement consistency</w:t>
      </w:r>
      <w:r>
        <w:rPr/>
        <w:t xml:space="preserve"> by regulatory bodies, compounded by institutional constraints, further aggravates these challenges, as seen in the 2009 banking crisis, where governance lapses led to NPLs peaking at 37% (Sanusi, 2009; Nwosu, 2020). This section examines studies on Nigeria’s fragmented regulatory framework and its impact on </w:t>
      </w:r>
      <w:r>
        <w:rPr>
          <w:rStyle w:val="Strong"/>
        </w:rPr>
        <w:t>compliance</w:t>
      </w:r>
      <w:r>
        <w:rPr/>
        <w:t xml:space="preserve">, reviews global literature on </w:t>
      </w:r>
      <w:r>
        <w:rPr>
          <w:rStyle w:val="Strong"/>
        </w:rPr>
        <w:t>regulatory harmonization and enforcement consistency</w:t>
      </w:r>
      <w:r>
        <w:rPr/>
        <w:t xml:space="preserve">, and links these to the need for context-specific reforms to mitigate default risk in Nigeria’s </w:t>
      </w:r>
      <w:r>
        <w:rPr>
          <w:rStyle w:val="Strong"/>
        </w:rPr>
        <w:t>deposit money banking</w:t>
      </w:r>
      <w:r>
        <w:rPr/>
        <w:t xml:space="preserve"> sector. </w:t>
      </w:r>
      <w:r>
        <w:rPr>
          <w:rStyle w:val="Strong"/>
        </w:rPr>
        <w:t>To expand, recent research by Ojo and Ojo (2024) emphasizes how regulatory multiplicity affects practice indices and audit committee independence, directly impacting risk management and disclosure.</w:t>
      </w:r>
    </w:p>
    <w:p>
      <w:pPr>
        <w:pStyle w:val="BodyText"/>
        <w:spacing w:lineRule="auto" w:line="480"/>
        <w:ind w:hanging="0" w:start="0" w:end="0"/>
        <w:rPr/>
      </w:pPr>
      <w:r>
        <w:rPr>
          <w:rStyle w:val="Strong"/>
        </w:rPr>
        <w:t>2.3.1 The Fragmented Regulatory Landscape in Nigeria</w:t>
      </w:r>
    </w:p>
    <w:p>
      <w:pPr>
        <w:pStyle w:val="BodyText"/>
        <w:spacing w:lineRule="auto" w:line="480"/>
        <w:ind w:hanging="0" w:start="0" w:end="0"/>
        <w:rPr/>
      </w:pPr>
      <w:r>
        <w:rPr/>
        <w:t xml:space="preserve">The Nigerian </w:t>
      </w:r>
      <w:r>
        <w:rPr>
          <w:rStyle w:val="Strong"/>
        </w:rPr>
        <w:t>deposit money banking</w:t>
      </w:r>
      <w:r>
        <w:rPr/>
        <w:t xml:space="preserve"> sector is governed by a complex web of regulatory codes, each administered by different bodies, resulting in overlapping mandates and inconsistent compliance requirements (Abdulmalik &amp; Ahmad, 2020). CAMA 2020, overseen by the Corporate Affairs Commission (CAC), serves as the foundational legal framework for all registered companies, mandating board structures, shareholder rights, and annual reporting (Muse, </w:t>
      </w:r>
      <w:r>
        <w:rPr>
          <w:rStyle w:val="Strong"/>
        </w:rPr>
        <w:t>2024</w:t>
      </w:r>
      <w:r>
        <w:rPr/>
        <w:t xml:space="preserve">). However, its broad application often conflicts with sector-specific codes, creating confusion for banks (Osemeke &amp; Adegbite, 2016). The NCCG 2018, issued by the Financial Reporting Council of Nigeria (FRCN), adopts a principles-based “Apply and Explain” approach, allowing banks flexibility to justify non-compliance with governance principles like board diversity or whistleblowing frameworks (Nwaukwa, </w:t>
      </w:r>
      <w:r>
        <w:rPr>
          <w:rStyle w:val="Strong"/>
        </w:rPr>
        <w:t>2024</w:t>
      </w:r>
      <w:r>
        <w:rPr/>
        <w:t xml:space="preserve">). Abdulmalik and Ahmad (2020) argue that this discretionary approach enables banks to prioritize less stringent codes, undermining </w:t>
      </w:r>
      <w:r>
        <w:rPr>
          <w:rStyle w:val="Strong"/>
        </w:rPr>
        <w:t>disclosure and compliance</w:t>
      </w:r>
      <w:r>
        <w:rPr/>
        <w:t xml:space="preserve"> and contributing to financial misreporting, as seen in the 2009 crisis where banks like Oceanic concealed NPLs (Sanusi, 2009). </w:t>
      </w:r>
      <w:r>
        <w:rPr>
          <w:rStyle w:val="Strong"/>
        </w:rPr>
        <w:t>Expanding on this, Afolabi and Afolabi (2024) note that such multiplicity leads to deficiencies in practice indices, particularly in audit committee independence and risk management, which erode disclosure and compliance.</w:t>
      </w:r>
    </w:p>
    <w:p>
      <w:pPr>
        <w:pStyle w:val="BodyText"/>
        <w:spacing w:lineRule="auto" w:line="480"/>
        <w:ind w:hanging="0" w:start="0" w:end="0"/>
        <w:rPr/>
      </w:pPr>
      <w:r>
        <w:rPr/>
        <w:t xml:space="preserve">The CBN Corporate Governance Guidelines 2023, mandatory for </w:t>
      </w:r>
      <w:r>
        <w:rPr>
          <w:rStyle w:val="Strong"/>
        </w:rPr>
        <w:t>deposit money banks</w:t>
      </w:r>
      <w:r>
        <w:rPr/>
        <w:t xml:space="preserve">, emphasize </w:t>
      </w:r>
      <w:r>
        <w:rPr>
          <w:rStyle w:val="Strong"/>
        </w:rPr>
        <w:t>board independence, practice indices</w:t>
      </w:r>
      <w:r>
        <w:rPr/>
        <w:t xml:space="preserve">, and </w:t>
      </w:r>
      <w:r>
        <w:rPr>
          <w:rStyle w:val="Strong"/>
        </w:rPr>
        <w:t>disclosure</w:t>
      </w:r>
      <w:r>
        <w:rPr/>
        <w:t xml:space="preserve">, tailored to address past crises (Iwedi et al., 2024). Yet, these guidelines conflict with NCCG’s flexibility, particularly on issues like risk committee structures, leading to selective adherence (Odiase, </w:t>
      </w:r>
      <w:r>
        <w:rPr>
          <w:rStyle w:val="Strong"/>
        </w:rPr>
        <w:t>2024</w:t>
      </w:r>
      <w:r>
        <w:rPr/>
        <w:t xml:space="preserve">). Similarly, the SEC Code of 2011, aimed at protecting shareholder rights and ensuring </w:t>
      </w:r>
      <w:r>
        <w:rPr>
          <w:rStyle w:val="Strong"/>
        </w:rPr>
        <w:t>board independence</w:t>
      </w:r>
      <w:r>
        <w:rPr/>
        <w:t xml:space="preserve">, introduces stricter provisions, such as limits on interlocking directorships, which clash with CBN’s more lenient rules (Nwaukwa et al., 2024). Osemeke and Adegbite (2016) found that 67% of respondents in their research acknowledged significant disparities among these codes, with 80% noting their complexity hinders operational efficiency (see Figure 1.2). This </w:t>
      </w:r>
      <w:r>
        <w:rPr>
          <w:rStyle w:val="Strong"/>
        </w:rPr>
        <w:t>regulatory multiplicity</w:t>
      </w:r>
      <w:r>
        <w:rPr/>
        <w:t xml:space="preserve"> increases compliance costs, slows decision-making, and fosters agency problems, as managers exploit gaps to prioritize self-interest over stakeholder welfare, contributing to NPLs reaching 20% in 2017 against the CBN’s 5% threshold (Adegboye, 2020). </w:t>
      </w:r>
      <w:r>
        <w:rPr>
          <w:rStyle w:val="Strong"/>
        </w:rPr>
        <w:t>To add depth, Ojo and Ojo (2024) highlight how these conflicts affect practice indices, particularly in audit committee functions, leading to weakened risk management and disclosure.</w:t>
      </w:r>
      <w:r>
        <w:rPr/>
        <w:t xml:space="preserve"> </w:t>
      </w:r>
      <w:r>
        <w:rPr>
          <w:rStyle w:val="Strong"/>
        </w:rPr>
        <w:t>Recent developments in 2024, including the CBN's Banking Sector Recapitalization Programme requiring international banks to increase capital to N500 billion (CBN, 2024), further complicate this landscape, as new mandates layer onto existing codes without full harmonization.</w:t>
      </w:r>
    </w:p>
    <w:p>
      <w:pPr>
        <w:pStyle w:val="BodyText"/>
        <w:spacing w:lineRule="auto" w:line="480"/>
        <w:ind w:hanging="0" w:start="0" w:end="0"/>
        <w:rPr/>
      </w:pPr>
      <w:r>
        <w:rPr>
          <w:rStyle w:val="Strong"/>
        </w:rPr>
        <w:t>2.3.2 Conflicts and Inconsistencies Among Codes</w:t>
      </w:r>
    </w:p>
    <w:p>
      <w:pPr>
        <w:pStyle w:val="BodyText"/>
        <w:spacing w:lineRule="auto" w:line="480"/>
        <w:ind w:hanging="0" w:start="0" w:end="0"/>
        <w:rPr/>
      </w:pPr>
      <w:r>
        <w:rPr/>
        <w:t xml:space="preserve">The </w:t>
      </w:r>
      <w:r>
        <w:rPr>
          <w:rStyle w:val="Strong"/>
        </w:rPr>
        <w:t>multiplicity of regulatory codes</w:t>
      </w:r>
      <w:r>
        <w:rPr/>
        <w:t xml:space="preserve"> in Nigeria's </w:t>
      </w:r>
      <w:r>
        <w:rPr>
          <w:rStyle w:val="Strong"/>
        </w:rPr>
        <w:t>deposit money banking</w:t>
      </w:r>
      <w:r>
        <w:rPr/>
        <w:t xml:space="preserve"> sector creates specific conflicts that hinder effective governance and contribute to default risk. For example, CAMA 2020's legal enforcement through fines and court interventions contrasts with NCCG 2018's "Apply and Explain" flexibility, allowing banks to opt for less stringent interpretations of board diversity or remuneration policies (Osemeke &amp; Adegbite, 2016). The CBN Guidelines 2023 mandate strict board composition (e.g., 7-15 directors with at least 3 independent non-executives), while the SEC Code 2011 emphasizes shareholder approval for compensation, leading to inconsistencies in </w:t>
      </w:r>
      <w:r>
        <w:rPr>
          <w:rStyle w:val="Strong"/>
        </w:rPr>
        <w:t>enforcement approaches</w:t>
      </w:r>
      <w:r>
        <w:rPr/>
        <w:t xml:space="preserve"> (Abdulmalik &amp; Ahmad, 2020). These conflicts enable banks to "cherry-pick" rules, as noted by 80% of respondents in Osemeke and Adegbite (2016), undermining </w:t>
      </w:r>
      <w:r>
        <w:rPr>
          <w:rStyle w:val="Strong"/>
        </w:rPr>
        <w:t>disclosure and compliance</w:t>
      </w:r>
      <w:r>
        <w:rPr/>
        <w:t xml:space="preserve"> and facilitating financial misreporting.</w:t>
      </w:r>
    </w:p>
    <w:p>
      <w:pPr>
        <w:pStyle w:val="BodyText"/>
        <w:spacing w:lineRule="auto" w:line="480"/>
        <w:ind w:hanging="0" w:start="0" w:end="0"/>
        <w:rPr/>
      </w:pPr>
      <w:r>
        <w:rPr>
          <w:rStyle w:val="Strong"/>
        </w:rPr>
        <w:t>Table 2.1 expands on the original Table 1, summarizing key conflicts across the codes, highlighting how they affect corporate governance indices like disclosure, practice, compliance, and audit committee independence.</w:t>
      </w:r>
    </w:p>
    <w:p>
      <w:pPr>
        <w:pStyle w:val="Normal"/>
        <w:rPr/>
      </w:pPr>
      <w:r>
        <w:rPr/>
      </w:r>
    </w:p>
    <w:p>
      <w:pPr>
        <w:sectPr>
          <w:footerReference w:type="default" r:id="rId18"/>
          <w:footerReference w:type="first" r:id="rId19"/>
          <w:type w:val="nextPage"/>
          <w:pgSz w:w="12240" w:h="15840"/>
          <w:pgMar w:left="1134" w:right="1134" w:gutter="0" w:header="0" w:top="1134" w:footer="0" w:bottom="1134"/>
          <w:pgNumType w:fmt="decimal"/>
          <w:formProt w:val="false"/>
          <w:textDirection w:val="lrTb"/>
          <w:docGrid w:type="default" w:linePitch="326" w:charSpace="0"/>
        </w:sectPr>
        <w:pStyle w:val="Normal"/>
        <w:spacing w:lineRule="auto" w:line="240" w:before="0" w:after="0"/>
        <w:jc w:val="start"/>
        <w:rPr/>
      </w:pPr>
      <w:r>
        <w:rPr/>
      </w:r>
      <w:r>
        <w:br w:type="page"/>
      </w:r>
    </w:p>
    <w:tbl>
      <w:tblPr>
        <w:tblW w:w="13693" w:type="dxa"/>
        <w:jc w:val="start"/>
        <w:tblInd w:w="0" w:type="dxa"/>
        <w:tblLayout w:type="fixed"/>
        <w:tblCellMar>
          <w:top w:w="0" w:type="dxa"/>
          <w:start w:w="108" w:type="dxa"/>
          <w:bottom w:w="0" w:type="dxa"/>
          <w:end w:w="108" w:type="dxa"/>
        </w:tblCellMar>
      </w:tblPr>
      <w:tblGrid>
        <w:gridCol w:w="2078"/>
        <w:gridCol w:w="1242"/>
        <w:gridCol w:w="4193"/>
        <w:gridCol w:w="2745"/>
        <w:gridCol w:w="3435"/>
      </w:tblGrid>
      <w:tr>
        <w:trPr>
          <w:trHeight w:val="902" w:hRule="atLeast"/>
        </w:trPr>
        <w:tc>
          <w:tcPr>
            <w:tcW w:w="2078" w:type="dxa"/>
            <w:tcBorders>
              <w:top w:val="single" w:sz="4" w:space="0" w:color="FFE599"/>
              <w:start w:val="single" w:sz="4" w:space="0" w:color="FFE599"/>
              <w:bottom w:val="single" w:sz="12" w:space="0" w:color="FFC000"/>
              <w:end w:val="single" w:sz="4" w:space="0" w:color="FFE599"/>
            </w:tcBorders>
          </w:tcPr>
          <w:p>
            <w:pPr>
              <w:pStyle w:val="msonormal"/>
              <w:pageBreakBefore/>
              <w:widowControl/>
              <w:suppressAutoHyphens w:val="true"/>
              <w:spacing w:before="0" w:after="0"/>
              <w:rPr>
                <w:b/>
                <w:bCs/>
                <w:sz w:val="24"/>
                <w:szCs w:val="24"/>
                <w:lang w:val="en-GB" w:bidi="ar-SA"/>
              </w:rPr>
            </w:pPr>
            <w:r>
              <w:rPr>
                <w:b/>
                <w:bCs/>
                <w:sz w:val="24"/>
                <w:szCs w:val="24"/>
                <w:lang w:val="en-GB" w:bidi="ar-SA"/>
              </w:rPr>
              <w:t>Code/Regulation</w:t>
            </w:r>
          </w:p>
        </w:tc>
        <w:tc>
          <w:tcPr>
            <w:tcW w:w="1242" w:type="dxa"/>
            <w:tcBorders>
              <w:top w:val="single" w:sz="4" w:space="0" w:color="FFE599"/>
              <w:start w:val="single" w:sz="4" w:space="0" w:color="FFE599"/>
              <w:bottom w:val="single" w:sz="12" w:space="0" w:color="FFC000"/>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Regulator</w:t>
            </w:r>
          </w:p>
        </w:tc>
        <w:tc>
          <w:tcPr>
            <w:tcW w:w="4193" w:type="dxa"/>
            <w:tcBorders>
              <w:top w:val="single" w:sz="4" w:space="0" w:color="FFE599"/>
              <w:start w:val="single" w:sz="4" w:space="0" w:color="FFE599"/>
              <w:bottom w:val="single" w:sz="12" w:space="0" w:color="FFC000"/>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Key Provisions</w:t>
            </w:r>
          </w:p>
        </w:tc>
        <w:tc>
          <w:tcPr>
            <w:tcW w:w="2745" w:type="dxa"/>
            <w:tcBorders>
              <w:top w:val="single" w:sz="4" w:space="0" w:color="FFE599"/>
              <w:start w:val="single" w:sz="4" w:space="0" w:color="FFE599"/>
              <w:bottom w:val="single" w:sz="12" w:space="0" w:color="FFC000"/>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Conflicts with Other Codes</w:t>
            </w:r>
          </w:p>
        </w:tc>
        <w:tc>
          <w:tcPr>
            <w:tcW w:w="3435" w:type="dxa"/>
            <w:tcBorders>
              <w:top w:val="single" w:sz="4" w:space="0" w:color="FFE599"/>
              <w:start w:val="single" w:sz="4" w:space="0" w:color="FFE599"/>
              <w:bottom w:val="single" w:sz="12" w:space="0" w:color="FFC000"/>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Impact on CG Tenets</w:t>
            </w:r>
          </w:p>
        </w:tc>
      </w:tr>
      <w:tr>
        <w:trPr>
          <w:trHeight w:val="2289" w:hRule="atLeast"/>
        </w:trPr>
        <w:tc>
          <w:tcPr>
            <w:tcW w:w="2078"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CAMA 2020</w:t>
            </w:r>
          </w:p>
        </w:tc>
        <w:tc>
          <w:tcPr>
            <w:tcW w:w="1242"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CAC</w:t>
            </w:r>
          </w:p>
        </w:tc>
        <w:tc>
          <w:tcPr>
            <w:tcW w:w="4193"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w:t>
            </w:r>
            <w:r>
              <w:rPr>
                <w:sz w:val="24"/>
                <w:szCs w:val="24"/>
                <w:lang w:val="en-GB" w:bidi="ar-SA"/>
              </w:rPr>
              <w:t>2 directors; ≥1/3 INEDs for public companies; Audit committee mandatory with equal directors/shareholders; Legal enforcement with fines.</w:t>
            </w:r>
          </w:p>
        </w:tc>
        <w:tc>
          <w:tcPr>
            <w:tcW w:w="274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Conflicts with NCCG's flexibility on diversity; stricter than CBN on remuneration disclosure.</w:t>
            </w:r>
          </w:p>
        </w:tc>
        <w:tc>
          <w:tcPr>
            <w:tcW w:w="343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Undermines transparency by allowing shareholder influence on audit committees; affects bank practice through rigid board structures.</w:t>
            </w:r>
          </w:p>
        </w:tc>
      </w:tr>
      <w:tr>
        <w:trPr>
          <w:trHeight w:val="1804" w:hRule="atLeast"/>
        </w:trPr>
        <w:tc>
          <w:tcPr>
            <w:tcW w:w="2078"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NCCG 2018</w:t>
            </w:r>
          </w:p>
        </w:tc>
        <w:tc>
          <w:tcPr>
            <w:tcW w:w="1242"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FRCN</w:t>
            </w:r>
          </w:p>
        </w:tc>
        <w:tc>
          <w:tcPr>
            <w:tcW w:w="4193"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Majority NEDs, most INEDs; "Apply and Explain"; Rem. committee NED-chaired.</w:t>
            </w:r>
          </w:p>
        </w:tc>
        <w:tc>
          <w:tcPr>
            <w:tcW w:w="274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Less stringent than CBN on board size; conflicts with SEC on shareholder approval.</w:t>
            </w:r>
          </w:p>
        </w:tc>
        <w:tc>
          <w:tcPr>
            <w:tcW w:w="343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Facilitates selective compliance, weakening risk management and accountability.</w:t>
            </w:r>
          </w:p>
        </w:tc>
      </w:tr>
      <w:tr>
        <w:trPr>
          <w:trHeight w:val="1827" w:hRule="atLeast"/>
        </w:trPr>
        <w:tc>
          <w:tcPr>
            <w:tcW w:w="2078"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CBN CG Guidelines 2023</w:t>
            </w:r>
          </w:p>
        </w:tc>
        <w:tc>
          <w:tcPr>
            <w:tcW w:w="1242"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CBN</w:t>
            </w:r>
          </w:p>
        </w:tc>
        <w:tc>
          <w:tcPr>
            <w:tcW w:w="4193"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7-15 directors; ≥3 INEDs; Perf.-linked remuneration; Mandatory fines, board dissolution.</w:t>
            </w:r>
          </w:p>
        </w:tc>
        <w:tc>
          <w:tcPr>
            <w:tcW w:w="274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Lenient on interlocking directorships compared to SEC; stricter than NCCG on risk committees.</w:t>
            </w:r>
          </w:p>
        </w:tc>
        <w:tc>
          <w:tcPr>
            <w:tcW w:w="343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Enhances risk management but conflicts reduce audit independence and transparency.</w:t>
            </w:r>
          </w:p>
        </w:tc>
      </w:tr>
      <w:tr>
        <w:trPr>
          <w:trHeight w:val="1804" w:hRule="atLeast"/>
        </w:trPr>
        <w:tc>
          <w:tcPr>
            <w:tcW w:w="2078"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b/>
                <w:bCs/>
                <w:sz w:val="24"/>
                <w:szCs w:val="24"/>
                <w:lang w:val="en-GB" w:bidi="ar-SA"/>
              </w:rPr>
            </w:pPr>
            <w:r>
              <w:rPr>
                <w:b/>
                <w:bCs/>
                <w:sz w:val="24"/>
                <w:szCs w:val="24"/>
                <w:lang w:val="en-GB" w:bidi="ar-SA"/>
              </w:rPr>
              <w:t>SEC Code 2011</w:t>
            </w:r>
          </w:p>
        </w:tc>
        <w:tc>
          <w:tcPr>
            <w:tcW w:w="1242"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SEC</w:t>
            </w:r>
          </w:p>
        </w:tc>
        <w:tc>
          <w:tcPr>
            <w:tcW w:w="4193"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w:t>
            </w:r>
            <w:r>
              <w:rPr>
                <w:sz w:val="24"/>
                <w:szCs w:val="24"/>
                <w:lang w:val="en-GB" w:bidi="ar-SA"/>
              </w:rPr>
              <w:t>1 INED; Separate Chairman/CEO; Rem. committee NEDs; Fines, delisting.</w:t>
            </w:r>
          </w:p>
        </w:tc>
        <w:tc>
          <w:tcPr>
            <w:tcW w:w="274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Clashes with CBN on family members in boards; overlaps with NCCG on monitoring.</w:t>
            </w:r>
          </w:p>
        </w:tc>
        <w:tc>
          <w:tcPr>
            <w:tcW w:w="3435" w:type="dxa"/>
            <w:tcBorders>
              <w:top w:val="single" w:sz="4" w:space="0" w:color="FFE599"/>
              <w:start w:val="single" w:sz="4" w:space="0" w:color="FFE599"/>
              <w:bottom w:val="single" w:sz="4" w:space="0" w:color="FFE599"/>
              <w:end w:val="single" w:sz="4" w:space="0" w:color="FFE599"/>
            </w:tcBorders>
          </w:tcPr>
          <w:p>
            <w:pPr>
              <w:pStyle w:val="msonormal"/>
              <w:widowControl/>
              <w:suppressAutoHyphens w:val="true"/>
              <w:spacing w:before="0" w:after="0"/>
              <w:rPr>
                <w:sz w:val="24"/>
                <w:szCs w:val="24"/>
                <w:lang w:val="en-GB" w:bidi="ar-SA"/>
              </w:rPr>
            </w:pPr>
            <w:r>
              <w:rPr>
                <w:sz w:val="24"/>
                <w:szCs w:val="24"/>
                <w:lang w:val="en-GB" w:bidi="ar-SA"/>
              </w:rPr>
              <w:t>Supports accountability but multiplicity hinders bank practice and enforcement.</w:t>
            </w:r>
          </w:p>
        </w:tc>
      </w:tr>
    </w:tbl>
    <w:p>
      <w:pPr>
        <w:sectPr>
          <w:footerReference w:type="default" r:id="rId20"/>
          <w:footerReference w:type="first" r:id="rId21"/>
          <w:type w:val="nextPage"/>
          <w:pgSz w:orient="landscape" w:w="15840" w:h="12240"/>
          <w:pgMar w:left="1134" w:right="1134" w:gutter="0" w:header="0" w:top="1134" w:footer="0" w:bottom="1134"/>
          <w:pgNumType w:fmt="decimal"/>
          <w:formProt w:val="false"/>
          <w:textDirection w:val="lrTb"/>
          <w:docGrid w:type="default" w:linePitch="326" w:charSpace="0"/>
        </w:sectPr>
        <w:pStyle w:val="Normal"/>
        <w:suppressAutoHyphens w:val="false"/>
        <w:spacing w:lineRule="auto" w:line="240" w:before="280" w:after="0"/>
        <w:jc w:val="start"/>
        <w:rPr>
          <w:rFonts w:cs="Calibri"/>
        </w:rPr>
      </w:pPr>
      <w:r>
        <w:rPr>
          <w:rFonts w:cs="Calibri"/>
        </w:rPr>
        <w:t>Note: Adapted from Central Bank of Nigeria (2023), Financial Reporting Council of Nigeria (2018), Companies and Allied Matters Act (2020), and Securities and Exchange Commission (2011). Conflicts contribute to ambiguity, impacting all CG tenants.</w:t>
      </w:r>
    </w:p>
    <w:p>
      <w:pPr>
        <w:pStyle w:val="Normal"/>
        <w:rPr/>
      </w:pPr>
      <w:r>
        <w:rPr/>
      </w:r>
    </w:p>
    <w:p>
      <w:pPr>
        <w:pStyle w:val="BodyText"/>
        <w:rPr>
          <w:rFonts w:ascii="Times New Roman" w:hAnsi="Times New Roman"/>
        </w:rPr>
      </w:pPr>
      <w:r>
        <w:rPr>
          <w:rFonts w:ascii="Times New Roman" w:hAnsi="Times New Roman"/>
        </w:rPr>
        <w:t xml:space="preserve">Weak </w:t>
      </w:r>
      <w:r>
        <w:rPr>
          <w:rStyle w:val="Strong"/>
          <w:rFonts w:ascii="Times New Roman" w:hAnsi="Times New Roman"/>
        </w:rPr>
        <w:t>enforcement consistency</w:t>
      </w:r>
      <w:r>
        <w:rPr>
          <w:rFonts w:ascii="Times New Roman" w:hAnsi="Times New Roman"/>
        </w:rPr>
        <w:t xml:space="preserve"> exacerbates these challenges, as regulatory bodies like the CBN, FRCN, and CAC lack coordination and sufficient authority (Nwoke et al., 2023). Abdulmalik and Ahmad (2020) highlight that the FRCN’s inability to override sectoral regulators like the CBN, combined with shareholder associations’ limited legal backing, weakens enforcement credibility. For instance, during the 2009 crisis, inadequate enforcement allowed banks to falsify financial statements, delaying corrective actions and eroding trust (Olojede et al., 2020). Shaba (</w:t>
      </w:r>
      <w:r>
        <w:rPr>
          <w:rStyle w:val="Strong"/>
          <w:rFonts w:ascii="Times New Roman" w:hAnsi="Times New Roman"/>
        </w:rPr>
        <w:t>2024</w:t>
      </w:r>
      <w:r>
        <w:rPr>
          <w:rFonts w:ascii="Times New Roman" w:hAnsi="Times New Roman"/>
        </w:rPr>
        <w:t xml:space="preserve">) notes that institutional weaknesses, such as outdated sanctions and resource constraints, further undermine enforcement, enabling governance lapses like insider lending, as seen in Oceanic Bank, where 75% of NPLs were tied to family-controlled entities (Sanusi, 2009). This fragmented and weakly enforced framework directly contributes to default risk by failing to ensure </w:t>
      </w:r>
      <w:r>
        <w:rPr>
          <w:rStyle w:val="Strong"/>
          <w:rFonts w:ascii="Times New Roman" w:hAnsi="Times New Roman"/>
        </w:rPr>
        <w:t>compliance</w:t>
      </w:r>
      <w:r>
        <w:rPr>
          <w:rFonts w:ascii="Times New Roman" w:hAnsi="Times New Roman"/>
        </w:rPr>
        <w:t xml:space="preserve"> with governance standards critical for risk mitigation. </w:t>
      </w:r>
      <w:r>
        <w:rPr>
          <w:rStyle w:val="Strong"/>
          <w:rFonts w:ascii="Times New Roman" w:hAnsi="Times New Roman"/>
        </w:rPr>
        <w:t>Recent insights from Afolabi and Afolabi (2024) further illustrate how weak enforcement perpetuates deficiencies in audit committee independence and practice indices, impacting overall disclosure.</w:t>
      </w:r>
      <w:r>
        <w:rPr>
          <w:rFonts w:ascii="Times New Roman" w:hAnsi="Times New Roman"/>
        </w:rPr>
        <w:t xml:space="preserve"> </w:t>
      </w:r>
      <w:r>
        <w:rPr>
          <w:rStyle w:val="Strong"/>
          <w:rFonts w:ascii="Times New Roman" w:hAnsi="Times New Roman"/>
        </w:rPr>
        <w:t>The CBN's 2024 recapitalization program, requiring N500 billion for international banks, aims to strengthen capital but does not directly address enforcement gaps (CBN, 2024).</w:t>
      </w:r>
    </w:p>
    <w:p>
      <w:pPr>
        <w:pStyle w:val="BodyText"/>
        <w:spacing w:lineRule="auto" w:line="480"/>
        <w:ind w:hanging="0" w:start="0" w:end="0"/>
        <w:rPr>
          <w:rFonts w:ascii="Times New Roman" w:hAnsi="Times New Roman"/>
        </w:rPr>
      </w:pPr>
      <w:r>
        <w:rPr>
          <w:rStyle w:val="Strong"/>
          <w:rFonts w:ascii="Times New Roman" w:hAnsi="Times New Roman"/>
        </w:rPr>
        <w:t>2.3.4 Global Perspectives on Regulatory Harmonization</w:t>
      </w:r>
    </w:p>
    <w:p>
      <w:pPr>
        <w:pStyle w:val="BodyText"/>
        <w:spacing w:lineRule="auto" w:line="480"/>
        <w:ind w:hanging="0" w:start="0" w:end="0"/>
        <w:rPr>
          <w:rFonts w:ascii="Times New Roman" w:hAnsi="Times New Roman"/>
        </w:rPr>
      </w:pPr>
      <w:r>
        <w:rPr>
          <w:rFonts w:ascii="Times New Roman" w:hAnsi="Times New Roman"/>
        </w:rPr>
        <w:t xml:space="preserve">Global literature underscores the importance of </w:t>
      </w:r>
      <w:r>
        <w:rPr>
          <w:rStyle w:val="Strong"/>
          <w:rFonts w:ascii="Times New Roman" w:hAnsi="Times New Roman"/>
        </w:rPr>
        <w:t>regulatory harmonization and enforcement consistency</w:t>
      </w:r>
      <w:r>
        <w:rPr>
          <w:rFonts w:ascii="Times New Roman" w:hAnsi="Times New Roman"/>
        </w:rPr>
        <w:t xml:space="preserve"> in fostering effective corporate governance and reducing financial risks (OECD, 2023; Aguilera &amp; Cuervo-Cazurra, 2004). The OECD Principles of Corporate Governance (2023) advocate for a unified regulatory framework that balances flexibility with enforceability, emphasizing clear guidelines, independent oversight, and stakeholder protection. OECD (2023) highlights that </w:t>
      </w:r>
      <w:r>
        <w:rPr>
          <w:rStyle w:val="Strong"/>
          <w:rFonts w:ascii="Times New Roman" w:hAnsi="Times New Roman"/>
        </w:rPr>
        <w:t>harmonized regulations</w:t>
      </w:r>
      <w:r>
        <w:rPr>
          <w:rFonts w:ascii="Times New Roman" w:hAnsi="Times New Roman"/>
        </w:rPr>
        <w:t xml:space="preserve"> reduce compliance ambiguity, enhance </w:t>
      </w:r>
      <w:r>
        <w:rPr>
          <w:rStyle w:val="Strong"/>
          <w:rFonts w:ascii="Times New Roman" w:hAnsi="Times New Roman"/>
        </w:rPr>
        <w:t>disclosure</w:t>
      </w:r>
      <w:r>
        <w:rPr>
          <w:rFonts w:ascii="Times New Roman" w:hAnsi="Times New Roman"/>
        </w:rPr>
        <w:t xml:space="preserve">, and lower systemic risks, as seen in jurisdictions like the European Union, where integrated frameworks like Basel III have strengthened banking stability (BCBS, 2010). Aguilera and Cuervo-Cazurra (2004) argue that effective governance requires aligning national codes with global standards while adapting to local contexts, citing examples like Singapore, where </w:t>
      </w:r>
      <w:r>
        <w:rPr>
          <w:rStyle w:val="Strong"/>
          <w:rFonts w:ascii="Times New Roman" w:hAnsi="Times New Roman"/>
        </w:rPr>
        <w:t>harmonized regulations</w:t>
      </w:r>
      <w:r>
        <w:rPr>
          <w:rFonts w:ascii="Times New Roman" w:hAnsi="Times New Roman"/>
        </w:rPr>
        <w:t xml:space="preserve"> and strong judicial enforcement have minimized agency problems and financial distress. In contrast, Nigeria’s </w:t>
      </w:r>
      <w:r>
        <w:rPr>
          <w:rStyle w:val="Strong"/>
          <w:rFonts w:ascii="Times New Roman" w:hAnsi="Times New Roman"/>
        </w:rPr>
        <w:t>regulatory multiplicity</w:t>
      </w:r>
      <w:r>
        <w:rPr>
          <w:rFonts w:ascii="Times New Roman" w:hAnsi="Times New Roman"/>
        </w:rPr>
        <w:t xml:space="preserve"> mirrors challenges in other emerging markets with weak institutional frameworks (Aguilera &amp; Cuervo-Cazurra, 2009). For instance, Brooks (1989) illustrates how Canada’s multiple codes created enforcement inconsistencies, a parallel to Nigeria’s experience, where banks exploit code disparities to evade </w:t>
      </w:r>
      <w:r>
        <w:rPr>
          <w:rStyle w:val="Strong"/>
          <w:rFonts w:ascii="Times New Roman" w:hAnsi="Times New Roman"/>
        </w:rPr>
        <w:t>compliance</w:t>
      </w:r>
      <w:r>
        <w:rPr>
          <w:rFonts w:ascii="Times New Roman" w:hAnsi="Times New Roman"/>
        </w:rPr>
        <w:t xml:space="preserve"> (Ofo, 2013). Global studies also emphasize enforcement as a critical determinant of governance efficacy. Oman (2001) posits that in countries with weak judicial systems, like Nigeria, independent regulatory agencies are more effective than courts in ensuring </w:t>
      </w:r>
      <w:r>
        <w:rPr>
          <w:rStyle w:val="Strong"/>
          <w:rFonts w:ascii="Times New Roman" w:hAnsi="Times New Roman"/>
        </w:rPr>
        <w:t>compliance</w:t>
      </w:r>
      <w:r>
        <w:rPr>
          <w:rFonts w:ascii="Times New Roman" w:hAnsi="Times New Roman"/>
        </w:rPr>
        <w:t xml:space="preserve">, a view supported by the OECD (2023). However, Nigeria’s enforcement agencies, constrained by overlapping mandates and limited resources, fail to emulate this model, allowing governance lapses to persist (Nwoke et al., 2023). Macey and O’Hara (2003) suggest that self-regulatory codes can boost investor confidence if backed by robust enforcement, but in Nigeria, the NCCG’s voluntary nature undermines its impact, contrasting with stricter CBN mandates (Tayo-Tiwo, 2020). These global insights highlight the need for Nigeria to </w:t>
      </w:r>
      <w:r>
        <w:rPr>
          <w:rStyle w:val="Strong"/>
          <w:rFonts w:ascii="Times New Roman" w:hAnsi="Times New Roman"/>
        </w:rPr>
        <w:t>harmonize its regulatory codes</w:t>
      </w:r>
      <w:r>
        <w:rPr>
          <w:rFonts w:ascii="Times New Roman" w:hAnsi="Times New Roman"/>
        </w:rPr>
        <w:t xml:space="preserve"> and strengthen </w:t>
      </w:r>
      <w:r>
        <w:rPr>
          <w:rStyle w:val="Strong"/>
          <w:rFonts w:ascii="Times New Roman" w:hAnsi="Times New Roman"/>
        </w:rPr>
        <w:t>enforcement consistency</w:t>
      </w:r>
      <w:r>
        <w:rPr>
          <w:rFonts w:ascii="Times New Roman" w:hAnsi="Times New Roman"/>
        </w:rPr>
        <w:t xml:space="preserve"> to align with best practices, reducing default risk and enhancing banking stability. </w:t>
      </w:r>
      <w:r>
        <w:rPr>
          <w:rStyle w:val="Strong"/>
          <w:rFonts w:ascii="Times New Roman" w:hAnsi="Times New Roman"/>
        </w:rPr>
        <w:t>Adding depth, Ojo and Ojo (2024) argue that global comparisons reveal Nigeria's deficiencies in integrating audit committee roles with practice indices, further eroding disclosure.</w:t>
      </w:r>
      <w:r>
        <w:rPr>
          <w:rFonts w:ascii="Times New Roman" w:hAnsi="Times New Roman"/>
        </w:rPr>
        <w:t xml:space="preserve"> </w:t>
      </w:r>
      <w:r>
        <w:rPr>
          <w:rStyle w:val="Strong"/>
          <w:rFonts w:ascii="Times New Roman" w:hAnsi="Times New Roman"/>
        </w:rPr>
        <w:t>Recent 2024 developments, such as the CBN's AML compliance tightening (Smile ID, 2024), suggest steps toward harmonization but fall short of comprehensive reform.</w:t>
      </w:r>
    </w:p>
    <w:p>
      <w:pPr>
        <w:pStyle w:val="BodyText"/>
        <w:spacing w:lineRule="auto" w:line="480"/>
        <w:ind w:hanging="0" w:start="0" w:end="0"/>
        <w:rPr>
          <w:rFonts w:ascii="Times New Roman" w:hAnsi="Times New Roman"/>
        </w:rPr>
      </w:pPr>
      <w:r>
        <w:rPr>
          <w:rStyle w:val="Strong"/>
          <w:rFonts w:ascii="Times New Roman" w:hAnsi="Times New Roman"/>
        </w:rPr>
        <w:t>2.3.5 Implications for Default Risk and NPLs</w:t>
      </w:r>
    </w:p>
    <w:p>
      <w:pPr>
        <w:pStyle w:val="BodyText"/>
        <w:spacing w:lineRule="auto" w:line="480"/>
        <w:ind w:hanging="0" w:start="0" w:end="0"/>
        <w:rPr>
          <w:rFonts w:ascii="Times New Roman" w:hAnsi="Times New Roman"/>
        </w:rPr>
      </w:pPr>
      <w:r>
        <w:rPr>
          <w:rFonts w:ascii="Times New Roman" w:hAnsi="Times New Roman"/>
        </w:rPr>
        <w:t xml:space="preserve">The fragmented regulatory framework and weak </w:t>
      </w:r>
      <w:r>
        <w:rPr>
          <w:rStyle w:val="Strong"/>
          <w:rFonts w:ascii="Times New Roman" w:hAnsi="Times New Roman"/>
        </w:rPr>
        <w:t>enforcement consistency</w:t>
      </w:r>
      <w:r>
        <w:rPr>
          <w:rFonts w:ascii="Times New Roman" w:hAnsi="Times New Roman"/>
        </w:rPr>
        <w:t xml:space="preserve"> in Nigeria’s </w:t>
      </w:r>
      <w:r>
        <w:rPr>
          <w:rStyle w:val="Strong"/>
          <w:rFonts w:ascii="Times New Roman" w:hAnsi="Times New Roman"/>
        </w:rPr>
        <w:t>deposit money banking</w:t>
      </w:r>
      <w:r>
        <w:rPr>
          <w:rFonts w:ascii="Times New Roman" w:hAnsi="Times New Roman"/>
        </w:rPr>
        <w:t xml:space="preserve"> sector have profound consequences for </w:t>
      </w:r>
      <w:r>
        <w:rPr>
          <w:rStyle w:val="Strong"/>
          <w:rFonts w:ascii="Times New Roman" w:hAnsi="Times New Roman"/>
        </w:rPr>
        <w:t>compliance</w:t>
      </w:r>
      <w:r>
        <w:rPr>
          <w:rFonts w:ascii="Times New Roman" w:hAnsi="Times New Roman"/>
        </w:rPr>
        <w:t xml:space="preserve"> and default risk. The lack of harmonization among CAMA 2020, NCCG 2018, CBN Guidelines 2023, and SEC Code 2011 creates a governance environment where banks can selectively comply, as evidenced by the 2009 crisis, where regulatory ambiguity enabled financial concealment (Sanusi, 2009). Abdulmalik and Ahmad (2020) argue that this </w:t>
      </w:r>
      <w:r>
        <w:rPr>
          <w:rStyle w:val="Strong"/>
          <w:rFonts w:ascii="Times New Roman" w:hAnsi="Times New Roman"/>
        </w:rPr>
        <w:t>multiplicity</w:t>
      </w:r>
      <w:r>
        <w:rPr>
          <w:rFonts w:ascii="Times New Roman" w:hAnsi="Times New Roman"/>
        </w:rPr>
        <w:t xml:space="preserve"> fosters agency inefficiencies, with boards and management prioritizing short-term gains over long-term stability, contributing to NPLs. The absence of robust enforcement, as noted by Nwoke et al. (2023), allows violations like insider lending and weak </w:t>
      </w:r>
      <w:r>
        <w:rPr>
          <w:rStyle w:val="Strong"/>
          <w:rFonts w:ascii="Times New Roman" w:hAnsi="Times New Roman"/>
        </w:rPr>
        <w:t>practice indices</w:t>
      </w:r>
      <w:r>
        <w:rPr>
          <w:rFonts w:ascii="Times New Roman" w:hAnsi="Times New Roman"/>
        </w:rPr>
        <w:t xml:space="preserve"> to go unchecked, directly linking regulatory failures to systemic risks. Global literature suggests that </w:t>
      </w:r>
      <w:r>
        <w:rPr>
          <w:rStyle w:val="Strong"/>
          <w:rFonts w:ascii="Times New Roman" w:hAnsi="Times New Roman"/>
        </w:rPr>
        <w:t>harmonizing codes</w:t>
      </w:r>
      <w:r>
        <w:rPr>
          <w:rFonts w:ascii="Times New Roman" w:hAnsi="Times New Roman"/>
        </w:rPr>
        <w:t xml:space="preserve"> into a unified framework, as advocated by OECD (2023), could streamline </w:t>
      </w:r>
      <w:r>
        <w:rPr>
          <w:rStyle w:val="Strong"/>
          <w:rFonts w:ascii="Times New Roman" w:hAnsi="Times New Roman"/>
        </w:rPr>
        <w:t>compliance</w:t>
      </w:r>
      <w:r>
        <w:rPr>
          <w:rFonts w:ascii="Times New Roman" w:hAnsi="Times New Roman"/>
        </w:rPr>
        <w:t xml:space="preserve">, while empowering regulators with independent enforcement powers, per Aguilera and Cuervo-Cazurra (2004), would deter non-compliance. For Nigeria, adopting these principles requires context-specific reforms, such as a centralized banking governance code and enhanced regulatory coordination, to address historical legacies of fragmentation and reduce NPL-driven default risk (Osemeke &amp; Adegbite, 2016). </w:t>
      </w:r>
      <w:r>
        <w:rPr>
          <w:rStyle w:val="Strong"/>
          <w:rFonts w:ascii="Times New Roman" w:hAnsi="Times New Roman"/>
        </w:rPr>
        <w:t>Recent studies by Afolabi and Afolabi (2024) add that such reforms must prioritize audit committee independence to improve practice indices and disclosure.</w:t>
      </w:r>
      <w:r>
        <w:rPr>
          <w:rFonts w:ascii="Times New Roman" w:hAnsi="Times New Roman"/>
        </w:rPr>
        <w:t xml:space="preserve"> </w:t>
      </w:r>
      <w:r>
        <w:rPr>
          <w:rStyle w:val="Strong"/>
          <w:rFonts w:ascii="Times New Roman" w:hAnsi="Times New Roman"/>
        </w:rPr>
        <w:t>The CBN's 2024 recapitalization (additional N900bn injection expected; BusinessDay NG, 2024) could support this by bolstering capital, but without enforcement, NPL risks persist.</w:t>
      </w:r>
    </w:p>
    <w:p>
      <w:pPr>
        <w:pStyle w:val="BodyText"/>
        <w:spacing w:lineRule="auto" w:line="480"/>
        <w:ind w:hanging="0" w:start="0" w:end="0"/>
        <w:rPr>
          <w:rFonts w:ascii="Times New Roman" w:hAnsi="Times New Roman"/>
        </w:rPr>
      </w:pPr>
      <w:r>
        <w:rPr>
          <w:rFonts w:ascii="Times New Roman" w:hAnsi="Times New Roman"/>
        </w:rPr>
        <w:t xml:space="preserve">Nigeria’s fragmented regulatory framework, characterized by conflicting codes like CAMA 2020, NCCG 2018, CBN Guidelines 2023, and SEC Code 2011, coupled with weak </w:t>
      </w:r>
      <w:r>
        <w:rPr>
          <w:rStyle w:val="Strong"/>
          <w:rFonts w:ascii="Times New Roman" w:hAnsi="Times New Roman"/>
        </w:rPr>
        <w:t>enforcement consistency</w:t>
      </w:r>
      <w:r>
        <w:rPr>
          <w:rFonts w:ascii="Times New Roman" w:hAnsi="Times New Roman"/>
        </w:rPr>
        <w:t xml:space="preserve">, significantly undermines corporate governance in the </w:t>
      </w:r>
      <w:r>
        <w:rPr>
          <w:rStyle w:val="Strong"/>
          <w:rFonts w:ascii="Times New Roman" w:hAnsi="Times New Roman"/>
        </w:rPr>
        <w:t>deposit money banking</w:t>
      </w:r>
      <w:r>
        <w:rPr>
          <w:rFonts w:ascii="Times New Roman" w:hAnsi="Times New Roman"/>
        </w:rPr>
        <w:t xml:space="preserve"> sector, contributing to high NPLs and systemic instability (Abdulmalik &amp; Ahmad, 2020; Osemeke &amp; Adegbite, 2016). Global literature on </w:t>
      </w:r>
      <w:r>
        <w:rPr>
          <w:rStyle w:val="Strong"/>
          <w:rFonts w:ascii="Times New Roman" w:hAnsi="Times New Roman"/>
        </w:rPr>
        <w:t>regulatory harmonization</w:t>
      </w:r>
      <w:r>
        <w:rPr>
          <w:rFonts w:ascii="Times New Roman" w:hAnsi="Times New Roman"/>
        </w:rPr>
        <w:t xml:space="preserve"> and </w:t>
      </w:r>
      <w:r>
        <w:rPr>
          <w:rStyle w:val="Strong"/>
          <w:rFonts w:ascii="Times New Roman" w:hAnsi="Times New Roman"/>
        </w:rPr>
        <w:t>enforcement</w:t>
      </w:r>
      <w:r>
        <w:rPr>
          <w:rFonts w:ascii="Times New Roman" w:hAnsi="Times New Roman"/>
        </w:rPr>
        <w:t xml:space="preserve"> highlights the efficacy of unified frameworks and robust oversight in reducing financial risks, offering lessons for Nigeria (OECD, 2023; Aguilera &amp; Cuervo-Cazurra, 2004). The persistence of </w:t>
      </w:r>
      <w:r>
        <w:rPr>
          <w:rStyle w:val="Strong"/>
          <w:rFonts w:ascii="Times New Roman" w:hAnsi="Times New Roman"/>
        </w:rPr>
        <w:t>regulatory multiplicity</w:t>
      </w:r>
      <w:r>
        <w:rPr>
          <w:rFonts w:ascii="Times New Roman" w:hAnsi="Times New Roman"/>
        </w:rPr>
        <w:t xml:space="preserve"> and enforcement gaps, rooted in historical legacies, perpetuates governance lapses, as seen in the 2009 crisis. This section underscores the need for context-specific reforms to </w:t>
      </w:r>
      <w:r>
        <w:rPr>
          <w:rStyle w:val="Strong"/>
          <w:rFonts w:ascii="Times New Roman" w:hAnsi="Times New Roman"/>
        </w:rPr>
        <w:t>harmonize regulations</w:t>
      </w:r>
      <w:r>
        <w:rPr>
          <w:rFonts w:ascii="Times New Roman" w:hAnsi="Times New Roman"/>
        </w:rPr>
        <w:t xml:space="preserve"> and strengthen </w:t>
      </w:r>
      <w:r>
        <w:rPr>
          <w:rStyle w:val="Strong"/>
          <w:rFonts w:ascii="Times New Roman" w:hAnsi="Times New Roman"/>
        </w:rPr>
        <w:t>enforcement</w:t>
      </w:r>
      <w:r>
        <w:rPr>
          <w:rFonts w:ascii="Times New Roman" w:hAnsi="Times New Roman"/>
        </w:rPr>
        <w:t xml:space="preserve">, aligning with research objectives (OB4, H4) to mitigate default risk and enhance banking stability. </w:t>
      </w:r>
      <w:r>
        <w:rPr>
          <w:rStyle w:val="Strong"/>
          <w:rFonts w:ascii="Times New Roman" w:hAnsi="Times New Roman"/>
        </w:rPr>
        <w:t>Subsequent sections will explore specific governance mechanisms—disclosure, practice, compliance, audit committee independence, and management qualifications—and their impact on NPLs in Nigeria’s deposit money banks.</w:t>
      </w:r>
      <w:r>
        <w:rPr>
          <w:rFonts w:ascii="Times New Roman" w:hAnsi="Times New Roman"/>
        </w:rPr>
        <w:t xml:space="preserve"> </w:t>
      </w:r>
      <w:r>
        <w:rPr>
          <w:rStyle w:val="Strong"/>
          <w:rFonts w:ascii="Times New Roman" w:hAnsi="Times New Roman"/>
        </w:rPr>
        <w:t>To further relate, Ojo and Ojo (2024) suggest that addressing these challenges can improve disclosure and practice indices in bank operations.</w:t>
      </w:r>
    </w:p>
    <w:p>
      <w:pPr>
        <w:pStyle w:val="Normal"/>
        <w:rPr>
          <w:rFonts w:ascii="Times New Roman" w:hAnsi="Times New Roman"/>
        </w:rPr>
      </w:pPr>
      <w:r>
        <w:rPr>
          <w:rFonts w:ascii="Times New Roman" w:hAnsi="Times New Roman"/>
        </w:rPr>
      </w:r>
    </w:p>
    <w:p>
      <w:pPr>
        <w:pStyle w:val="Normal"/>
        <w:rPr>
          <w:rFonts w:ascii="Arial" w:hAnsi="Arial" w:cs="Arial"/>
        </w:rPr>
      </w:pPr>
      <w:r>
        <w:rPr>
          <w:rFonts w:cs="Arial" w:ascii="Arial" w:hAnsi="Arial"/>
        </w:rPr>
      </w:r>
    </w:p>
    <w:p>
      <w:pPr>
        <w:pStyle w:val="Normal"/>
        <w:spacing w:lineRule="auto" w:line="240"/>
        <w:jc w:val="start"/>
        <w:rPr>
          <w:rFonts w:ascii="Arial" w:hAnsi="Arial" w:cs="Arial"/>
        </w:rPr>
      </w:pPr>
      <w:r>
        <w:rPr>
          <w:rFonts w:cs="Arial" w:ascii="Arial" w:hAnsi="Arial"/>
        </w:rPr>
      </w:r>
      <w:r>
        <w:br w:type="page"/>
      </w:r>
    </w:p>
    <w:p>
      <w:pPr>
        <w:pStyle w:val="BodyText"/>
        <w:spacing w:before="0" w:after="0"/>
        <w:rPr/>
      </w:pPr>
      <w:r>
        <w:rPr/>
        <w:t xml:space="preserve">Effective board oversight and </w:t>
      </w:r>
      <w:r>
        <w:rPr>
          <w:rStyle w:val="Strong"/>
        </w:rPr>
        <w:t>independence</w:t>
      </w:r>
      <w:r>
        <w:rPr/>
        <w:t xml:space="preserve"> are critical for ensuring </w:t>
      </w:r>
      <w:r>
        <w:rPr>
          <w:rStyle w:val="Strong"/>
        </w:rPr>
        <w:t>disclosure, practice, and compliance</w:t>
      </w:r>
      <w:r>
        <w:rPr/>
        <w:t xml:space="preserve">, as well as mitigating risk in Nigeria’s </w:t>
      </w:r>
      <w:r>
        <w:rPr>
          <w:rStyle w:val="Strong"/>
        </w:rPr>
        <w:t>deposit money banking</w:t>
      </w:r>
      <w:r>
        <w:rPr/>
        <w:t xml:space="preserve"> sector, where governance failures have contributed to elevated non-performing loan (NPL) ratios and systemic instability, with 425 bank failures recorded since 1988 (Udo, 2020). Boards of directors serve as the cornerstone of corporate governance, tasked with overseeing management, setting strategic direction, and safeguarding stakeholder interests (Aguilera &amp; Ruiz Castillo, </w:t>
      </w:r>
      <w:r>
        <w:rPr>
          <w:rStyle w:val="Strong"/>
        </w:rPr>
        <w:t>2024</w:t>
      </w:r>
      <w:r>
        <w:rPr/>
        <w:t xml:space="preserve">). However, in Nigeria, board inefficiencies, characterized by cronyism and a lack of </w:t>
      </w:r>
      <w:r>
        <w:rPr>
          <w:rStyle w:val="Strong"/>
        </w:rPr>
        <w:t>independence</w:t>
      </w:r>
      <w:r>
        <w:rPr/>
        <w:t xml:space="preserve">, undermine these roles, exacerbating default risk, as evidenced by NPL peaks of 37% in 2009 and 20% in 2017 against the Central Bank of Nigeria’s (CBN) 5% threshold (Nwosu, 2020; Adegboye, 2020). This section reviews agency and stewardship theories on board roles in </w:t>
      </w:r>
      <w:r>
        <w:rPr>
          <w:rStyle w:val="Strong"/>
        </w:rPr>
        <w:t>disclosure and practice</w:t>
      </w:r>
      <w:r>
        <w:rPr/>
        <w:t xml:space="preserve">, examines Nigerian studies on board cronyism and the absence of independent nomination committees in 61% of </w:t>
      </w:r>
      <w:r>
        <w:rPr>
          <w:rStyle w:val="Strong"/>
        </w:rPr>
        <w:t>deposit money banks</w:t>
      </w:r>
      <w:r>
        <w:rPr/>
        <w:t xml:space="preserve">, and links these to governance failures driving default risk in the post-2004 consolidation era. </w:t>
      </w:r>
      <w:r>
        <w:rPr>
          <w:rStyle w:val="Strong"/>
        </w:rPr>
        <w:t>To expand, recent research by Ojo and Ojo (2024) emphasizes how board oversight ties to audit committee independence and practice indices, reinforcing disclosure and compliance.</w:t>
      </w:r>
    </w:p>
    <w:p>
      <w:pPr>
        <w:pStyle w:val="BodyText"/>
        <w:spacing w:lineRule="auto" w:line="480"/>
        <w:ind w:hanging="0" w:start="0" w:end="0"/>
        <w:rPr/>
      </w:pPr>
      <w:r>
        <w:rPr>
          <w:rStyle w:val="Strong"/>
        </w:rPr>
        <w:t>2.4.1 Theoretical Foundations of Board Oversight</w:t>
      </w:r>
    </w:p>
    <w:p>
      <w:pPr>
        <w:pStyle w:val="BodyText"/>
        <w:spacing w:lineRule="auto" w:line="480"/>
        <w:ind w:hanging="0" w:start="0" w:end="0"/>
        <w:rPr/>
      </w:pPr>
      <w:r>
        <w:rPr>
          <w:rStyle w:val="Strong"/>
        </w:rPr>
        <w:t>2.4.1.1 Agency Theory and Board Monitoring</w:t>
      </w:r>
    </w:p>
    <w:p>
      <w:pPr>
        <w:pStyle w:val="BodyText"/>
        <w:spacing w:lineRule="auto" w:line="480"/>
        <w:ind w:hanging="0" w:start="0" w:end="0"/>
        <w:rPr/>
      </w:pPr>
      <w:r>
        <w:rPr/>
        <w:t xml:space="preserve">Agency theory, articulated by Jensen and Meckling (1976), posits that conflicts of interest arise between principals (shareholders) and agents (management) due to divergent goals, necessitating robust board oversight to align interests and mitigate risks. Boards, as monitoring mechanisms, reduce agency costs by ensuring management acts in shareholders’ interests, particularly in high-risk environments like </w:t>
      </w:r>
      <w:r>
        <w:rPr>
          <w:rStyle w:val="Strong"/>
        </w:rPr>
        <w:t>deposit money banking</w:t>
      </w:r>
      <w:r>
        <w:rPr/>
        <w:t xml:space="preserve">, where mismanagement can lead to financial distress (Fama &amp; Jensen, 1983). In Nigeria’s context, agency theory highlights the need for </w:t>
      </w:r>
      <w:r>
        <w:rPr>
          <w:rStyle w:val="Strong"/>
        </w:rPr>
        <w:t>independent boards</w:t>
      </w:r>
      <w:r>
        <w:rPr/>
        <w:t xml:space="preserve"> to curb risky behaviors, such as insider lending, which fueled the 2009 Oceanic Bank crisis, where 75% of NPLs were tied to board-related entities (Sanusi, 2009). Effective board oversight, per agency theory, involves independent directors who challenge management decisions, enforce </w:t>
      </w:r>
      <w:r>
        <w:rPr>
          <w:rStyle w:val="Strong"/>
        </w:rPr>
        <w:t>disclosure</w:t>
      </w:r>
      <w:r>
        <w:rPr/>
        <w:t xml:space="preserve">, and implement </w:t>
      </w:r>
      <w:r>
        <w:rPr>
          <w:rStyle w:val="Strong"/>
        </w:rPr>
        <w:t>practice indices</w:t>
      </w:r>
      <w:r>
        <w:rPr/>
        <w:t xml:space="preserve"> to prevent default risk escalation (Osemeke &amp; Adegbite, 2016). </w:t>
      </w:r>
      <w:r>
        <w:rPr>
          <w:rStyle w:val="Strong"/>
        </w:rPr>
        <w:t>Adding depth, Afolabi and Afolabi (2024) link agency theory to practice indices, showing how weak board oversight leads to deficiencies in risk management and audit processes.</w:t>
      </w:r>
    </w:p>
    <w:p>
      <w:pPr>
        <w:pStyle w:val="BodyText"/>
        <w:spacing w:lineRule="auto" w:line="480"/>
        <w:ind w:hanging="0" w:start="0" w:end="0"/>
        <w:rPr/>
      </w:pPr>
      <w:r>
        <w:rPr>
          <w:rStyle w:val="Strong"/>
        </w:rPr>
        <w:t>2.4.1.2 Stewardship Theory and Strategic Guidance</w:t>
      </w:r>
    </w:p>
    <w:p>
      <w:pPr>
        <w:pStyle w:val="BodyText"/>
        <w:spacing w:lineRule="auto" w:line="480"/>
        <w:ind w:hanging="0" w:start="0" w:end="0"/>
        <w:rPr/>
      </w:pPr>
      <w:r>
        <w:rPr/>
        <w:t xml:space="preserve">Stewardship theory, proposed by Donaldson and Davis (1991), offers a contrasting perspective, suggesting that managers act as stewards who prioritize organizational goals over self-interest, provided boards foster trust and collaboration. Unlike agency theory’s emphasis on monitoring, stewardship theory advocates for empowering boards with strategic roles, where directors with </w:t>
      </w:r>
      <w:r>
        <w:rPr>
          <w:rStyle w:val="Strong"/>
        </w:rPr>
        <w:t>management qualifications</w:t>
      </w:r>
      <w:r>
        <w:rPr/>
        <w:t xml:space="preserve"> guide management toward long-term stability. In </w:t>
      </w:r>
      <w:r>
        <w:rPr>
          <w:rStyle w:val="Strong"/>
        </w:rPr>
        <w:t>deposit money banking</w:t>
      </w:r>
      <w:r>
        <w:rPr/>
        <w:t xml:space="preserve">, stewardship theory underscores the importance of competent, </w:t>
      </w:r>
      <w:r>
        <w:rPr>
          <w:rStyle w:val="Strong"/>
        </w:rPr>
        <w:t>independent boards</w:t>
      </w:r>
      <w:r>
        <w:rPr/>
        <w:t xml:space="preserve"> in enhancing </w:t>
      </w:r>
      <w:r>
        <w:rPr>
          <w:rStyle w:val="Strong"/>
        </w:rPr>
        <w:t>practice indices</w:t>
      </w:r>
      <w:r>
        <w:rPr/>
        <w:t xml:space="preserve"> and </w:t>
      </w:r>
      <w:r>
        <w:rPr>
          <w:rStyle w:val="Strong"/>
        </w:rPr>
        <w:t>disclosure</w:t>
      </w:r>
      <w:r>
        <w:rPr/>
        <w:t xml:space="preserve">, ensuring alignment with stakeholder interests (Pfeffer &amp; Salancik, 1978). However, in Nigeria, where politically motivated appointments often undermine </w:t>
      </w:r>
      <w:r>
        <w:rPr>
          <w:rStyle w:val="Strong"/>
        </w:rPr>
        <w:t>management qualifications</w:t>
      </w:r>
      <w:r>
        <w:rPr/>
        <w:t xml:space="preserve">, stewardship theory’s assumptions are challenged, as seen in cases like Intercontinental Bank, where weak board oversight contributed to financial collapse (Owolabi, 2013). Both theories emphasize </w:t>
      </w:r>
      <w:r>
        <w:rPr>
          <w:rStyle w:val="Strong"/>
        </w:rPr>
        <w:t>board independence</w:t>
      </w:r>
      <w:r>
        <w:rPr/>
        <w:t xml:space="preserve"> as critical for </w:t>
      </w:r>
      <w:r>
        <w:rPr>
          <w:rStyle w:val="Strong"/>
        </w:rPr>
        <w:t>disclosure and practice</w:t>
      </w:r>
      <w:r>
        <w:rPr/>
        <w:t xml:space="preserve">, yet their application in Nigeria is hindered by systemic governance flaws. </w:t>
      </w:r>
      <w:r>
        <w:rPr>
          <w:rStyle w:val="Strong"/>
        </w:rPr>
        <w:t>Recent studies by Ojo and Ojo (2024) expand this by showing how stewardship can be integrated with audit committee independence to improve disclosure, suggesting that boards with expertise can foster collaborative practice indices, aligning with stakeholder-focused bank operations.</w:t>
      </w:r>
    </w:p>
    <w:p>
      <w:pPr>
        <w:pStyle w:val="BodyText"/>
        <w:spacing w:lineRule="auto" w:line="480"/>
        <w:ind w:hanging="0" w:start="0" w:end="0"/>
        <w:rPr/>
      </w:pPr>
      <w:r>
        <w:rPr>
          <w:rStyle w:val="Strong"/>
        </w:rPr>
        <w:t>2.4.2 Board Cronyism and Governance Failures in Nigeria</w:t>
      </w:r>
    </w:p>
    <w:p>
      <w:pPr>
        <w:pStyle w:val="BodyText"/>
        <w:spacing w:lineRule="auto" w:line="480"/>
        <w:ind w:hanging="0" w:start="0" w:end="0"/>
        <w:rPr/>
      </w:pPr>
      <w:r>
        <w:rPr/>
        <w:t xml:space="preserve">Nigerian studies highlight pervasive board cronyism and the absence of independent nomination committees as key governance failures, undermining oversight and driving default risk. Ogbechie (2016) reports that 61% of </w:t>
      </w:r>
      <w:r>
        <w:rPr>
          <w:rStyle w:val="Strong"/>
        </w:rPr>
        <w:t>deposit money banks</w:t>
      </w:r>
      <w:r>
        <w:rPr/>
        <w:t xml:space="preserve"> lack independent nomination committees, allowing concentrated ownership and political influences to dominate board appointments. This enables cronyism, where directors are selected for loyalty rather than </w:t>
      </w:r>
      <w:r>
        <w:rPr>
          <w:rStyle w:val="Strong"/>
        </w:rPr>
        <w:t>management qualifications</w:t>
      </w:r>
      <w:r>
        <w:rPr/>
        <w:t xml:space="preserve">, as seen in the 2009 banking crisis, where </w:t>
      </w:r>
      <w:r>
        <w:rPr>
          <w:rStyle w:val="Strong"/>
        </w:rPr>
        <w:t>unqualified management</w:t>
      </w:r>
      <w:r>
        <w:rPr/>
        <w:t xml:space="preserve"> facilitated mismanagement (Sanusi, 2014). For instance, Oceanic Bank’s board, dominated by Ibru family members, approved insider loans constituting 75% of NPLs, reflecting a severe lack of </w:t>
      </w:r>
      <w:r>
        <w:rPr>
          <w:rStyle w:val="Strong"/>
        </w:rPr>
        <w:t>independent oversight</w:t>
      </w:r>
      <w:r>
        <w:rPr/>
        <w:t xml:space="preserve"> (Sanusi, 2009). Sanusi (2014) notes that boards often exhibit weak ethical standards, with chairmen and CEOs exerting overbearing influence, rendering board committees inefficient or dormant. This cronyism, rooted in historical government interference pre-1986, perpetuates agency problems, as boards fail to monitor management effectively, contributing to NPL-driven distress (Chinweoda et al., 2020). </w:t>
      </w:r>
      <w:r>
        <w:rPr>
          <w:rStyle w:val="Strong"/>
        </w:rPr>
        <w:t>To add depth, Afolabi and Afolabi (2024) connect cronyism to practice index failures, affecting disclosure and compliance, as unqualified boards fail to implement robust credit risk controls, exacerbating default risk.</w:t>
      </w:r>
    </w:p>
    <w:p>
      <w:pPr>
        <w:pStyle w:val="Normal"/>
        <w:spacing w:before="0" w:after="0"/>
        <w:rPr/>
      </w:pPr>
      <w:r>
        <w:rPr/>
      </w:r>
    </w:p>
    <w:tbl>
      <w:tblPr>
        <w:tblW w:w="9962" w:type="dxa"/>
        <w:jc w:val="start"/>
        <w:tblInd w:w="0" w:type="dxa"/>
        <w:tblLayout w:type="fixed"/>
        <w:tblCellMar>
          <w:top w:w="0" w:type="dxa"/>
          <w:start w:w="108" w:type="dxa"/>
          <w:bottom w:w="0" w:type="dxa"/>
          <w:end w:w="108" w:type="dxa"/>
        </w:tblCellMar>
      </w:tblPr>
      <w:tblGrid>
        <w:gridCol w:w="1889"/>
        <w:gridCol w:w="2304"/>
        <w:gridCol w:w="2249"/>
        <w:gridCol w:w="2014"/>
        <w:gridCol w:w="1506"/>
      </w:tblGrid>
      <w:tr>
        <w:trPr/>
        <w:tc>
          <w:tcPr>
            <w:tcW w:w="1889"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Issue</w:t>
            </w:r>
          </w:p>
        </w:tc>
        <w:tc>
          <w:tcPr>
            <w:tcW w:w="2304"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2249"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Example</w:t>
            </w:r>
          </w:p>
        </w:tc>
        <w:tc>
          <w:tcPr>
            <w:tcW w:w="2014"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Impact on CG Tenets</w:t>
            </w:r>
          </w:p>
        </w:tc>
        <w:tc>
          <w:tcPr>
            <w:tcW w:w="150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Source</w:t>
            </w:r>
          </w:p>
        </w:tc>
      </w:tr>
      <w:tr>
        <w:trPr/>
        <w:tc>
          <w:tcPr>
            <w:tcW w:w="188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Lack of Independent Nomination Committees</w:t>
            </w:r>
          </w:p>
        </w:tc>
        <w:tc>
          <w:tcPr>
            <w:tcW w:w="230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61% of banks lack committees to ensure merit-based appointments, enabling cronyism (Ogbechie, 2016).</w:t>
            </w:r>
          </w:p>
        </w:tc>
        <w:tc>
          <w:tcPr>
            <w:tcW w:w="224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Oceanic Bank’s Ibru-dominated board approved insider loans (Sanusi, 2009).</w:t>
            </w:r>
          </w:p>
        </w:tc>
        <w:tc>
          <w:tcPr>
            <w:tcW w:w="201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Undermines accountability and transparency; weakens risk management.</w:t>
            </w:r>
          </w:p>
        </w:tc>
        <w:tc>
          <w:tcPr>
            <w:tcW w:w="15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Ogbechie (2016), Sanusi (2009)</w:t>
            </w:r>
          </w:p>
        </w:tc>
      </w:tr>
      <w:tr>
        <w:trPr/>
        <w:tc>
          <w:tcPr>
            <w:tcW w:w="188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Politically Motivated Appointments</w:t>
            </w:r>
          </w:p>
        </w:tc>
        <w:tc>
          <w:tcPr>
            <w:tcW w:w="230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Directors selected for political ties rather than expertise, rooted in pre-1986 state control (Chinweoda et al., 2020).</w:t>
            </w:r>
          </w:p>
        </w:tc>
        <w:tc>
          <w:tcPr>
            <w:tcW w:w="224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Intercontinental Bank’s collapse due to unqualified board oversight (Owolabi, 2013).</w:t>
            </w:r>
          </w:p>
        </w:tc>
        <w:tc>
          <w:tcPr>
            <w:tcW w:w="201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Erodes bank practice and audit committee effectiveness.</w:t>
            </w:r>
          </w:p>
        </w:tc>
        <w:tc>
          <w:tcPr>
            <w:tcW w:w="15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Chinweoda et al. (2020), Owolabi (2013)</w:t>
            </w:r>
          </w:p>
        </w:tc>
      </w:tr>
      <w:tr>
        <w:trPr/>
        <w:tc>
          <w:tcPr>
            <w:tcW w:w="188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Concentrated Ownership</w:t>
            </w:r>
          </w:p>
        </w:tc>
        <w:tc>
          <w:tcPr>
            <w:tcW w:w="230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Family or political control marginalizes minority shareholders, stifling independence (Adegbite, 2014).</w:t>
            </w:r>
          </w:p>
        </w:tc>
        <w:tc>
          <w:tcPr>
            <w:tcW w:w="224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Bank PHB’s board failed to curb risky lending due to dominant shareholders (Owolabi, 2013).</w:t>
            </w:r>
          </w:p>
        </w:tc>
        <w:tc>
          <w:tcPr>
            <w:tcW w:w="201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Reduces transparency and accountability, increasing NPLs.</w:t>
            </w:r>
          </w:p>
        </w:tc>
        <w:tc>
          <w:tcPr>
            <w:tcW w:w="15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Adegbite (2014), Owolabi (2013)</w:t>
            </w:r>
          </w:p>
        </w:tc>
      </w:tr>
      <w:tr>
        <w:trPr/>
        <w:tc>
          <w:tcPr>
            <w:tcW w:w="188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Weak Ethical Standards</w:t>
            </w:r>
          </w:p>
        </w:tc>
        <w:tc>
          <w:tcPr>
            <w:tcW w:w="230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Overbearing chairman/CEO influence renders committees dormant (Sanusi, 2014).</w:t>
            </w:r>
          </w:p>
        </w:tc>
        <w:tc>
          <w:tcPr>
            <w:tcW w:w="224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Oceanic Bank’s CEO-driven insider lending (Sanusi, 2009).</w:t>
            </w:r>
          </w:p>
        </w:tc>
        <w:tc>
          <w:tcPr>
            <w:tcW w:w="201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Compromises risk management and audit oversight, driving default risk.</w:t>
            </w:r>
          </w:p>
        </w:tc>
        <w:tc>
          <w:tcPr>
            <w:tcW w:w="150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Sanusi (2014), Ojo &amp; Ojo (2025)</w:t>
            </w:r>
          </w:p>
        </w:tc>
      </w:tr>
    </w:tbl>
    <w:p>
      <w:pPr>
        <w:pStyle w:val="NormalWeb"/>
        <w:spacing w:before="280" w:after="280"/>
        <w:rPr>
          <w:rFonts w:ascii="Calibri" w:hAnsi="Calibri" w:cs="Calibri"/>
        </w:rPr>
      </w:pPr>
      <w:r>
        <w:rPr>
          <w:rFonts w:cs="Calibri" w:ascii="Calibri" w:hAnsi="Calibri"/>
        </w:rPr>
        <w:t>Note: Adapted from Ogbechie (2016), Sanusi (2014), and Afolabi and Afolabi (2025). Impacts highlight connections to transparency, accountability, bank practice, risk management, and audit committees.</w:t>
      </w:r>
    </w:p>
    <w:p>
      <w:pPr>
        <w:pStyle w:val="BodyText"/>
        <w:spacing w:lineRule="auto" w:line="480"/>
        <w:ind w:hanging="0" w:start="0" w:end="0"/>
        <w:rPr/>
      </w:pPr>
      <w:r>
        <w:rPr/>
        <w:t xml:space="preserve">The absence of independent nomination committees exacerbates these issues by entrenching politically motivated or family-based appointments, undermining board diversity and </w:t>
      </w:r>
      <w:r>
        <w:rPr>
          <w:rStyle w:val="Strong"/>
        </w:rPr>
        <w:t>management qualifications</w:t>
      </w:r>
      <w:r>
        <w:rPr/>
        <w:t xml:space="preserve"> (Ogbechie, 2016). Nwoko et al. (2022) argue that </w:t>
      </w:r>
      <w:r>
        <w:rPr>
          <w:rStyle w:val="Strong"/>
        </w:rPr>
        <w:t>unqualified directors</w:t>
      </w:r>
      <w:r>
        <w:rPr/>
        <w:t xml:space="preserve">, often lacking financial or governance training, weaken strategic oversight, as seen in the collapses of Intercontinental Bank and Bank PHB, where boards failed to curb risky lending practices (Owolabi, 2013). Adegbite (2014) highlights that concentrated ownership structures, prevalent in Nigerian </w:t>
      </w:r>
      <w:r>
        <w:rPr>
          <w:rStyle w:val="Strong"/>
        </w:rPr>
        <w:t>deposit money banks</w:t>
      </w:r>
      <w:r>
        <w:rPr/>
        <w:t xml:space="preserve">, marginalize minority shareholders and stifle independent decision-making, aligning with agency theory’s concerns about self-interested behavior. The lack of independent nomination committees also contradicts stewardship theory’s call for competent boards, as political patronage overrides merit, leading to governance lapses that elevate NPLs, such as the 20% peak in 2017 (Adegboye, 2020). These findings underscore the need for reforms to enhance </w:t>
      </w:r>
      <w:r>
        <w:rPr>
          <w:rStyle w:val="Strong"/>
        </w:rPr>
        <w:t>board independence</w:t>
      </w:r>
      <w:r>
        <w:rPr/>
        <w:t xml:space="preserve"> and </w:t>
      </w:r>
      <w:r>
        <w:rPr>
          <w:rStyle w:val="Strong"/>
        </w:rPr>
        <w:t>management qualifications</w:t>
      </w:r>
      <w:r>
        <w:rPr/>
        <w:t xml:space="preserve"> to mitigate default risk. </w:t>
      </w:r>
      <w:r>
        <w:rPr>
          <w:rStyle w:val="Strong"/>
        </w:rPr>
        <w:t>Recent research by Ojo and Ojo (2024) further ties this to audit committee independence, emphasizing the need for improved disclosure in practice indices.</w:t>
      </w:r>
      <w:r>
        <w:rPr/>
        <w:t xml:space="preserve"> The CBN’s 2023 Guidelines mandate at least three independent non-executive directors, but without nomination committees, </w:t>
      </w:r>
      <w:r>
        <w:rPr>
          <w:rStyle w:val="Strong"/>
        </w:rPr>
        <w:t>enforcement consistency</w:t>
      </w:r>
      <w:r>
        <w:rPr/>
        <w:t xml:space="preserve"> remains weak (CBN, </w:t>
      </w:r>
      <w:r>
        <w:rPr>
          <w:rStyle w:val="Strong"/>
        </w:rPr>
        <w:t>2024</w:t>
      </w:r>
      <w:r>
        <w:rPr/>
        <w:t>).</w:t>
      </w:r>
    </w:p>
    <w:p>
      <w:pPr>
        <w:pStyle w:val="BodyText"/>
        <w:spacing w:lineRule="auto" w:line="480"/>
        <w:ind w:hanging="0" w:start="0" w:end="0"/>
        <w:rPr/>
      </w:pPr>
      <w:r>
        <w:rPr>
          <w:rStyle w:val="Strong"/>
        </w:rPr>
        <w:t>2.4.4 Consequences for Default Risk and NPLs</w:t>
      </w:r>
    </w:p>
    <w:p>
      <w:pPr>
        <w:pStyle w:val="BodyText"/>
        <w:spacing w:lineRule="auto" w:line="480"/>
        <w:ind w:hanging="0" w:start="0" w:end="0"/>
        <w:rPr/>
      </w:pPr>
      <w:r>
        <w:rPr/>
        <w:t xml:space="preserve">The lack of board oversight and </w:t>
      </w:r>
      <w:r>
        <w:rPr>
          <w:rStyle w:val="Strong"/>
        </w:rPr>
        <w:t>independence</w:t>
      </w:r>
      <w:r>
        <w:rPr/>
        <w:t xml:space="preserve"> in Nigeria’s </w:t>
      </w:r>
      <w:r>
        <w:rPr>
          <w:rStyle w:val="Strong"/>
        </w:rPr>
        <w:t>deposit money banking</w:t>
      </w:r>
      <w:r>
        <w:rPr/>
        <w:t xml:space="preserve"> sector, driven by cronyism and absent nomination committees, directly contributes to default risk by undermining </w:t>
      </w:r>
      <w:r>
        <w:rPr>
          <w:rStyle w:val="Strong"/>
        </w:rPr>
        <w:t>disclosure and practice indices</w:t>
      </w:r>
      <w:r>
        <w:rPr/>
        <w:t xml:space="preserve">. Agency theory suggests that </w:t>
      </w:r>
      <w:r>
        <w:rPr>
          <w:rStyle w:val="Strong"/>
        </w:rPr>
        <w:t>independent boards</w:t>
      </w:r>
      <w:r>
        <w:rPr/>
        <w:t xml:space="preserve"> are essential to curb managerial excesses, yet Nigerian boards’ failure to do so, as in Oceanic Bank, led to systemic crises (Jensen &amp; Meckling, 1976; Sanusi, 2009). Stewardship theory’s emphasis on competent boards is equally unfulfilled, as </w:t>
      </w:r>
      <w:r>
        <w:rPr>
          <w:rStyle w:val="Strong"/>
        </w:rPr>
        <w:t>unqualified directors</w:t>
      </w:r>
      <w:r>
        <w:rPr/>
        <w:t xml:space="preserve"> weaken strategic guidance (Donaldson &amp; Davis, 1991). Nigerian studies, including Ogbechie (2016) and Sanusi (2014), advocate for mandatory independent nomination committees to ensure merit-based appointments, aligning with global standards like the OECD Principles (2023). Such reforms could enhance board diversity and </w:t>
      </w:r>
      <w:r>
        <w:rPr>
          <w:rStyle w:val="Strong"/>
        </w:rPr>
        <w:t>management qualifications</w:t>
      </w:r>
      <w:r>
        <w:rPr/>
        <w:t xml:space="preserve">, reducing agency conflicts and fostering risk mitigation, as seen in jurisdictions with robust governance frameworks (Aguilera &amp; Ruiz Castillo, </w:t>
      </w:r>
      <w:r>
        <w:rPr>
          <w:rStyle w:val="Strong"/>
        </w:rPr>
        <w:t>2024</w:t>
      </w:r>
      <w:r>
        <w:rPr/>
        <w:t xml:space="preserve">). This section’s findings align with research objective OB1 and hypothesis H1, which examine how robust </w:t>
      </w:r>
      <w:r>
        <w:rPr>
          <w:rStyle w:val="Strong"/>
        </w:rPr>
        <w:t>practice indices</w:t>
      </w:r>
      <w:r>
        <w:rPr/>
        <w:t xml:space="preserve">, including board oversight, reduce NPLs, highlighting the urgency of context-specific reforms to address board inefficiencies in Nigeria’s </w:t>
      </w:r>
      <w:r>
        <w:rPr>
          <w:rStyle w:val="Strong"/>
        </w:rPr>
        <w:t>deposit money banking</w:t>
      </w:r>
      <w:r>
        <w:rPr/>
        <w:t xml:space="preserve"> sector. </w:t>
      </w:r>
      <w:r>
        <w:rPr>
          <w:rStyle w:val="Strong"/>
        </w:rPr>
        <w:t>Expanding, Afolabi and Afolabi (2024) show how board independence ties to practice indices and audit effectiveness, reinforcing disclosure.</w:t>
      </w:r>
      <w:r>
        <w:rPr/>
        <w:t xml:space="preserve"> </w:t>
      </w:r>
      <w:r>
        <w:rPr>
          <w:rStyle w:val="Strong"/>
        </w:rPr>
        <w:t>Recent 2024 developments, such as the CBN’s recapitalization program requiring N500 billion for international banks, aim to bolster stability but do not directly address board composition issues (CBN, 2024).</w:t>
      </w:r>
    </w:p>
    <w:p>
      <w:pPr>
        <w:pStyle w:val="Normal"/>
        <w:rPr/>
      </w:pPr>
      <w:r>
        <w:rPr/>
      </w:r>
    </w:p>
    <w:p>
      <w:pPr>
        <w:pStyle w:val="Normal"/>
        <w:rPr/>
      </w:pPr>
      <w:r>
        <w:rPr/>
        <w:t>Table 2.3: Proposed Reforms to Enhance Board Independence</w:t>
      </w:r>
    </w:p>
    <w:tbl>
      <w:tblPr>
        <w:tblW w:w="9962" w:type="dxa"/>
        <w:jc w:val="start"/>
        <w:tblInd w:w="0" w:type="dxa"/>
        <w:tblLayout w:type="fixed"/>
        <w:tblCellMar>
          <w:top w:w="0" w:type="dxa"/>
          <w:start w:w="108" w:type="dxa"/>
          <w:bottom w:w="0" w:type="dxa"/>
          <w:end w:w="108" w:type="dxa"/>
        </w:tblCellMar>
      </w:tblPr>
      <w:tblGrid>
        <w:gridCol w:w="1867"/>
        <w:gridCol w:w="2622"/>
        <w:gridCol w:w="2102"/>
        <w:gridCol w:w="2035"/>
        <w:gridCol w:w="1336"/>
      </w:tblGrid>
      <w:tr>
        <w:trPr/>
        <w:tc>
          <w:tcPr>
            <w:tcW w:w="186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Reform</w:t>
            </w:r>
          </w:p>
        </w:tc>
        <w:tc>
          <w:tcPr>
            <w:tcW w:w="262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210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Expected Impact</w:t>
            </w:r>
          </w:p>
        </w:tc>
        <w:tc>
          <w:tcPr>
            <w:tcW w:w="2035"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Global Benchmark</w:t>
            </w:r>
          </w:p>
        </w:tc>
        <w:tc>
          <w:tcPr>
            <w:tcW w:w="133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Source</w:t>
            </w:r>
          </w:p>
        </w:tc>
      </w:tr>
      <w:tr>
        <w:trPr/>
        <w:tc>
          <w:tcPr>
            <w:tcW w:w="186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Mandatory Nomination Committees</w:t>
            </w:r>
          </w:p>
        </w:tc>
        <w:tc>
          <w:tcPr>
            <w:tcW w:w="26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Require independent committees for merit-based director selection.</w:t>
            </w:r>
          </w:p>
        </w:tc>
        <w:tc>
          <w:tcPr>
            <w:tcW w:w="21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Enhances board expertise, reduces cronyism, improves risk oversight.</w:t>
            </w:r>
          </w:p>
        </w:tc>
        <w:tc>
          <w:tcPr>
            <w:tcW w:w="203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OECD Principles (2023): Independent nomination processes.</w:t>
            </w:r>
          </w:p>
        </w:tc>
        <w:tc>
          <w:tcPr>
            <w:tcW w:w="13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Ogbechie (2016), OECD (2023)</w:t>
            </w:r>
          </w:p>
        </w:tc>
      </w:tr>
      <w:tr>
        <w:trPr/>
        <w:tc>
          <w:tcPr>
            <w:tcW w:w="186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Minimum Qualification Standards</w:t>
            </w:r>
          </w:p>
        </w:tc>
        <w:tc>
          <w:tcPr>
            <w:tcW w:w="26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Mandate financial/governance training for directors.</w:t>
            </w:r>
          </w:p>
        </w:tc>
        <w:tc>
          <w:tcPr>
            <w:tcW w:w="21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Strengthens strategic oversight, aligns with stewardship theory.</w:t>
            </w:r>
          </w:p>
        </w:tc>
        <w:tc>
          <w:tcPr>
            <w:tcW w:w="203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EU’s CRD IV: Director competency requirements (EU, 2013).</w:t>
            </w:r>
          </w:p>
        </w:tc>
        <w:tc>
          <w:tcPr>
            <w:tcW w:w="13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Nwoko et al. (2022)</w:t>
            </w:r>
          </w:p>
        </w:tc>
      </w:tr>
      <w:tr>
        <w:trPr/>
        <w:tc>
          <w:tcPr>
            <w:tcW w:w="186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Limit Concentrated Ownership Influence</w:t>
            </w:r>
          </w:p>
        </w:tc>
        <w:tc>
          <w:tcPr>
            <w:tcW w:w="26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Cap voting rights of major shareholders in board appointments.</w:t>
            </w:r>
          </w:p>
        </w:tc>
        <w:tc>
          <w:tcPr>
            <w:tcW w:w="21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Promotes minority shareholder inclusion, enhances accountability.</w:t>
            </w:r>
          </w:p>
        </w:tc>
        <w:tc>
          <w:tcPr>
            <w:tcW w:w="203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Singapore’s CG Code: Balanced board representation (MAS, 2021).</w:t>
            </w:r>
          </w:p>
        </w:tc>
        <w:tc>
          <w:tcPr>
            <w:tcW w:w="13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Adegbite (2014)</w:t>
            </w:r>
          </w:p>
        </w:tc>
      </w:tr>
      <w:tr>
        <w:trPr/>
        <w:tc>
          <w:tcPr>
            <w:tcW w:w="186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Enhanced CBN Enforcement</w:t>
            </w:r>
          </w:p>
        </w:tc>
        <w:tc>
          <w:tcPr>
            <w:tcW w:w="26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Empower CBN to sanction non-compliant boards.</w:t>
            </w:r>
          </w:p>
        </w:tc>
        <w:tc>
          <w:tcPr>
            <w:tcW w:w="21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Deters cronyism, strengthens transparency and bank practice.</w:t>
            </w:r>
          </w:p>
        </w:tc>
        <w:tc>
          <w:tcPr>
            <w:tcW w:w="203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Basel III: Strong regulatory oversight (BCBS, 2010).</w:t>
            </w:r>
          </w:p>
        </w:tc>
        <w:tc>
          <w:tcPr>
            <w:tcW w:w="13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Sanusi (2014), Ojo &amp; Ojo (2025)</w:t>
            </w:r>
          </w:p>
        </w:tc>
      </w:tr>
    </w:tbl>
    <w:p>
      <w:pPr>
        <w:pStyle w:val="NormalWeb"/>
        <w:spacing w:before="280" w:after="280"/>
        <w:rPr>
          <w:rFonts w:ascii="Calibri" w:hAnsi="Calibri" w:cs="Calibri"/>
        </w:rPr>
      </w:pPr>
      <w:r>
        <w:rPr>
          <w:rFonts w:cs="Calibri" w:ascii="Calibri" w:hAnsi="Calibri"/>
        </w:rPr>
        <w:t>Note: Adapted from Ogbechie (2016), OECD (2023), and Afolabi and Afolabi (2025). Reforms address transparency, accountability, bank practice, risk management, and audit committee independence.</w:t>
      </w:r>
    </w:p>
    <w:p>
      <w:pPr>
        <w:pStyle w:val="Heading3"/>
        <w:rPr/>
      </w:pPr>
      <w:r>
        <w:rPr/>
        <w:t>2.4.5 Ties to Corporate Governance Tenets</w:t>
      </w:r>
    </w:p>
    <w:p>
      <w:pPr>
        <w:pStyle w:val="BodyText"/>
        <w:rPr>
          <w:rFonts w:ascii="Arial" w:hAnsi="Arial" w:cs="Arial"/>
        </w:rPr>
      </w:pPr>
      <w:r>
        <w:rPr>
          <w:rFonts w:cs="Arial" w:ascii="Arial" w:hAnsi="Arial"/>
        </w:rPr>
        <w:t xml:space="preserve">Board inefficiencies in Nigeria’s </w:t>
      </w:r>
      <w:r>
        <w:rPr>
          <w:rStyle w:val="Strong"/>
          <w:rFonts w:cs="Arial" w:ascii="Arial" w:hAnsi="Arial"/>
        </w:rPr>
        <w:t>deposit money banking</w:t>
      </w:r>
      <w:r>
        <w:rPr>
          <w:rFonts w:cs="Arial" w:ascii="Arial" w:hAnsi="Arial"/>
        </w:rPr>
        <w:t xml:space="preserve"> sector directly undermine the core </w:t>
      </w:r>
      <w:r>
        <w:rPr>
          <w:rStyle w:val="Strong"/>
          <w:rFonts w:cs="Arial" w:ascii="Arial" w:hAnsi="Arial"/>
        </w:rPr>
        <w:t>indices of disclosure, practice, and compliance</w:t>
      </w:r>
      <w:r>
        <w:rPr>
          <w:rFonts w:cs="Arial" w:ascii="Arial" w:hAnsi="Arial"/>
        </w:rPr>
        <w:t xml:space="preserve">. Cronyism and concentrated ownership erode </w:t>
      </w:r>
      <w:r>
        <w:rPr>
          <w:rStyle w:val="Strong"/>
          <w:rFonts w:cs="Arial" w:ascii="Arial" w:hAnsi="Arial"/>
        </w:rPr>
        <w:t>disclosure</w:t>
      </w:r>
      <w:r>
        <w:rPr>
          <w:rFonts w:cs="Arial" w:ascii="Arial" w:hAnsi="Arial"/>
        </w:rPr>
        <w:t xml:space="preserve"> by enabling insider lending, as seen in Oceanic Bank’s falsified reports (Sanusi, 2009). </w:t>
      </w:r>
      <w:r>
        <w:rPr>
          <w:rStyle w:val="Strong"/>
          <w:rFonts w:cs="Arial" w:ascii="Arial" w:hAnsi="Arial"/>
        </w:rPr>
        <w:t>Compliance</w:t>
      </w:r>
      <w:r>
        <w:rPr>
          <w:rFonts w:cs="Arial" w:ascii="Arial" w:hAnsi="Arial"/>
        </w:rPr>
        <w:t xml:space="preserve"> is weakened by politically motivated appointments, which marginalize minority shareholders and stifle </w:t>
      </w:r>
      <w:r>
        <w:rPr>
          <w:rStyle w:val="Strong"/>
          <w:rFonts w:cs="Arial" w:ascii="Arial" w:hAnsi="Arial"/>
        </w:rPr>
        <w:t>independent oversight</w:t>
      </w:r>
      <w:r>
        <w:rPr>
          <w:rFonts w:cs="Arial" w:ascii="Arial" w:hAnsi="Arial"/>
        </w:rPr>
        <w:t xml:space="preserve"> (Adegbite, 2014). </w:t>
      </w:r>
      <w:r>
        <w:rPr>
          <w:rStyle w:val="Strong"/>
          <w:rFonts w:cs="Arial" w:ascii="Arial" w:hAnsi="Arial"/>
        </w:rPr>
        <w:t>Practice indices</w:t>
      </w:r>
      <w:r>
        <w:rPr>
          <w:rFonts w:cs="Arial" w:ascii="Arial" w:hAnsi="Arial"/>
        </w:rPr>
        <w:t xml:space="preserve"> suffer from </w:t>
      </w:r>
      <w:r>
        <w:rPr>
          <w:rStyle w:val="Strong"/>
          <w:rFonts w:cs="Arial" w:ascii="Arial" w:hAnsi="Arial"/>
        </w:rPr>
        <w:t>unqualified directors</w:t>
      </w:r>
      <w:r>
        <w:rPr>
          <w:rFonts w:cs="Arial" w:ascii="Arial" w:hAnsi="Arial"/>
        </w:rPr>
        <w:t xml:space="preserve">, leading to poor strategic decisions and risky lending (Owolabi, 2013). Risk management is compromised by the absence of </w:t>
      </w:r>
      <w:r>
        <w:rPr>
          <w:rStyle w:val="Strong"/>
          <w:rFonts w:cs="Arial" w:ascii="Arial" w:hAnsi="Arial"/>
        </w:rPr>
        <w:t>independent oversight</w:t>
      </w:r>
      <w:r>
        <w:rPr>
          <w:rFonts w:cs="Arial" w:ascii="Arial" w:hAnsi="Arial"/>
        </w:rPr>
        <w:t xml:space="preserve">, contributing to NPL spikes (Adegboye, 2020). </w:t>
      </w:r>
      <w:r>
        <w:rPr>
          <w:rStyle w:val="Strong"/>
          <w:rFonts w:cs="Arial" w:ascii="Arial" w:hAnsi="Arial"/>
        </w:rPr>
        <w:t>Audit committee independence</w:t>
      </w:r>
      <w:r>
        <w:rPr>
          <w:rFonts w:cs="Arial" w:ascii="Arial" w:hAnsi="Arial"/>
        </w:rPr>
        <w:t>, crucial for financial integrity, is undermined by crony boards, as noted by Ojo and Ojo (2024). These interconnected failures highlight the need for reforms to restore robust board oversight.</w:t>
      </w:r>
    </w:p>
    <w:p>
      <w:pPr>
        <w:pStyle w:val="BodyText"/>
        <w:spacing w:lineRule="auto" w:line="480"/>
        <w:ind w:hanging="0" w:start="0" w:end="0"/>
        <w:rPr>
          <w:rFonts w:ascii="Arial" w:hAnsi="Arial" w:cs="Arial"/>
        </w:rPr>
      </w:pPr>
      <w:r>
        <w:rPr>
          <w:rFonts w:cs="Arial" w:ascii="Arial" w:hAnsi="Arial"/>
        </w:rPr>
        <w:t xml:space="preserve">Board oversight and </w:t>
      </w:r>
      <w:r>
        <w:rPr>
          <w:rStyle w:val="Strong"/>
          <w:rFonts w:cs="Arial" w:ascii="Arial" w:hAnsi="Arial"/>
        </w:rPr>
        <w:t>independence</w:t>
      </w:r>
      <w:r>
        <w:rPr>
          <w:rFonts w:cs="Arial" w:ascii="Arial" w:hAnsi="Arial"/>
        </w:rPr>
        <w:t xml:space="preserve"> are pivotal for </w:t>
      </w:r>
      <w:r>
        <w:rPr>
          <w:rStyle w:val="Strong"/>
          <w:rFonts w:cs="Arial" w:ascii="Arial" w:hAnsi="Arial"/>
        </w:rPr>
        <w:t>disclosure and practice</w:t>
      </w:r>
      <w:r>
        <w:rPr>
          <w:rFonts w:cs="Arial" w:ascii="Arial" w:hAnsi="Arial"/>
        </w:rPr>
        <w:t xml:space="preserve"> in Nigeria’s </w:t>
      </w:r>
      <w:r>
        <w:rPr>
          <w:rStyle w:val="Strong"/>
          <w:rFonts w:cs="Arial" w:ascii="Arial" w:hAnsi="Arial"/>
        </w:rPr>
        <w:t>deposit money banking</w:t>
      </w:r>
      <w:r>
        <w:rPr>
          <w:rFonts w:cs="Arial" w:ascii="Arial" w:hAnsi="Arial"/>
        </w:rPr>
        <w:t xml:space="preserve"> sector, yet cronyism and the absence of independent nomination committees in 61% of banks undermine these roles, driving default risk through elevated NPLs (Ogbechie, 2016; Sanusi, 2014). Agency and stewardship theories emphasize the need for </w:t>
      </w:r>
      <w:r>
        <w:rPr>
          <w:rStyle w:val="Strong"/>
          <w:rFonts w:cs="Arial" w:ascii="Arial" w:hAnsi="Arial"/>
        </w:rPr>
        <w:t>independent, qualified boards</w:t>
      </w:r>
      <w:r>
        <w:rPr>
          <w:rFonts w:cs="Arial" w:ascii="Arial" w:hAnsi="Arial"/>
        </w:rPr>
        <w:t xml:space="preserve"> to align management with stakeholder interests and mitigate risks, but Nigeria’s governance failures, rooted in historical legacies, hinder their application (Jensen &amp; Meckling, 1976; Donaldson &amp; Davis, 1991). The 2009 crisis and subsequent NPL spikes illustrate the consequences of weak board oversight, necessitating reforms like independent nomination committees to enhance </w:t>
      </w:r>
      <w:r>
        <w:rPr>
          <w:rStyle w:val="Strong"/>
          <w:rFonts w:cs="Arial" w:ascii="Arial" w:hAnsi="Arial"/>
        </w:rPr>
        <w:t>management qualifications</w:t>
      </w:r>
      <w:r>
        <w:rPr>
          <w:rFonts w:cs="Arial" w:ascii="Arial" w:hAnsi="Arial"/>
        </w:rPr>
        <w:t xml:space="preserve">. This section supports OB1 and H1 by linking board oversight to NPL reduction and sets the stage for further analysis of governance mechanisms impacting default risk in Nigeria’s </w:t>
      </w:r>
      <w:r>
        <w:rPr>
          <w:rStyle w:val="Strong"/>
          <w:rFonts w:cs="Arial" w:ascii="Arial" w:hAnsi="Arial"/>
        </w:rPr>
        <w:t>deposit money banking</w:t>
      </w:r>
      <w:r>
        <w:rPr>
          <w:rFonts w:cs="Arial" w:ascii="Arial" w:hAnsi="Arial"/>
        </w:rPr>
        <w:t xml:space="preserve"> sector. </w:t>
      </w:r>
      <w:r>
        <w:rPr>
          <w:rStyle w:val="Strong"/>
          <w:rFonts w:cs="Arial" w:ascii="Arial" w:hAnsi="Arial"/>
        </w:rPr>
        <w:t>Recent contributions by Ojo and Ojo (2024) add that strengthening board independence can improve audit committee functions and practice indices.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rPr/>
      </w:pPr>
      <w:bookmarkStart w:id="174" w:name="_Toc205059267"/>
      <w:bookmarkStart w:id="175" w:name="_Toc202193605"/>
      <w:bookmarkStart w:id="176" w:name="_Toc205059639"/>
      <w:bookmarkStart w:id="177" w:name="_Toc205059578"/>
      <w:bookmarkStart w:id="178" w:name="_Toc205059484"/>
      <w:bookmarkStart w:id="179" w:name="_Toc203671468"/>
      <w:bookmarkStart w:id="180" w:name="_Toc203671418"/>
      <w:bookmarkStart w:id="181" w:name="_Toc203584764"/>
      <w:bookmarkStart w:id="182" w:name="_Toc203392096"/>
      <w:bookmarkStart w:id="183" w:name="_Toc203392032"/>
      <w:r>
        <w:rPr/>
        <w:t>2.5 Audit Committee Independence and Financial Reporting</w:t>
      </w:r>
      <w:bookmarkEnd w:id="174"/>
      <w:bookmarkEnd w:id="175"/>
      <w:bookmarkEnd w:id="176"/>
      <w:bookmarkEnd w:id="177"/>
      <w:bookmarkEnd w:id="178"/>
      <w:bookmarkEnd w:id="179"/>
      <w:bookmarkEnd w:id="180"/>
      <w:bookmarkEnd w:id="181"/>
      <w:bookmarkEnd w:id="182"/>
      <w:bookmarkEnd w:id="183"/>
    </w:p>
    <w:p>
      <w:pPr>
        <w:pStyle w:val="BodyText"/>
        <w:keepLines/>
        <w:spacing w:lineRule="auto" w:line="480" w:before="160" w:after="80"/>
        <w:ind w:hanging="0" w:start="0" w:end="0"/>
        <w:jc w:val="start"/>
        <w:rPr>
          <w:rFonts w:eastAsia="Calibri" w:cs="FreeSerif"/>
          <w:b/>
          <w:szCs w:val="28"/>
        </w:rPr>
      </w:pPr>
      <w:r>
        <w:rPr>
          <w:rFonts w:eastAsia="Calibri" w:cs="FreeSerif"/>
          <w:b/>
          <w:szCs w:val="28"/>
        </w:rPr>
        <w:t>Audit committee independence is pivotal in ensuring disclosure and compliance in Nigeria’s deposit money banking sector, where governance failures have driven high non-performing loan (NPL) ratios, contributing to 425 bank failures since 1988 (Udo, 2020). These committees are tasked with overseeing financial reporting, internal controls, and risk management, yet their effectiveness in Nigeria is undermined by a lack of independence, often due to capture by majority shareholders, leading to financial misreporting and elevated default risk (Adegbite, 2014). With NPLs peaking at 37% in 2009 and 20% in 2017 against the Central Bank of Nigeria’s (CBN) 5% threshold, robust audit committee oversight is critical to mitigating these risks (Nwosu, 2020; Adegboye, 2020). This section explores agency and resource dependence theories on audit committee roles in fostering disclosure, reviews Nigerian literature on audit committee capture, and connects these to NPL reduction through improved oversight, contrasting Nigeria’s practice indices with global standards. Expanding this, Afolabi and Afolabi (2024) highlight how audit independence ties to practice indices and risk management, reinforcing disclosure and compliance.</w:t>
      </w:r>
    </w:p>
    <w:p>
      <w:pPr>
        <w:pStyle w:val="Heading3"/>
        <w:rPr/>
      </w:pPr>
      <w:r>
        <w:rPr/>
        <w:br/>
        <w:t>2.5.1 Theoretical Foundations of Audit Committee Roles</w:t>
      </w:r>
    </w:p>
    <w:p>
      <w:pPr>
        <w:pStyle w:val="Heading4"/>
        <w:rPr/>
      </w:pPr>
      <w:r>
        <w:rPr/>
        <w:t>2.5.1.1 Agency Theory and Financial Oversight</w:t>
      </w:r>
    </w:p>
    <w:p>
      <w:pPr>
        <w:pStyle w:val="BodyText"/>
        <w:spacing w:lineRule="auto" w:line="480"/>
        <w:ind w:hanging="0" w:start="0" w:end="0"/>
        <w:rPr/>
      </w:pPr>
      <w:r>
        <w:rPr>
          <w:rStyle w:val="Strong"/>
        </w:rPr>
        <w:t>2.5.1.1 Agency Theory and Financial Oversight</w:t>
      </w:r>
    </w:p>
    <w:p>
      <w:pPr>
        <w:pStyle w:val="BodyText"/>
        <w:spacing w:lineRule="auto" w:line="480"/>
        <w:ind w:hanging="0" w:start="0" w:end="0"/>
        <w:rPr/>
      </w:pPr>
      <w:r>
        <w:rPr/>
        <w:t xml:space="preserve">Agency theory, articulated by Jensen and Meckling (1976), posits that </w:t>
      </w:r>
      <w:r>
        <w:rPr>
          <w:rStyle w:val="Strong"/>
        </w:rPr>
        <w:t>audit committees</w:t>
      </w:r>
      <w:r>
        <w:rPr/>
        <w:t xml:space="preserve"> serve as a critical governance mechanism to mitigate agency conflicts between shareholders (principals) and management (agents) by ensuring transparent financial reporting and reducing information asymmetry. </w:t>
      </w:r>
      <w:r>
        <w:rPr>
          <w:rStyle w:val="Strong"/>
        </w:rPr>
        <w:t>Independent audit committees</w:t>
      </w:r>
      <w:r>
        <w:rPr/>
        <w:t xml:space="preserve">, free from managerial influence, enhance oversight by rigorously reviewing financial statements, detecting fraud, and ensuring </w:t>
      </w:r>
      <w:r>
        <w:rPr>
          <w:rStyle w:val="Strong"/>
        </w:rPr>
        <w:t>compliance</w:t>
      </w:r>
      <w:r>
        <w:rPr/>
        <w:t xml:space="preserve"> with regulatory standards (Fama &amp; Jensen, 1983). In the </w:t>
      </w:r>
      <w:r>
        <w:rPr>
          <w:rStyle w:val="Strong"/>
        </w:rPr>
        <w:t>deposit money banking</w:t>
      </w:r>
      <w:r>
        <w:rPr/>
        <w:t xml:space="preserve"> sector, where mismanagement can lead to significant NPLs, agency theory underscores the need for </w:t>
      </w:r>
      <w:r>
        <w:rPr>
          <w:rStyle w:val="Strong"/>
        </w:rPr>
        <w:t>audit committees</w:t>
      </w:r>
      <w:r>
        <w:rPr/>
        <w:t xml:space="preserve"> with financial expertise and autonomy to curb risky lending practices, as seen in the 2009 Oceanic Bank crisis, where weak oversight enabled insider loans constituting 75% of NPLs (Sanusi, 2009). </w:t>
      </w:r>
      <w:r>
        <w:rPr>
          <w:rStyle w:val="Strong"/>
        </w:rPr>
        <w:t>To add depth, Ojo and Ojo (2024) link agency theory to audit committee roles in improving practice indices, emphasizing their function in validating loan portfolio quality and ensuring adherence to CBN’s risk guidelines.</w:t>
      </w:r>
      <w:r>
        <w:rPr/>
        <w:t xml:space="preserve"> </w:t>
      </w:r>
      <w:r>
        <w:rPr>
          <w:rStyle w:val="Strong"/>
        </w:rPr>
        <w:t>Independent audit committees</w:t>
      </w:r>
      <w:r>
        <w:rPr/>
        <w:t xml:space="preserve"> are essential for detecting irregularities, such as inflated asset valuations, which directly contribute to default risk if unchecked (Abdulmalik &amp; Ahmad, 2020).</w:t>
      </w:r>
    </w:p>
    <w:p>
      <w:pPr>
        <w:pStyle w:val="BodyText"/>
        <w:spacing w:lineRule="auto" w:line="480"/>
        <w:ind w:hanging="0" w:start="0" w:end="0"/>
        <w:rPr/>
      </w:pPr>
      <w:r>
        <w:rPr>
          <w:rStyle w:val="Strong"/>
        </w:rPr>
        <w:t>2.5.1.2 Resource Dependence Theory and Governance Credibility</w:t>
      </w:r>
    </w:p>
    <w:p>
      <w:pPr>
        <w:pStyle w:val="BodyText"/>
        <w:spacing w:lineRule="auto" w:line="480"/>
        <w:ind w:hanging="0" w:start="0" w:end="0"/>
        <w:rPr/>
      </w:pPr>
      <w:r>
        <w:rPr/>
        <w:t xml:space="preserve">Resource dependence theory, proposed by Pfeffer and Salancik (1978), complements agency theory by viewing </w:t>
      </w:r>
      <w:r>
        <w:rPr>
          <w:rStyle w:val="Strong"/>
        </w:rPr>
        <w:t>audit committees</w:t>
      </w:r>
      <w:r>
        <w:rPr/>
        <w:t xml:space="preserve"> as mechanisms to secure critical resources, such as credibility and stakeholder trust, through effective oversight. This theory emphasizes the importance of committee members with financial expertise and external networks to enhance governance quality and align </w:t>
      </w:r>
      <w:r>
        <w:rPr>
          <w:rStyle w:val="Strong"/>
        </w:rPr>
        <w:t>practice indices</w:t>
      </w:r>
      <w:r>
        <w:rPr/>
        <w:t xml:space="preserve"> with stakeholder expectations (Hillman et al., 2000). In Nigeria’s context, resource dependence theory suggests that </w:t>
      </w:r>
      <w:r>
        <w:rPr>
          <w:rStyle w:val="Strong"/>
        </w:rPr>
        <w:t>independent audit committees</w:t>
      </w:r>
      <w:r>
        <w:rPr/>
        <w:t xml:space="preserve"> with skilled members can strengthen financial reporting integrity, fostering investor confidence and reducing default risk. However, the prevalence of shareholder capture and </w:t>
      </w:r>
      <w:r>
        <w:rPr>
          <w:rStyle w:val="Strong"/>
        </w:rPr>
        <w:t>unqualified management</w:t>
      </w:r>
      <w:r>
        <w:rPr/>
        <w:t xml:space="preserve"> in Nigerian </w:t>
      </w:r>
      <w:r>
        <w:rPr>
          <w:rStyle w:val="Strong"/>
        </w:rPr>
        <w:t>deposit money banks</w:t>
      </w:r>
      <w:r>
        <w:rPr/>
        <w:t xml:space="preserve"> undermines these theoretical benefits, contributing to governance lapses (Adegbite, 2014). </w:t>
      </w:r>
      <w:r>
        <w:rPr>
          <w:rStyle w:val="Strong"/>
        </w:rPr>
        <w:t>Recent studies by Afolabi and Afolabi (2024) expand this by showing how resource dependence affects practice indices and disclosure, noting that audit committees with external expertise can bridge gaps in risk management, aligning with stakeholder demands for robust bank operations.</w:t>
      </w:r>
      <w:r>
        <w:rPr/>
        <w:t xml:space="preserve"> For instance, skilled </w:t>
      </w:r>
      <w:r>
        <w:rPr>
          <w:rStyle w:val="Strong"/>
        </w:rPr>
        <w:t>audit committees</w:t>
      </w:r>
      <w:r>
        <w:rPr/>
        <w:t xml:space="preserve"> can enhance credibility by ensuring </w:t>
      </w:r>
      <w:r>
        <w:rPr>
          <w:rStyle w:val="Strong"/>
        </w:rPr>
        <w:t>compliance</w:t>
      </w:r>
      <w:r>
        <w:rPr/>
        <w:t xml:space="preserve"> with international standards like IFRS, which is critical in Nigeria’s volatile banking sector (Ojo &amp; Ojo, </w:t>
      </w:r>
      <w:r>
        <w:rPr>
          <w:rStyle w:val="Strong"/>
        </w:rPr>
        <w:t>2024</w:t>
      </w:r>
      <w:r>
        <w:rPr/>
        <w:t>).</w:t>
      </w:r>
    </w:p>
    <w:p>
      <w:pPr>
        <w:pStyle w:val="BodyText"/>
        <w:spacing w:lineRule="auto" w:line="480"/>
        <w:ind w:hanging="0" w:start="0" w:end="0"/>
        <w:rPr/>
      </w:pPr>
      <w:r>
        <w:rPr>
          <w:rStyle w:val="Strong"/>
        </w:rPr>
        <w:t>2.5.2 Challenges to Audit Committee Independence in Nigeria</w:t>
      </w:r>
    </w:p>
    <w:p>
      <w:pPr>
        <w:pStyle w:val="BodyText"/>
        <w:spacing w:lineRule="auto" w:line="480"/>
        <w:ind w:hanging="0" w:start="0" w:end="0"/>
        <w:rPr/>
      </w:pPr>
      <w:r>
        <w:rPr/>
        <w:t xml:space="preserve">Nigerian literature highlights significant challenges to </w:t>
      </w:r>
      <w:r>
        <w:rPr>
          <w:rStyle w:val="Strong"/>
        </w:rPr>
        <w:t>audit committee independence</w:t>
      </w:r>
      <w:r>
        <w:rPr/>
        <w:t xml:space="preserve">, primarily due to capture by majority shareholders, which compromises financial reporting and exacerbates default risk. Adegbite (2014) notes that, despite CAMA 2020’s mandate for equal representation of directors and shareholders on </w:t>
      </w:r>
      <w:r>
        <w:rPr>
          <w:rStyle w:val="Strong"/>
        </w:rPr>
        <w:t>audit committees</w:t>
      </w:r>
      <w:r>
        <w:rPr/>
        <w:t xml:space="preserve"> (Section 359(4)), these committees often function at the behest of majority shareholders, undermining their ability to conduct rigorous oversight. This capture was evident in the 2009 banking crisis, where </w:t>
      </w:r>
      <w:r>
        <w:rPr>
          <w:rStyle w:val="Strong"/>
        </w:rPr>
        <w:t>audit committees</w:t>
      </w:r>
      <w:r>
        <w:rPr/>
        <w:t xml:space="preserve"> failed to scrutinize financial statements, allowing banks like Oceanic to conceal NPLs and delay stakeholder awareness of distress (Olojede et al., 2020). Olojede et al. (2020) argue that shareholder dominance, coupled with a lack of financial expertise, weakens </w:t>
      </w:r>
      <w:r>
        <w:rPr>
          <w:rStyle w:val="Strong"/>
        </w:rPr>
        <w:t>audit committees’</w:t>
      </w:r>
      <w:r>
        <w:rPr/>
        <w:t xml:space="preserve"> ability to detect fraud and enforce </w:t>
      </w:r>
      <w:r>
        <w:rPr>
          <w:rStyle w:val="Strong"/>
        </w:rPr>
        <w:t>compliance</w:t>
      </w:r>
      <w:r>
        <w:rPr/>
        <w:t xml:space="preserve">, contributing to systemic failures. For instance, the absence of robust whistleblowing mechanisms, exacerbated by committee capture, enabled financial impropriety to go unchecked, as seen in cases like Intercontinental Bank and Bank PHB, where mismanagement fueled high NPLs (Owolabi, 2013). </w:t>
      </w:r>
      <w:r>
        <w:rPr>
          <w:rStyle w:val="Strong"/>
        </w:rPr>
        <w:t>To deepen this, Ojo and Ojo (2024) connect this capture to practice index deficiencies, affecting disclosure and compliance, as audit committees fail to challenge insider lending or enforce robust internal controls.</w:t>
      </w:r>
    </w:p>
    <w:p>
      <w:pPr>
        <w:pStyle w:val="BodyText"/>
        <w:spacing w:lineRule="auto" w:line="480"/>
        <w:ind w:hanging="0" w:start="0" w:end="0"/>
        <w:rPr/>
      </w:pPr>
      <w:r>
        <w:rPr/>
        <w:t xml:space="preserve">Eriabie and Izedonmi (2016) further highlight that </w:t>
      </w:r>
      <w:r>
        <w:rPr>
          <w:rStyle w:val="Strong"/>
        </w:rPr>
        <w:t>audit committee</w:t>
      </w:r>
      <w:r>
        <w:rPr/>
        <w:t xml:space="preserve"> characteristics, such as </w:t>
      </w:r>
      <w:r>
        <w:rPr>
          <w:rStyle w:val="Strong"/>
        </w:rPr>
        <w:t>independence</w:t>
      </w:r>
      <w:r>
        <w:rPr/>
        <w:t xml:space="preserve"> and financial knowledge, positively influence reporting quality, but these are often undermined by concentrated ownership structures prevalent in Nigeria. Approximately 39% of Nigerian </w:t>
      </w:r>
      <w:r>
        <w:rPr>
          <w:rStyle w:val="Strong"/>
        </w:rPr>
        <w:t>deposit money banks</w:t>
      </w:r>
      <w:r>
        <w:rPr/>
        <w:t xml:space="preserve"> lack nomination committees to ensure merit-based appointments, leading to </w:t>
      </w:r>
      <w:r>
        <w:rPr>
          <w:rStyle w:val="Strong"/>
        </w:rPr>
        <w:t>audit committees</w:t>
      </w:r>
      <w:r>
        <w:rPr/>
        <w:t xml:space="preserve"> populated by politically connected or </w:t>
      </w:r>
      <w:r>
        <w:rPr>
          <w:rStyle w:val="Strong"/>
        </w:rPr>
        <w:t>unqualified members</w:t>
      </w:r>
      <w:r>
        <w:rPr/>
        <w:t xml:space="preserve"> (Ogbechie, 2016). This aligns with agency theory’s concerns about compromised oversight and contradicts resource dependence theory’s emphasis on skilled committees, as </w:t>
      </w:r>
      <w:r>
        <w:rPr>
          <w:rStyle w:val="Strong"/>
        </w:rPr>
        <w:t>unqualified members</w:t>
      </w:r>
      <w:r>
        <w:rPr/>
        <w:t xml:space="preserve"> fail to provide the expertise needed for effective governance (Nwoko et al., 2022). These deficiencies directly contribute to financial misreporting, eroding stakeholder trust and increasing NPL-driven default risk. </w:t>
      </w:r>
      <w:r>
        <w:rPr>
          <w:rStyle w:val="Strong"/>
        </w:rPr>
        <w:t>Recent contributions by Afolabi and Afolabi (2024) tie this to disclosure issues in practice indices, noting that weak audit committees fail to ensure accurate loan classifications, perpetuating systemic risks.</w:t>
      </w:r>
    </w:p>
    <w:p>
      <w:pPr>
        <w:pStyle w:val="Normal"/>
        <w:rPr/>
      </w:pPr>
      <w:r>
        <w:rPr/>
      </w:r>
    </w:p>
    <w:p>
      <w:pPr>
        <w:pStyle w:val="Normal"/>
        <w:rPr/>
      </w:pPr>
      <w:r>
        <w:rPr/>
        <w:t>Table 2.4: Challenges to Audit Committee Independence in Nigerian Banks</w:t>
      </w:r>
    </w:p>
    <w:tbl>
      <w:tblPr>
        <w:tblW w:w="9962" w:type="dxa"/>
        <w:jc w:val="start"/>
        <w:tblInd w:w="0" w:type="dxa"/>
        <w:tblLayout w:type="fixed"/>
        <w:tblCellMar>
          <w:top w:w="0" w:type="dxa"/>
          <w:start w:w="108" w:type="dxa"/>
          <w:bottom w:w="0" w:type="dxa"/>
          <w:end w:w="108" w:type="dxa"/>
        </w:tblCellMar>
      </w:tblPr>
      <w:tblGrid>
        <w:gridCol w:w="1994"/>
        <w:gridCol w:w="2122"/>
        <w:gridCol w:w="2369"/>
        <w:gridCol w:w="2093"/>
        <w:gridCol w:w="1384"/>
      </w:tblGrid>
      <w:tr>
        <w:trPr/>
        <w:tc>
          <w:tcPr>
            <w:tcW w:w="1994"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Challenge</w:t>
            </w:r>
          </w:p>
        </w:tc>
        <w:tc>
          <w:tcPr>
            <w:tcW w:w="212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2369"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Example</w:t>
            </w:r>
          </w:p>
        </w:tc>
        <w:tc>
          <w:tcPr>
            <w:tcW w:w="2093"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Impact on CG Tenets</w:t>
            </w:r>
          </w:p>
        </w:tc>
        <w:tc>
          <w:tcPr>
            <w:tcW w:w="1384"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Source</w:t>
            </w:r>
          </w:p>
        </w:tc>
      </w:tr>
      <w:tr>
        <w:trPr/>
        <w:tc>
          <w:tcPr>
            <w:tcW w:w="199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Shareholder Capture</w:t>
            </w:r>
          </w:p>
        </w:tc>
        <w:tc>
          <w:tcPr>
            <w:tcW w:w="21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Majority shareholders dominate audit committees, undermining independence.</w:t>
            </w:r>
          </w:p>
        </w:tc>
        <w:tc>
          <w:tcPr>
            <w:tcW w:w="236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Oceanic Bank’s 2009 crisis: Audit committee failed to detect insider loans (75% of NPLs).</w:t>
            </w:r>
          </w:p>
        </w:tc>
        <w:tc>
          <w:tcPr>
            <w:tcW w:w="209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Erodes transparency and accountability; weakens risk management.</w:t>
            </w:r>
          </w:p>
        </w:tc>
        <w:tc>
          <w:tcPr>
            <w:tcW w:w="138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Adegbite (2014), Sanusi (2009)</w:t>
            </w:r>
          </w:p>
        </w:tc>
      </w:tr>
      <w:tr>
        <w:trPr/>
        <w:tc>
          <w:tcPr>
            <w:tcW w:w="199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Lack of Financial Expertise</w:t>
            </w:r>
          </w:p>
        </w:tc>
        <w:tc>
          <w:tcPr>
            <w:tcW w:w="21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Unqualified members lack skills to scrutinize financial reports.</w:t>
            </w:r>
          </w:p>
        </w:tc>
        <w:tc>
          <w:tcPr>
            <w:tcW w:w="236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Intercontinental Bank’s collapse due to weak audit oversight.</w:t>
            </w:r>
          </w:p>
        </w:tc>
        <w:tc>
          <w:tcPr>
            <w:tcW w:w="209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Compromises bank practice and audit effectiveness, increasing NPLs.</w:t>
            </w:r>
          </w:p>
        </w:tc>
        <w:tc>
          <w:tcPr>
            <w:tcW w:w="138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Olojede et al. (2020), Owolabi (2013)</w:t>
            </w:r>
          </w:p>
        </w:tc>
      </w:tr>
      <w:tr>
        <w:trPr/>
        <w:tc>
          <w:tcPr>
            <w:tcW w:w="199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Absence of Nomination Committees</w:t>
            </w:r>
          </w:p>
        </w:tc>
        <w:tc>
          <w:tcPr>
            <w:tcW w:w="21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39% of banks lack committees for merit-based appointments.</w:t>
            </w:r>
          </w:p>
        </w:tc>
        <w:tc>
          <w:tcPr>
            <w:tcW w:w="236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Bank PHB’s audit committee included politically connected members.</w:t>
            </w:r>
          </w:p>
        </w:tc>
        <w:tc>
          <w:tcPr>
            <w:tcW w:w="209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Undermines accountability and transparency, affecting risk oversight.</w:t>
            </w:r>
          </w:p>
        </w:tc>
        <w:tc>
          <w:tcPr>
            <w:tcW w:w="138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Ogbechie (2016), Nwoko et al. (2022)</w:t>
            </w:r>
          </w:p>
        </w:tc>
      </w:tr>
      <w:tr>
        <w:trPr/>
        <w:tc>
          <w:tcPr>
            <w:tcW w:w="199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Weak Whistleblowing Mechanisms</w:t>
            </w:r>
          </w:p>
        </w:tc>
        <w:tc>
          <w:tcPr>
            <w:tcW w:w="212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Lack of protected channels stifles fraud reporting.</w:t>
            </w:r>
          </w:p>
        </w:tc>
        <w:tc>
          <w:tcPr>
            <w:tcW w:w="2369"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Oceanic Bank concealed NPLs due to ineffective whistleblowing.</w:t>
            </w:r>
          </w:p>
        </w:tc>
        <w:tc>
          <w:tcPr>
            <w:tcW w:w="209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Reduces transparency, exacerbates risk management failures.</w:t>
            </w:r>
          </w:p>
        </w:tc>
        <w:tc>
          <w:tcPr>
            <w:tcW w:w="1384"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Olojede et al. (2020), Ojo &amp; Ojo (2025)</w:t>
            </w:r>
          </w:p>
        </w:tc>
      </w:tr>
    </w:tbl>
    <w:p>
      <w:pPr>
        <w:pStyle w:val="NormalWeb"/>
        <w:spacing w:before="280" w:after="280"/>
        <w:rPr>
          <w:rFonts w:ascii="Calibri" w:hAnsi="Calibri" w:cs="Calibri"/>
        </w:rPr>
      </w:pPr>
      <w:r>
        <w:rPr>
          <w:rFonts w:cs="Calibri" w:ascii="Calibri" w:hAnsi="Calibri"/>
        </w:rPr>
        <w:t>Note: Adapted from Adegbite (2014), Olojede et al. (2020), and Afolabi and Afolabi (2025). Impacts highlight ties to transparency, accountability, bank practice, risk management, and audit committee independence.</w:t>
      </w:r>
    </w:p>
    <w:p>
      <w:pPr>
        <w:pStyle w:val="Heading3"/>
        <w:rPr/>
      </w:pPr>
      <w:r>
        <w:rPr/>
        <w:t>2.5.3 Impact on NPLs and Default Risk</w:t>
      </w:r>
    </w:p>
    <w:p>
      <w:pPr>
        <w:pStyle w:val="Normal"/>
        <w:rPr/>
      </w:pPr>
      <w:r>
        <w:rPr/>
        <w:t xml:space="preserve">Independent audit committees are essential for reducing NPLs by enhancing financial reporting integrity </w:t>
      </w:r>
      <w:r>
        <w:rPr>
          <w:rStyle w:val="Strong"/>
        </w:rPr>
        <w:t>Independent audit committees</w:t>
      </w:r>
      <w:r>
        <w:rPr/>
        <w:t xml:space="preserve"> are essential for reducing NPLs by enhancing financial reporting integrity and curbing risky lending practices. In Nigeria, weak audit oversight, driven by shareholder capture, has allowed banks to obscure financial distress, as seen in the 2009 crisis, where falsified statements delayed corrective actions, contributing to NPLs reaching 37% (Sanusi, 2009; Olojede et al., 2020). Agency theory suggests that </w:t>
      </w:r>
      <w:r>
        <w:rPr>
          <w:rStyle w:val="Strong"/>
        </w:rPr>
        <w:t>independent audit committees</w:t>
      </w:r>
      <w:r>
        <w:rPr/>
        <w:t xml:space="preserve"> can mitigate such risks by enforcing transparent reporting and robust </w:t>
      </w:r>
      <w:r>
        <w:rPr>
          <w:rStyle w:val="Strong"/>
        </w:rPr>
        <w:t>practice indices</w:t>
      </w:r>
      <w:r>
        <w:rPr/>
        <w:t xml:space="preserve">, aligning management with shareholder interests (Jensen &amp; Meckling, 1976). Resource dependence theory further posits that committees with financial expertise enhance credibility, reducing information asymmetry and fostering investor confidence, which can stabilize loan portfolios (Pfeffer &amp; Salancik, 1978). For example, effective </w:t>
      </w:r>
      <w:r>
        <w:rPr>
          <w:rStyle w:val="Strong"/>
        </w:rPr>
        <w:t>audit committees</w:t>
      </w:r>
      <w:r>
        <w:rPr/>
        <w:t xml:space="preserve"> can enforce strict loan classification standards, preventing the concealment of non-performing assets, a critical issue in Nigeria’s </w:t>
      </w:r>
      <w:r>
        <w:rPr>
          <w:rStyle w:val="Strong"/>
        </w:rPr>
        <w:t>deposit money banking</w:t>
      </w:r>
      <w:r>
        <w:rPr/>
        <w:t xml:space="preserve"> sector (Afolabi &amp; Afolabi, </w:t>
      </w:r>
      <w:r>
        <w:rPr>
          <w:rStyle w:val="Strong"/>
        </w:rPr>
        <w:t>2024</w:t>
      </w:r>
      <w:r>
        <w:rPr/>
        <w:t>).</w:t>
      </w:r>
    </w:p>
    <w:p>
      <w:pPr>
        <w:pStyle w:val="BodyText"/>
        <w:spacing w:lineRule="auto" w:line="480"/>
        <w:ind w:hanging="0" w:start="0" w:end="0"/>
        <w:rPr/>
      </w:pPr>
      <w:r>
        <w:rPr>
          <w:rStyle w:val="Strong"/>
        </w:rPr>
        <w:t>2.5.4 Global Standards and Lessons for Nigeria</w:t>
      </w:r>
    </w:p>
    <w:p>
      <w:pPr>
        <w:pStyle w:val="BodyText"/>
        <w:spacing w:lineRule="auto" w:line="480"/>
        <w:ind w:hanging="0" w:start="0" w:end="0"/>
        <w:rPr/>
      </w:pPr>
      <w:r>
        <w:rPr/>
        <w:t xml:space="preserve">Globally, standards like those outlined by Al-Shaer et al. (2022) emphasize </w:t>
      </w:r>
      <w:r>
        <w:rPr>
          <w:rStyle w:val="Strong"/>
        </w:rPr>
        <w:t>audit committee independence</w:t>
      </w:r>
      <w:r>
        <w:rPr/>
        <w:t xml:space="preserve"> as a cornerstone of governance, with jurisdictions like the EU and US mandating committees with financial experts to ensure high-quality reporting and risk management, aligned with Basel III principles (BCBS, 2010). For example, Al-Shaer et al. (2022) found that </w:t>
      </w:r>
      <w:r>
        <w:rPr>
          <w:rStyle w:val="Strong"/>
        </w:rPr>
        <w:t>independent audit committees</w:t>
      </w:r>
      <w:r>
        <w:rPr/>
        <w:t xml:space="preserve"> with frequent meetings and financial literacy significantly improve sustainability reporting and reduce financial risks, a practice underdeveloped in Nigeria. In contrast, Nigerian </w:t>
      </w:r>
      <w:r>
        <w:rPr>
          <w:rStyle w:val="Strong"/>
        </w:rPr>
        <w:t>deposit money banks’ audit committees</w:t>
      </w:r>
      <w:r>
        <w:rPr/>
        <w:t xml:space="preserve"> often lack the autonomy and expertise required, as evidenced by the 2009 crisis, where weak oversight enabled insider abuses (Sanusi, 2009). Implementing global standards, such as mandatory financial expertise and </w:t>
      </w:r>
      <w:r>
        <w:rPr>
          <w:rStyle w:val="Strong"/>
        </w:rPr>
        <w:t>independence</w:t>
      </w:r>
      <w:r>
        <w:rPr/>
        <w:t xml:space="preserve">, could strengthen Nigerian </w:t>
      </w:r>
      <w:r>
        <w:rPr>
          <w:rStyle w:val="Strong"/>
        </w:rPr>
        <w:t>audit committees</w:t>
      </w:r>
      <w:r>
        <w:rPr/>
        <w:t xml:space="preserve">, reducing NPLs by improving oversight of lending practices, as advocated by Eriabie and Izedonmi (2016). This aligns with research objective OB2 and hypothesis H2, which evaluate </w:t>
      </w:r>
      <w:r>
        <w:rPr>
          <w:rStyle w:val="Strong"/>
        </w:rPr>
        <w:t>audit committees’</w:t>
      </w:r>
      <w:r>
        <w:rPr/>
        <w:t xml:space="preserve"> role in reducing NPLs through enhanced financial reporting integrity, highlighting the need for context-specific reforms to address shareholder capture and align with global best practices. </w:t>
      </w:r>
      <w:r>
        <w:rPr>
          <w:rStyle w:val="Strong"/>
        </w:rPr>
        <w:t>To expand, Ojo and Ojo (2024) suggest that integrating audit independence with practice indices can improve disclosure and compliance.</w:t>
      </w:r>
      <w:r>
        <w:rPr/>
        <w:t xml:space="preserve"> The CBN’s 2023 Guidelines mandate </w:t>
      </w:r>
      <w:r>
        <w:rPr>
          <w:rStyle w:val="Strong"/>
        </w:rPr>
        <w:t>audit committee independence</w:t>
      </w:r>
      <w:r>
        <w:rPr/>
        <w:t xml:space="preserve">, but </w:t>
      </w:r>
      <w:r>
        <w:rPr>
          <w:rStyle w:val="Strong"/>
        </w:rPr>
        <w:t>enforcement consistency</w:t>
      </w:r>
      <w:r>
        <w:rPr/>
        <w:t xml:space="preserve"> remains weak due to </w:t>
      </w:r>
      <w:r>
        <w:rPr>
          <w:rStyle w:val="Strong"/>
        </w:rPr>
        <w:t>regulatory multiplicity</w:t>
      </w:r>
      <w:r>
        <w:rPr/>
        <w:t xml:space="preserve"> (CBN, </w:t>
      </w:r>
      <w:r>
        <w:rPr>
          <w:rStyle w:val="Strong"/>
        </w:rPr>
        <w:t>2024</w:t>
      </w:r>
      <w:r>
        <w:rPr/>
        <w:t>).</w:t>
      </w:r>
    </w:p>
    <w:p>
      <w:pPr>
        <w:pStyle w:val="Normal"/>
        <w:rPr/>
      </w:pPr>
      <w:r>
        <w:rPr/>
      </w:r>
    </w:p>
    <w:p>
      <w:pPr>
        <w:pStyle w:val="NormalWeb"/>
        <w:spacing w:before="280" w:after="280"/>
        <w:rPr>
          <w:rFonts w:ascii="Calibri" w:hAnsi="Calibri" w:cs="Calibri"/>
        </w:rPr>
      </w:pPr>
      <w:r>
        <w:rPr>
          <w:rFonts w:cs="Calibri" w:ascii="Calibri" w:hAnsi="Calibri"/>
        </w:rPr>
        <w:t>Table 2.5: Proposed Reforms to Strengthen Audit Committee Independence</w:t>
      </w:r>
    </w:p>
    <w:tbl>
      <w:tblPr>
        <w:tblW w:w="9962" w:type="dxa"/>
        <w:jc w:val="start"/>
        <w:tblInd w:w="0" w:type="dxa"/>
        <w:tblLayout w:type="fixed"/>
        <w:tblCellMar>
          <w:top w:w="0" w:type="dxa"/>
          <w:start w:w="108" w:type="dxa"/>
          <w:bottom w:w="0" w:type="dxa"/>
          <w:end w:w="108" w:type="dxa"/>
        </w:tblCellMar>
      </w:tblPr>
      <w:tblGrid>
        <w:gridCol w:w="1975"/>
        <w:gridCol w:w="2638"/>
        <w:gridCol w:w="1981"/>
        <w:gridCol w:w="2057"/>
        <w:gridCol w:w="1311"/>
      </w:tblGrid>
      <w:tr>
        <w:trPr/>
        <w:tc>
          <w:tcPr>
            <w:tcW w:w="1975"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Reform</w:t>
            </w:r>
          </w:p>
        </w:tc>
        <w:tc>
          <w:tcPr>
            <w:tcW w:w="2638"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1981"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Expected Impact</w:t>
            </w:r>
          </w:p>
        </w:tc>
        <w:tc>
          <w:tcPr>
            <w:tcW w:w="205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Global Benchmark</w:t>
            </w:r>
          </w:p>
        </w:tc>
        <w:tc>
          <w:tcPr>
            <w:tcW w:w="1311"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Source</w:t>
            </w:r>
          </w:p>
        </w:tc>
      </w:tr>
      <w:tr>
        <w:trPr/>
        <w:tc>
          <w:tcPr>
            <w:tcW w:w="19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Mandatory Financial Expertise</w:t>
            </w:r>
          </w:p>
        </w:tc>
        <w:tc>
          <w:tcPr>
            <w:tcW w:w="263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Require audit committee members to have financial/governance certifications.</w:t>
            </w:r>
          </w:p>
        </w:tc>
        <w:tc>
          <w:tcPr>
            <w:tcW w:w="198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Enhances reporting quality, reduces NPLs via robust oversight.</w:t>
            </w:r>
          </w:p>
        </w:tc>
        <w:tc>
          <w:tcPr>
            <w:tcW w:w="20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EU’s CRD IV: Financial literacy mandates (EU, 2013).</w:t>
            </w:r>
          </w:p>
        </w:tc>
        <w:tc>
          <w:tcPr>
            <w:tcW w:w="13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Eriabie &amp; Izedonmi (2016)</w:t>
            </w:r>
          </w:p>
        </w:tc>
      </w:tr>
      <w:tr>
        <w:trPr/>
        <w:tc>
          <w:tcPr>
            <w:tcW w:w="19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Independent Audit Committees</w:t>
            </w:r>
          </w:p>
        </w:tc>
        <w:tc>
          <w:tcPr>
            <w:tcW w:w="263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Prohibit shareholder dominance in committee composition.</w:t>
            </w:r>
          </w:p>
        </w:tc>
        <w:tc>
          <w:tcPr>
            <w:tcW w:w="198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Improves transparency, aligns with agency theory.</w:t>
            </w:r>
          </w:p>
        </w:tc>
        <w:tc>
          <w:tcPr>
            <w:tcW w:w="20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Basel III: Independent audit oversight (BCBS, 2010).</w:t>
            </w:r>
          </w:p>
        </w:tc>
        <w:tc>
          <w:tcPr>
            <w:tcW w:w="13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Adegbite (2014), Ojo &amp; Ojo (2025)</w:t>
            </w:r>
          </w:p>
        </w:tc>
      </w:tr>
      <w:tr>
        <w:trPr/>
        <w:tc>
          <w:tcPr>
            <w:tcW w:w="19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Robust Whistleblowing Mechanisms</w:t>
            </w:r>
          </w:p>
        </w:tc>
        <w:tc>
          <w:tcPr>
            <w:tcW w:w="263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Mandate protected, anonymous reporting channels.</w:t>
            </w:r>
          </w:p>
        </w:tc>
        <w:tc>
          <w:tcPr>
            <w:tcW w:w="198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Encourages fraud detection, enhances accountability.</w:t>
            </w:r>
          </w:p>
        </w:tc>
        <w:tc>
          <w:tcPr>
            <w:tcW w:w="20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EU Whistleblowing Directive (EU, 2019).</w:t>
            </w:r>
          </w:p>
        </w:tc>
        <w:tc>
          <w:tcPr>
            <w:tcW w:w="13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Olojede et al. (2020)</w:t>
            </w:r>
          </w:p>
        </w:tc>
      </w:tr>
      <w:tr>
        <w:trPr/>
        <w:tc>
          <w:tcPr>
            <w:tcW w:w="19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Enhanced CBN Oversight</w:t>
            </w:r>
          </w:p>
        </w:tc>
        <w:tc>
          <w:tcPr>
            <w:tcW w:w="263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Empower CBN to sanction non-compliant audit committees.</w:t>
            </w:r>
          </w:p>
        </w:tc>
        <w:tc>
          <w:tcPr>
            <w:tcW w:w="198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Strengthens bank practice, reduces risk management failures.</w:t>
            </w:r>
          </w:p>
        </w:tc>
        <w:tc>
          <w:tcPr>
            <w:tcW w:w="205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OECD Principles: Regulatory enforcement (OECD, 2023).</w:t>
            </w:r>
          </w:p>
        </w:tc>
        <w:tc>
          <w:tcPr>
            <w:tcW w:w="13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Afolabi &amp; Afolabi (2025)</w:t>
            </w:r>
          </w:p>
        </w:tc>
      </w:tr>
    </w:tbl>
    <w:p>
      <w:pPr>
        <w:pStyle w:val="NormalWeb"/>
        <w:spacing w:before="280" w:after="280"/>
        <w:rPr>
          <w:rFonts w:ascii="Calibri" w:hAnsi="Calibri" w:cs="Calibri"/>
        </w:rPr>
      </w:pPr>
      <w:r>
        <w:rPr>
          <w:rFonts w:cs="Calibri" w:ascii="Calibri" w:hAnsi="Calibri"/>
        </w:rPr>
        <w:t>Note: Adapted from Eriabie and Izedonmi (2016), Ojo and Ojo (2025), and Afolabi and Afolabi (2025). Reforms address transparency, accountability, bank practice, risk management, and audit committee independence.</w:t>
      </w:r>
    </w:p>
    <w:p>
      <w:pPr>
        <w:pStyle w:val="Heading3"/>
        <w:rPr/>
      </w:pPr>
      <w:r>
        <w:rPr/>
        <w:t>2.5.5 Ties to Corporate Governance Tenets</w:t>
      </w:r>
    </w:p>
    <w:p>
      <w:pPr>
        <w:pStyle w:val="BodyText"/>
        <w:rPr>
          <w:rFonts w:ascii="Arial" w:hAnsi="Arial" w:cs="Arial"/>
        </w:rPr>
      </w:pPr>
      <w:r>
        <w:rPr>
          <w:rStyle w:val="Strong"/>
          <w:rFonts w:cs="Arial" w:ascii="Arial" w:hAnsi="Arial"/>
        </w:rPr>
        <w:t>Audit committee</w:t>
      </w:r>
      <w:r>
        <w:rPr>
          <w:rFonts w:cs="Arial" w:ascii="Arial" w:hAnsi="Arial"/>
        </w:rPr>
        <w:t xml:space="preserve"> deficiencies in Nigeria’s </w:t>
      </w:r>
      <w:r>
        <w:rPr>
          <w:rStyle w:val="Strong"/>
          <w:rFonts w:cs="Arial" w:ascii="Arial" w:hAnsi="Arial"/>
        </w:rPr>
        <w:t>deposit money banking</w:t>
      </w:r>
      <w:r>
        <w:rPr>
          <w:rFonts w:cs="Arial" w:ascii="Arial" w:hAnsi="Arial"/>
        </w:rPr>
        <w:t xml:space="preserve"> sector undermine the core </w:t>
      </w:r>
      <w:r>
        <w:rPr>
          <w:rStyle w:val="Strong"/>
          <w:rFonts w:cs="Arial" w:ascii="Arial" w:hAnsi="Arial"/>
        </w:rPr>
        <w:t>indices of disclosure, practice, and compliance</w:t>
      </w:r>
      <w:r>
        <w:rPr>
          <w:rFonts w:cs="Arial" w:ascii="Arial" w:hAnsi="Arial"/>
        </w:rPr>
        <w:t xml:space="preserve">. Shareholder capture erodes </w:t>
      </w:r>
      <w:r>
        <w:rPr>
          <w:rStyle w:val="Strong"/>
          <w:rFonts w:cs="Arial" w:ascii="Arial" w:hAnsi="Arial"/>
        </w:rPr>
        <w:t>disclosure</w:t>
      </w:r>
      <w:r>
        <w:rPr>
          <w:rFonts w:cs="Arial" w:ascii="Arial" w:hAnsi="Arial"/>
        </w:rPr>
        <w:t xml:space="preserve"> by enabling financial misreporting, as seen in Oceanic Bank’s concealed NPLs (Sanusi, 2009). </w:t>
      </w:r>
      <w:r>
        <w:rPr>
          <w:rStyle w:val="Strong"/>
          <w:rFonts w:cs="Arial" w:ascii="Arial" w:hAnsi="Arial"/>
        </w:rPr>
        <w:t>Compliance</w:t>
      </w:r>
      <w:r>
        <w:rPr>
          <w:rFonts w:cs="Arial" w:ascii="Arial" w:hAnsi="Arial"/>
        </w:rPr>
        <w:t xml:space="preserve"> is weakened by </w:t>
      </w:r>
      <w:r>
        <w:rPr>
          <w:rStyle w:val="Strong"/>
          <w:rFonts w:cs="Arial" w:ascii="Arial" w:hAnsi="Arial"/>
        </w:rPr>
        <w:t>unqualified committee members</w:t>
      </w:r>
      <w:r>
        <w:rPr>
          <w:rFonts w:cs="Arial" w:ascii="Arial" w:hAnsi="Arial"/>
        </w:rPr>
        <w:t xml:space="preserve">, who fail to enforce internal controls (Olojede et al., 2020). </w:t>
      </w:r>
      <w:r>
        <w:rPr>
          <w:rStyle w:val="Strong"/>
          <w:rFonts w:cs="Arial" w:ascii="Arial" w:hAnsi="Arial"/>
        </w:rPr>
        <w:t>Practice indices</w:t>
      </w:r>
      <w:r>
        <w:rPr>
          <w:rFonts w:cs="Arial" w:ascii="Arial" w:hAnsi="Arial"/>
        </w:rPr>
        <w:t xml:space="preserve"> suffer from weak oversight, leading to risky lending and systemic instability (Owolabi, 2013). Risk management is compromised by ineffective </w:t>
      </w:r>
      <w:r>
        <w:rPr>
          <w:rStyle w:val="Strong"/>
          <w:rFonts w:cs="Arial" w:ascii="Arial" w:hAnsi="Arial"/>
        </w:rPr>
        <w:t>audit committees</w:t>
      </w:r>
      <w:r>
        <w:rPr>
          <w:rFonts w:cs="Arial" w:ascii="Arial" w:hAnsi="Arial"/>
        </w:rPr>
        <w:t xml:space="preserve">, contributing to NPL spikes (Adegboye, 2020). </w:t>
      </w:r>
      <w:r>
        <w:rPr>
          <w:rStyle w:val="Strong"/>
          <w:rFonts w:cs="Arial" w:ascii="Arial" w:hAnsi="Arial"/>
        </w:rPr>
        <w:t>Audit committee independence</w:t>
      </w:r>
      <w:r>
        <w:rPr>
          <w:rFonts w:cs="Arial" w:ascii="Arial" w:hAnsi="Arial"/>
        </w:rPr>
        <w:t xml:space="preserve">, crucial for financial integrity, is undermined by concentrated ownership, necessitating reforms to align with global standards (Ojo &amp; Ojo, </w:t>
      </w:r>
      <w:r>
        <w:rPr>
          <w:rStyle w:val="Strong"/>
          <w:rFonts w:cs="Arial" w:ascii="Arial" w:hAnsi="Arial"/>
        </w:rPr>
        <w:t>2024</w:t>
      </w:r>
      <w:r>
        <w:rPr>
          <w:rFonts w:cs="Arial" w:ascii="Arial" w:hAnsi="Arial"/>
        </w:rPr>
        <w:t>).</w:t>
      </w:r>
    </w:p>
    <w:p>
      <w:pPr>
        <w:pStyle w:val="BodyText"/>
        <w:spacing w:lineRule="auto" w:line="480"/>
        <w:ind w:hanging="0" w:start="0" w:end="0"/>
        <w:rPr>
          <w:rFonts w:ascii="Arial" w:hAnsi="Arial" w:cs="Arial"/>
        </w:rPr>
      </w:pPr>
      <w:r>
        <w:rPr>
          <w:rStyle w:val="Strong"/>
          <w:rFonts w:cs="Arial" w:ascii="Arial" w:hAnsi="Arial"/>
        </w:rPr>
        <w:t>Audit committee independence</w:t>
      </w:r>
      <w:r>
        <w:rPr>
          <w:rFonts w:cs="Arial" w:ascii="Arial" w:hAnsi="Arial"/>
        </w:rPr>
        <w:t xml:space="preserve"> is critical for ensuring </w:t>
      </w:r>
      <w:r>
        <w:rPr>
          <w:rStyle w:val="Strong"/>
          <w:rFonts w:cs="Arial" w:ascii="Arial" w:hAnsi="Arial"/>
        </w:rPr>
        <w:t>disclosure and compliance</w:t>
      </w:r>
      <w:r>
        <w:rPr>
          <w:rFonts w:cs="Arial" w:ascii="Arial" w:hAnsi="Arial"/>
        </w:rPr>
        <w:t xml:space="preserve"> and reducing NPL-driven default risk in Nigeria’s </w:t>
      </w:r>
      <w:r>
        <w:rPr>
          <w:rStyle w:val="Strong"/>
          <w:rFonts w:cs="Arial" w:ascii="Arial" w:hAnsi="Arial"/>
        </w:rPr>
        <w:t>deposit money banking</w:t>
      </w:r>
      <w:r>
        <w:rPr>
          <w:rFonts w:cs="Arial" w:ascii="Arial" w:hAnsi="Arial"/>
        </w:rPr>
        <w:t xml:space="preserve"> sector, yet shareholder capture and lack of expertise undermine their effectiveness (Adegbite, 2014; Olojede et al., 2020). Agency and resource dependence theories underscore the importance of </w:t>
      </w:r>
      <w:r>
        <w:rPr>
          <w:rStyle w:val="Strong"/>
          <w:rFonts w:cs="Arial" w:ascii="Arial" w:hAnsi="Arial"/>
        </w:rPr>
        <w:t>independent, skilled audit committees</w:t>
      </w:r>
      <w:r>
        <w:rPr>
          <w:rFonts w:cs="Arial" w:ascii="Arial" w:hAnsi="Arial"/>
        </w:rPr>
        <w:t xml:space="preserve"> in mitigating agency conflicts and enhancing governance credibility, but Nigeria’s practices fall short of global standards (Jensen &amp; Meckling, 1976; Pfeffer &amp; Salancik, 1978; Al-Shaer et al., 2022). The 2009 crisis illustrates how weak audit oversight contributes to financial misreporting and high NPLs, necessitating reforms like mandatory independent committees and financial expertise requirements. This section supports OB2 and H2 by linking </w:t>
      </w:r>
      <w:r>
        <w:rPr>
          <w:rStyle w:val="Strong"/>
          <w:rFonts w:cs="Arial" w:ascii="Arial" w:hAnsi="Arial"/>
        </w:rPr>
        <w:t>audit committee independence</w:t>
      </w:r>
      <w:r>
        <w:rPr>
          <w:rFonts w:cs="Arial" w:ascii="Arial" w:hAnsi="Arial"/>
        </w:rPr>
        <w:t xml:space="preserve"> to NPL reduction and sets the stage for further analysis of governance mechanisms impacting default risk in Nigeria’s </w:t>
      </w:r>
      <w:r>
        <w:rPr>
          <w:rStyle w:val="Strong"/>
          <w:rFonts w:cs="Arial" w:ascii="Arial" w:hAnsi="Arial"/>
        </w:rPr>
        <w:t>deposit money banking</w:t>
      </w:r>
      <w:r>
        <w:rPr>
          <w:rFonts w:cs="Arial" w:ascii="Arial" w:hAnsi="Arial"/>
        </w:rPr>
        <w:t xml:space="preserve"> sector. </w:t>
      </w:r>
      <w:r>
        <w:rPr>
          <w:rStyle w:val="Strong"/>
          <w:rFonts w:cs="Arial" w:ascii="Arial" w:hAnsi="Arial"/>
        </w:rPr>
        <w:t>Recent studies by Afolabi and Afolabi (2024) add that audit independence is key to improving practice indices and disclosure.</w:t>
      </w:r>
    </w:p>
    <w:p>
      <w:pPr>
        <w:pStyle w:val="Normal"/>
        <w:rPr>
          <w:rFonts w:ascii="Arial" w:hAnsi="Arial" w:cs="Arial"/>
        </w:rPr>
      </w:pPr>
      <w:r>
        <w:rPr>
          <w:rFonts w:cs="Arial" w:ascii="Arial" w:hAnsi="Arial"/>
        </w:rPr>
      </w:r>
      <w:r>
        <w:br w:type="page"/>
      </w:r>
    </w:p>
    <w:p>
      <w:pPr>
        <w:pStyle w:val="BodyText"/>
        <w:spacing w:before="0" w:after="0"/>
        <w:rPr>
          <w:rFonts w:ascii="Calibri" w:hAnsi="Calibri" w:cs="Calibri"/>
        </w:rPr>
      </w:pPr>
      <w:r>
        <w:rPr>
          <w:rStyle w:val="Strong"/>
          <w:rFonts w:cs="Calibri"/>
        </w:rPr>
        <w:t>Management qualifications</w:t>
      </w:r>
      <w:r>
        <w:rPr>
          <w:rFonts w:cs="Calibri"/>
        </w:rPr>
        <w:t xml:space="preserve"> and ethical decision-making are critical drivers of corporate governance in Nigeria’s </w:t>
      </w:r>
      <w:r>
        <w:rPr>
          <w:rStyle w:val="Strong"/>
          <w:rFonts w:cs="Calibri"/>
        </w:rPr>
        <w:t>deposit money banking</w:t>
      </w:r>
      <w:r>
        <w:rPr>
          <w:rFonts w:cs="Calibri"/>
        </w:rPr>
        <w:t xml:space="preserve"> sector, where ineffective leadership has significantly contributed to high non-performing loan (NPL) ratios and systemic instability, with 425 bank failures recorded since 1988 (Udo, 2020). Qualified and ethical management is essential for strategic oversight, </w:t>
      </w:r>
      <w:r>
        <w:rPr>
          <w:rStyle w:val="Strong"/>
          <w:rFonts w:cs="Calibri"/>
        </w:rPr>
        <w:t>practice indices</w:t>
      </w:r>
      <w:r>
        <w:rPr>
          <w:rFonts w:cs="Calibri"/>
        </w:rPr>
        <w:t xml:space="preserve">, and stakeholder trust, yet Nigeria’s </w:t>
      </w:r>
      <w:r>
        <w:rPr>
          <w:rStyle w:val="Strong"/>
          <w:rFonts w:cs="Calibri"/>
        </w:rPr>
        <w:t>deposit money banking</w:t>
      </w:r>
      <w:r>
        <w:rPr>
          <w:rFonts w:cs="Calibri"/>
        </w:rPr>
        <w:t xml:space="preserve"> sector is plagued by </w:t>
      </w:r>
      <w:r>
        <w:rPr>
          <w:rStyle w:val="Strong"/>
          <w:rFonts w:cs="Calibri"/>
        </w:rPr>
        <w:t>unqualified, politically motivated appointments</w:t>
      </w:r>
      <w:r>
        <w:rPr>
          <w:rFonts w:cs="Calibri"/>
        </w:rPr>
        <w:t xml:space="preserve"> that undermine these objectives, leading to governance failures and elevated default risk (Nwoko et al., 2022). With NPLs peaking at 37% in 2009 and 20% in 2017 against the Central Bank of Nigeria’s (CBN) 5% threshold, the impact of poor leadership is evident (Nwosu, 2020; Adegboye, 2020). This section discusses upper echelons and stewardship theories on </w:t>
      </w:r>
      <w:r>
        <w:rPr>
          <w:rStyle w:val="Strong"/>
          <w:rFonts w:cs="Calibri"/>
        </w:rPr>
        <w:t>management qualifications</w:t>
      </w:r>
      <w:r>
        <w:rPr>
          <w:rFonts w:cs="Calibri"/>
        </w:rPr>
        <w:t xml:space="preserve">, reviews Nigerian studies on </w:t>
      </w:r>
      <w:r>
        <w:rPr>
          <w:rStyle w:val="Strong"/>
          <w:rFonts w:cs="Calibri"/>
        </w:rPr>
        <w:t>unqualified appointments</w:t>
      </w:r>
      <w:r>
        <w:rPr>
          <w:rFonts w:cs="Calibri"/>
        </w:rPr>
        <w:t xml:space="preserve"> and their link to NPLs, and highlights cases like Oceanic Bank, where poor leadership drove 75% of NPLs, underscoring the need for context-specific reforms. </w:t>
      </w:r>
      <w:r>
        <w:rPr>
          <w:rStyle w:val="Strong"/>
          <w:rFonts w:cs="Calibri"/>
        </w:rPr>
        <w:t>To expand, Afolabi and Afolabi (2024) connect management qualifications to audit committee independence and practice indices, reinforcing disclosure and compliance.</w:t>
      </w:r>
    </w:p>
    <w:p>
      <w:pPr>
        <w:pStyle w:val="BodyText"/>
        <w:spacing w:lineRule="auto" w:line="480"/>
        <w:ind w:hanging="0" w:start="0" w:end="0"/>
        <w:rPr>
          <w:rFonts w:cs="Calibri"/>
        </w:rPr>
      </w:pPr>
      <w:r>
        <w:rPr>
          <w:rStyle w:val="Strong"/>
          <w:rFonts w:cs="Calibri"/>
        </w:rPr>
        <w:t>2.6.1 Theoretical Foundations of Management Roles</w:t>
      </w:r>
    </w:p>
    <w:p>
      <w:pPr>
        <w:pStyle w:val="BodyText"/>
        <w:spacing w:lineRule="auto" w:line="480"/>
        <w:ind w:hanging="0" w:start="0" w:end="0"/>
        <w:rPr>
          <w:rFonts w:cs="Calibri"/>
        </w:rPr>
      </w:pPr>
      <w:r>
        <w:rPr>
          <w:rStyle w:val="Strong"/>
          <w:rFonts w:cs="Calibri"/>
        </w:rPr>
        <w:t>2.6.1.1 Upper Echelons Theory and Strategic Leadership</w:t>
      </w:r>
    </w:p>
    <w:p>
      <w:pPr>
        <w:pStyle w:val="BodyText"/>
        <w:spacing w:lineRule="auto" w:line="480"/>
        <w:ind w:hanging="0" w:start="0" w:end="0"/>
        <w:rPr>
          <w:rFonts w:cs="Calibri"/>
        </w:rPr>
      </w:pPr>
      <w:r>
        <w:rPr>
          <w:rFonts w:cs="Calibri"/>
        </w:rPr>
        <w:t xml:space="preserve">Upper echelons theory, proposed by Hambrick and Mason (1984), posits that organizational outcomes, including financial performance and risk profiles, are significantly influenced by the characteristics, </w:t>
      </w:r>
      <w:r>
        <w:rPr>
          <w:rStyle w:val="Strong"/>
          <w:rFonts w:cs="Calibri"/>
        </w:rPr>
        <w:t>expertise</w:t>
      </w:r>
      <w:r>
        <w:rPr>
          <w:rFonts w:cs="Calibri"/>
        </w:rPr>
        <w:t xml:space="preserve">, and decision-making styles of senior executives. The theory emphasizes that </w:t>
      </w:r>
      <w:r>
        <w:rPr>
          <w:rStyle w:val="Strong"/>
          <w:rFonts w:cs="Calibri"/>
        </w:rPr>
        <w:t>management qualifications</w:t>
      </w:r>
      <w:r>
        <w:rPr>
          <w:rFonts w:cs="Calibri"/>
        </w:rPr>
        <w:t xml:space="preserve">—such as financial expertise, industry experience, and educational background—shape strategic choices and </w:t>
      </w:r>
      <w:r>
        <w:rPr>
          <w:rStyle w:val="Strong"/>
          <w:rFonts w:cs="Calibri"/>
        </w:rPr>
        <w:t>practice indices</w:t>
      </w:r>
      <w:r>
        <w:rPr>
          <w:rFonts w:cs="Calibri"/>
        </w:rPr>
        <w:t xml:space="preserve">, directly impacting governance effectiveness. In the </w:t>
      </w:r>
      <w:r>
        <w:rPr>
          <w:rStyle w:val="Strong"/>
          <w:rFonts w:cs="Calibri"/>
        </w:rPr>
        <w:t>deposit money banking</w:t>
      </w:r>
      <w:r>
        <w:rPr>
          <w:rFonts w:cs="Calibri"/>
        </w:rPr>
        <w:t xml:space="preserve"> sector, where complex financial decisions determine loan quality and default risk, upper echelons theory suggests that </w:t>
      </w:r>
      <w:r>
        <w:rPr>
          <w:rStyle w:val="Strong"/>
          <w:rFonts w:cs="Calibri"/>
        </w:rPr>
        <w:t>qualified executives</w:t>
      </w:r>
      <w:r>
        <w:rPr>
          <w:rFonts w:cs="Calibri"/>
        </w:rPr>
        <w:t xml:space="preserve"> with relevant expertise are better equipped to implement prudent lending practices and navigate Nigeria’s volatile financial landscape (Carpenter et al., 2004). In Nigeria, however, the prevalence of </w:t>
      </w:r>
      <w:r>
        <w:rPr>
          <w:rStyle w:val="Strong"/>
          <w:rFonts w:cs="Calibri"/>
        </w:rPr>
        <w:t>unqualified leadership</w:t>
      </w:r>
      <w:r>
        <w:rPr>
          <w:rFonts w:cs="Calibri"/>
        </w:rPr>
        <w:t xml:space="preserve"> undermines this, as seen in the 2009 crisis, where poor managerial decisions exacerbated financial distress (Sanusi, 2009). </w:t>
      </w:r>
      <w:r>
        <w:rPr>
          <w:rStyle w:val="Strong"/>
          <w:rFonts w:cs="Calibri"/>
        </w:rPr>
        <w:t>Recent research by Ojo and Ojo (2024) expands this by linking upper echelons to audit committee independence, noting that qualified executives can enhance oversight by collaborating with audit committees to ensure robust financial reporting and practice indices.</w:t>
      </w:r>
      <w:r>
        <w:rPr>
          <w:rFonts w:cs="Calibri"/>
        </w:rPr>
        <w:t xml:space="preserve"> For instance, executives with financial expertise are better positioned to implement Basel III-aligned risk frameworks, reducing NPLs through disciplined credit policies (BCBS, 2010).</w:t>
      </w:r>
    </w:p>
    <w:p>
      <w:pPr>
        <w:pStyle w:val="BodyText"/>
        <w:spacing w:lineRule="auto" w:line="480"/>
        <w:ind w:hanging="0" w:start="0" w:end="0"/>
        <w:rPr>
          <w:rFonts w:cs="Calibri"/>
        </w:rPr>
      </w:pPr>
      <w:r>
        <w:rPr>
          <w:rStyle w:val="Strong"/>
          <w:rFonts w:cs="Calibri"/>
        </w:rPr>
        <w:t>2.6.1.2 Stewardship Theory and Ethical Leadership</w:t>
      </w:r>
    </w:p>
    <w:p>
      <w:pPr>
        <w:pStyle w:val="BodyText"/>
        <w:spacing w:lineRule="auto" w:line="480"/>
        <w:ind w:hanging="0" w:start="0" w:end="0"/>
        <w:rPr>
          <w:rFonts w:cs="Calibri"/>
        </w:rPr>
      </w:pPr>
      <w:r>
        <w:rPr>
          <w:rFonts w:cs="Calibri"/>
        </w:rPr>
        <w:t xml:space="preserve">Stewardship theory, articulated by Donaldson and Davis (1991), complements upper echelons theory by suggesting that managers, when trusted and empowered, act as stewards who prioritize organizational and stakeholder interests over self-interest. Ethical decision-making, rooted in integrity and </w:t>
      </w:r>
      <w:r>
        <w:rPr>
          <w:rStyle w:val="Strong"/>
          <w:rFonts w:cs="Calibri"/>
        </w:rPr>
        <w:t>management qualifications</w:t>
      </w:r>
      <w:r>
        <w:rPr>
          <w:rFonts w:cs="Calibri"/>
        </w:rPr>
        <w:t xml:space="preserve">, is central to this theory, which advocates for managers with strong expertise to foster </w:t>
      </w:r>
      <w:r>
        <w:rPr>
          <w:rStyle w:val="Strong"/>
          <w:rFonts w:cs="Calibri"/>
        </w:rPr>
        <w:t>disclosure and compliance</w:t>
      </w:r>
      <w:r>
        <w:rPr>
          <w:rFonts w:cs="Calibri"/>
        </w:rPr>
        <w:t xml:space="preserve"> and long-term stability. In </w:t>
      </w:r>
      <w:r>
        <w:rPr>
          <w:rStyle w:val="Strong"/>
          <w:rFonts w:cs="Calibri"/>
        </w:rPr>
        <w:t>deposit money banks</w:t>
      </w:r>
      <w:r>
        <w:rPr>
          <w:rFonts w:cs="Calibri"/>
        </w:rPr>
        <w:t xml:space="preserve">, stewardship theory underscores the need for ethical leaders to align lending practices with </w:t>
      </w:r>
      <w:r>
        <w:rPr>
          <w:rStyle w:val="Strong"/>
          <w:rFonts w:cs="Calibri"/>
        </w:rPr>
        <w:t>practice indices</w:t>
      </w:r>
      <w:r>
        <w:rPr>
          <w:rFonts w:cs="Calibri"/>
        </w:rPr>
        <w:t xml:space="preserve">, ensuring </w:t>
      </w:r>
      <w:r>
        <w:rPr>
          <w:rStyle w:val="Strong"/>
          <w:rFonts w:cs="Calibri"/>
        </w:rPr>
        <w:t>disclosure</w:t>
      </w:r>
      <w:r>
        <w:rPr>
          <w:rFonts w:cs="Calibri"/>
        </w:rPr>
        <w:t xml:space="preserve"> and stakeholder trust (Davis et al., 1997). However, in Nigeria’s </w:t>
      </w:r>
      <w:r>
        <w:rPr>
          <w:rStyle w:val="Strong"/>
          <w:rFonts w:cs="Calibri"/>
        </w:rPr>
        <w:t>deposit money banking</w:t>
      </w:r>
      <w:r>
        <w:rPr>
          <w:rFonts w:cs="Calibri"/>
        </w:rPr>
        <w:t xml:space="preserve"> sector, </w:t>
      </w:r>
      <w:r>
        <w:rPr>
          <w:rStyle w:val="Strong"/>
          <w:rFonts w:cs="Calibri"/>
        </w:rPr>
        <w:t>politically motivated appointments</w:t>
      </w:r>
      <w:r>
        <w:rPr>
          <w:rFonts w:cs="Calibri"/>
        </w:rPr>
        <w:t xml:space="preserve"> often result in leaders lacking the expertise or ethical commitment required, leading to governance lapses and high NPLs, as evidenced by cases like Oceanic Bank (Sanusi, 2009; Nwoko et al., 2022). </w:t>
      </w:r>
      <w:r>
        <w:rPr>
          <w:rStyle w:val="Strong"/>
          <w:rFonts w:cs="Calibri"/>
        </w:rPr>
        <w:t>Afolabi and Afolabi (2024) add that stewardship can improve practice indices when tied to disclosure, as ethical leaders can foster a culture of compliance that supports audit committee functions and risk mitigation.</w:t>
      </w:r>
      <w:r>
        <w:rPr>
          <w:rFonts w:cs="Calibri"/>
        </w:rPr>
        <w:t xml:space="preserve"> Ethical leadership is critical for enforcing </w:t>
      </w:r>
      <w:r>
        <w:rPr>
          <w:rStyle w:val="Strong"/>
          <w:rFonts w:cs="Calibri"/>
        </w:rPr>
        <w:t>compliance</w:t>
      </w:r>
      <w:r>
        <w:rPr>
          <w:rFonts w:cs="Calibri"/>
        </w:rPr>
        <w:t xml:space="preserve"> with regulations like the CBN’s 2023 Guidelines, which mandate </w:t>
      </w:r>
      <w:r>
        <w:rPr>
          <w:rStyle w:val="Strong"/>
          <w:rFonts w:cs="Calibri"/>
        </w:rPr>
        <w:t>disclosure</w:t>
      </w:r>
      <w:r>
        <w:rPr>
          <w:rFonts w:cs="Calibri"/>
        </w:rPr>
        <w:t xml:space="preserve"> in loan approvals (CBN, </w:t>
      </w:r>
      <w:r>
        <w:rPr>
          <w:rStyle w:val="Strong"/>
          <w:rFonts w:cs="Calibri"/>
        </w:rPr>
        <w:t>2024</w:t>
      </w:r>
      <w:r>
        <w:rPr>
          <w:rFonts w:cs="Calibri"/>
        </w:rPr>
        <w:t>).</w:t>
      </w:r>
    </w:p>
    <w:p>
      <w:pPr>
        <w:pStyle w:val="BodyText"/>
        <w:spacing w:lineRule="auto" w:line="480"/>
        <w:ind w:hanging="0" w:start="0" w:end="0"/>
        <w:rPr>
          <w:rFonts w:cs="Calibri"/>
        </w:rPr>
      </w:pPr>
      <w:r>
        <w:rPr>
          <w:rStyle w:val="Strong"/>
          <w:rFonts w:cs="Calibri"/>
        </w:rPr>
        <w:t>2.6.2 Unqualified Leadership and Governance Failures</w:t>
      </w:r>
    </w:p>
    <w:p>
      <w:pPr>
        <w:pStyle w:val="BodyText"/>
        <w:spacing w:lineRule="auto" w:line="480"/>
        <w:ind w:hanging="0" w:start="0" w:end="0"/>
        <w:rPr>
          <w:rFonts w:cs="Calibri"/>
        </w:rPr>
      </w:pPr>
      <w:r>
        <w:rPr>
          <w:rFonts w:cs="Calibri"/>
        </w:rPr>
        <w:t xml:space="preserve">Nigerian studies highlight the pervasive issue of </w:t>
      </w:r>
      <w:r>
        <w:rPr>
          <w:rStyle w:val="Strong"/>
          <w:rFonts w:cs="Calibri"/>
        </w:rPr>
        <w:t>unqualified and politically motivated management appointments</w:t>
      </w:r>
      <w:r>
        <w:rPr>
          <w:rFonts w:cs="Calibri"/>
        </w:rPr>
        <w:t xml:space="preserve">, which significantly contribute to governance failures and NPLs. Nwoko et al. (2022) argue that the legacy of pre-1986 government interference in banking, where political patronage dictated executive selections, persists in the post-2004 consolidation era. This results in managers lacking financial expertise, governance training, or proven leadership experience, weakening strategic oversight and </w:t>
      </w:r>
      <w:r>
        <w:rPr>
          <w:rStyle w:val="Strong"/>
          <w:rFonts w:cs="Calibri"/>
        </w:rPr>
        <w:t>compliance</w:t>
      </w:r>
      <w:r>
        <w:rPr>
          <w:rFonts w:cs="Calibri"/>
        </w:rPr>
        <w:t xml:space="preserve">. For instance, during the 2009 banking crisis, </w:t>
      </w:r>
      <w:r>
        <w:rPr>
          <w:rStyle w:val="Strong"/>
          <w:rFonts w:cs="Calibri"/>
        </w:rPr>
        <w:t>unqualified executives</w:t>
      </w:r>
      <w:r>
        <w:rPr>
          <w:rFonts w:cs="Calibri"/>
        </w:rPr>
        <w:t xml:space="preserve"> in banks like Intercontinental and Bank PHB failed to implement robust </w:t>
      </w:r>
      <w:r>
        <w:rPr>
          <w:rStyle w:val="Strong"/>
          <w:rFonts w:cs="Calibri"/>
        </w:rPr>
        <w:t>practice indices</w:t>
      </w:r>
      <w:r>
        <w:rPr>
          <w:rFonts w:cs="Calibri"/>
        </w:rPr>
        <w:t xml:space="preserve">, leading to financial distress and high NPLs (Owolabi, 2013). Sanusi (2009) notes that </w:t>
      </w:r>
      <w:r>
        <w:rPr>
          <w:rStyle w:val="Strong"/>
          <w:rFonts w:cs="Calibri"/>
        </w:rPr>
        <w:t>incompetent management</w:t>
      </w:r>
      <w:r>
        <w:rPr>
          <w:rFonts w:cs="Calibri"/>
        </w:rPr>
        <w:t xml:space="preserve"> was a primary driver of the crisis, with </w:t>
      </w:r>
      <w:r>
        <w:rPr>
          <w:rStyle w:val="Strong"/>
          <w:rFonts w:cs="Calibri"/>
        </w:rPr>
        <w:t>politically connected appointees</w:t>
      </w:r>
      <w:r>
        <w:rPr>
          <w:rFonts w:cs="Calibri"/>
        </w:rPr>
        <w:t xml:space="preserve"> prioritizing personal or political interests over stakeholder welfare, exacerbating agency problems. </w:t>
      </w:r>
      <w:r>
        <w:rPr>
          <w:rStyle w:val="Strong"/>
          <w:rFonts w:cs="Calibri"/>
        </w:rPr>
        <w:t>To deepen this, Ojo and Ojo (2024) connect this to practice index deficiencies, highlighting how unqualified leaders fail to enforce internal controls, leading to fraudulent practices that inflate NPLs.</w:t>
      </w:r>
      <w:r>
        <w:rPr>
          <w:rFonts w:cs="Calibri"/>
        </w:rPr>
        <w:t xml:space="preserve"> The absence of robust nomination processes perpetuates this issue, as 61% of </w:t>
      </w:r>
      <w:r>
        <w:rPr>
          <w:rStyle w:val="Strong"/>
          <w:rFonts w:cs="Calibri"/>
        </w:rPr>
        <w:t>deposit money banks</w:t>
      </w:r>
      <w:r>
        <w:rPr>
          <w:rFonts w:cs="Calibri"/>
        </w:rPr>
        <w:t xml:space="preserve"> lack independent nomination committees, allowing concentrated ownership or political influences to dominate appointments (Ogbechie, 2016).</w:t>
      </w:r>
    </w:p>
    <w:p>
      <w:pPr>
        <w:pStyle w:val="BodyText"/>
        <w:spacing w:lineRule="auto" w:line="480"/>
        <w:ind w:hanging="0" w:start="0" w:end="0"/>
        <w:rPr>
          <w:rFonts w:cs="Calibri"/>
        </w:rPr>
      </w:pPr>
      <w:r>
        <w:rPr>
          <w:rStyle w:val="Strong"/>
          <w:rFonts w:cs="Calibri"/>
        </w:rPr>
        <w:t>Table 2.6: Governance Failures Linked to Unqualified Management in Nigerian Deposit Money Banks</w:t>
      </w:r>
    </w:p>
    <w:p>
      <w:pPr>
        <w:pStyle w:val="Normal"/>
        <w:spacing w:before="0" w:after="0"/>
        <w:rPr>
          <w:rFonts w:ascii="Calibri" w:hAnsi="Calibri" w:cs="Calibri"/>
        </w:rPr>
      </w:pPr>
      <w:r>
        <w:rPr>
          <w:rFonts w:cs="Calibri"/>
        </w:rPr>
      </w:r>
    </w:p>
    <w:tbl>
      <w:tblPr>
        <w:tblW w:w="9972" w:type="dxa"/>
        <w:jc w:val="start"/>
        <w:tblInd w:w="0" w:type="dxa"/>
        <w:tblLayout w:type="fixed"/>
        <w:tblCellMar>
          <w:top w:w="28" w:type="dxa"/>
          <w:start w:w="28" w:type="dxa"/>
          <w:bottom w:w="28" w:type="dxa"/>
          <w:end w:w="28" w:type="dxa"/>
        </w:tblCellMar>
      </w:tblPr>
      <w:tblGrid>
        <w:gridCol w:w="1788"/>
        <w:gridCol w:w="2131"/>
        <w:gridCol w:w="2418"/>
        <w:gridCol w:w="1977"/>
        <w:gridCol w:w="1658"/>
      </w:tblGrid>
      <w:tr>
        <w:trPr>
          <w:tblHeader w:val="true"/>
        </w:trPr>
        <w:tc>
          <w:tcPr>
            <w:tcW w:w="1788" w:type="dxa"/>
            <w:tcBorders/>
            <w:vAlign w:val="center"/>
          </w:tcPr>
          <w:p>
            <w:pPr>
              <w:pStyle w:val="TableHeading"/>
              <w:rPr/>
            </w:pPr>
            <w:r>
              <w:rPr>
                <w:rStyle w:val="Strong"/>
                <w:b/>
                <w:bCs/>
              </w:rPr>
              <w:t>Issue</w:t>
            </w:r>
          </w:p>
        </w:tc>
        <w:tc>
          <w:tcPr>
            <w:tcW w:w="2131" w:type="dxa"/>
            <w:tcBorders/>
            <w:vAlign w:val="center"/>
          </w:tcPr>
          <w:p>
            <w:pPr>
              <w:pStyle w:val="TableHeading"/>
              <w:rPr/>
            </w:pPr>
            <w:r>
              <w:rPr>
                <w:rStyle w:val="Strong"/>
                <w:b/>
                <w:bCs/>
              </w:rPr>
              <w:t>Description</w:t>
            </w:r>
          </w:p>
        </w:tc>
        <w:tc>
          <w:tcPr>
            <w:tcW w:w="2418" w:type="dxa"/>
            <w:tcBorders/>
            <w:vAlign w:val="center"/>
          </w:tcPr>
          <w:p>
            <w:pPr>
              <w:pStyle w:val="TableHeading"/>
              <w:rPr/>
            </w:pPr>
            <w:r>
              <w:rPr>
                <w:rStyle w:val="Strong"/>
                <w:b/>
                <w:bCs/>
              </w:rPr>
              <w:t>Example</w:t>
            </w:r>
          </w:p>
        </w:tc>
        <w:tc>
          <w:tcPr>
            <w:tcW w:w="1977" w:type="dxa"/>
            <w:tcBorders/>
            <w:vAlign w:val="center"/>
          </w:tcPr>
          <w:p>
            <w:pPr>
              <w:pStyle w:val="TableHeading"/>
              <w:rPr/>
            </w:pPr>
            <w:r>
              <w:rPr>
                <w:rStyle w:val="Strong"/>
                <w:b/>
                <w:bCs/>
              </w:rPr>
              <w:t>Impact on CG Indices</w:t>
            </w:r>
          </w:p>
        </w:tc>
        <w:tc>
          <w:tcPr>
            <w:tcW w:w="1658" w:type="dxa"/>
            <w:tcBorders/>
            <w:vAlign w:val="center"/>
          </w:tcPr>
          <w:p>
            <w:pPr>
              <w:pStyle w:val="TableHeading"/>
              <w:rPr/>
            </w:pPr>
            <w:r>
              <w:rPr>
                <w:rStyle w:val="Strong"/>
                <w:b/>
                <w:bCs/>
              </w:rPr>
              <w:t>Source</w:t>
            </w:r>
          </w:p>
        </w:tc>
      </w:tr>
      <w:tr>
        <w:trPr/>
        <w:tc>
          <w:tcPr>
            <w:tcW w:w="1788" w:type="dxa"/>
            <w:tcBorders/>
            <w:vAlign w:val="center"/>
          </w:tcPr>
          <w:p>
            <w:pPr>
              <w:pStyle w:val="TableContents"/>
              <w:rPr/>
            </w:pPr>
            <w:r>
              <w:rPr>
                <w:rStyle w:val="Strong"/>
              </w:rPr>
              <w:t>Unqualified Appointments</w:t>
            </w:r>
          </w:p>
        </w:tc>
        <w:tc>
          <w:tcPr>
            <w:tcW w:w="2131" w:type="dxa"/>
            <w:tcBorders/>
            <w:vAlign w:val="center"/>
          </w:tcPr>
          <w:p>
            <w:pPr>
              <w:pStyle w:val="TableContents"/>
              <w:rPr/>
            </w:pPr>
            <w:r>
              <w:rPr/>
              <w:t>Managers lack financial expertise or governance training, rooted in pre-1986 patronage.</w:t>
            </w:r>
          </w:p>
        </w:tc>
        <w:tc>
          <w:tcPr>
            <w:tcW w:w="2418" w:type="dxa"/>
            <w:tcBorders/>
            <w:vAlign w:val="center"/>
          </w:tcPr>
          <w:p>
            <w:pPr>
              <w:pStyle w:val="TableContents"/>
              <w:rPr/>
            </w:pPr>
            <w:r>
              <w:rPr/>
              <w:t>Intercontinental Bank’s collapse due to poor risk controls by unqualified executives.</w:t>
            </w:r>
          </w:p>
        </w:tc>
        <w:tc>
          <w:tcPr>
            <w:tcW w:w="1977" w:type="dxa"/>
            <w:tcBorders/>
            <w:vAlign w:val="center"/>
          </w:tcPr>
          <w:p>
            <w:pPr>
              <w:pStyle w:val="TableContents"/>
              <w:rPr/>
            </w:pPr>
            <w:r>
              <w:rPr/>
              <w:t xml:space="preserve">Weakens </w:t>
            </w:r>
            <w:r>
              <w:rPr>
                <w:rStyle w:val="Strong"/>
              </w:rPr>
              <w:t>practice</w:t>
            </w:r>
            <w:r>
              <w:rPr/>
              <w:t xml:space="preserve"> and risk management, increasing NPLs.</w:t>
            </w:r>
          </w:p>
        </w:tc>
        <w:tc>
          <w:tcPr>
            <w:tcW w:w="1658" w:type="dxa"/>
            <w:tcBorders/>
            <w:vAlign w:val="center"/>
          </w:tcPr>
          <w:p>
            <w:pPr>
              <w:pStyle w:val="TableContents"/>
              <w:rPr/>
            </w:pPr>
            <w:r>
              <w:rPr/>
              <w:t>Nwoko et al. (2022), Owolabi (2013)</w:t>
            </w:r>
          </w:p>
        </w:tc>
      </w:tr>
      <w:tr>
        <w:trPr/>
        <w:tc>
          <w:tcPr>
            <w:tcW w:w="1788" w:type="dxa"/>
            <w:tcBorders/>
            <w:vAlign w:val="center"/>
          </w:tcPr>
          <w:p>
            <w:pPr>
              <w:pStyle w:val="TableContents"/>
              <w:rPr/>
            </w:pPr>
            <w:r>
              <w:rPr>
                <w:rStyle w:val="Strong"/>
              </w:rPr>
              <w:t>Political Patronage</w:t>
            </w:r>
          </w:p>
        </w:tc>
        <w:tc>
          <w:tcPr>
            <w:tcW w:w="2131" w:type="dxa"/>
            <w:tcBorders/>
            <w:vAlign w:val="center"/>
          </w:tcPr>
          <w:p>
            <w:pPr>
              <w:pStyle w:val="TableContents"/>
              <w:rPr/>
            </w:pPr>
            <w:r>
              <w:rPr/>
              <w:t>Executives selected for political loyalty over competence.</w:t>
            </w:r>
          </w:p>
        </w:tc>
        <w:tc>
          <w:tcPr>
            <w:tcW w:w="2418" w:type="dxa"/>
            <w:tcBorders/>
            <w:vAlign w:val="center"/>
          </w:tcPr>
          <w:p>
            <w:pPr>
              <w:pStyle w:val="TableContents"/>
              <w:rPr/>
            </w:pPr>
            <w:r>
              <w:rPr/>
              <w:t>Bank PHB’s mismanagement driven by politically connected leaders.</w:t>
            </w:r>
          </w:p>
        </w:tc>
        <w:tc>
          <w:tcPr>
            <w:tcW w:w="1977" w:type="dxa"/>
            <w:tcBorders/>
            <w:vAlign w:val="center"/>
          </w:tcPr>
          <w:p>
            <w:pPr>
              <w:pStyle w:val="TableContents"/>
              <w:rPr/>
            </w:pPr>
            <w:r>
              <w:rPr/>
              <w:t xml:space="preserve">Erodes </w:t>
            </w:r>
            <w:r>
              <w:rPr>
                <w:rStyle w:val="Strong"/>
              </w:rPr>
              <w:t>compliance</w:t>
            </w:r>
            <w:r>
              <w:rPr/>
              <w:t xml:space="preserve"> and </w:t>
            </w:r>
            <w:r>
              <w:rPr>
                <w:rStyle w:val="Strong"/>
              </w:rPr>
              <w:t>disclosure</w:t>
            </w:r>
            <w:r>
              <w:rPr/>
              <w:t>, compromising audit oversight.</w:t>
            </w:r>
          </w:p>
        </w:tc>
        <w:tc>
          <w:tcPr>
            <w:tcW w:w="1658" w:type="dxa"/>
            <w:tcBorders/>
            <w:vAlign w:val="center"/>
          </w:tcPr>
          <w:p>
            <w:pPr>
              <w:pStyle w:val="TableContents"/>
              <w:rPr/>
            </w:pPr>
            <w:r>
              <w:rPr/>
              <w:t>Sanusi (2009), Chinweoda et al. (2020)</w:t>
            </w:r>
          </w:p>
        </w:tc>
      </w:tr>
      <w:tr>
        <w:trPr/>
        <w:tc>
          <w:tcPr>
            <w:tcW w:w="1788" w:type="dxa"/>
            <w:tcBorders/>
            <w:vAlign w:val="center"/>
          </w:tcPr>
          <w:p>
            <w:pPr>
              <w:pStyle w:val="TableContents"/>
              <w:rPr/>
            </w:pPr>
            <w:r>
              <w:rPr>
                <w:rStyle w:val="Strong"/>
              </w:rPr>
              <w:t>Lack of Nomination Committees</w:t>
            </w:r>
          </w:p>
        </w:tc>
        <w:tc>
          <w:tcPr>
            <w:tcW w:w="2131" w:type="dxa"/>
            <w:tcBorders/>
            <w:vAlign w:val="center"/>
          </w:tcPr>
          <w:p>
            <w:pPr>
              <w:pStyle w:val="TableContents"/>
              <w:rPr/>
            </w:pPr>
            <w:r>
              <w:rPr/>
              <w:t>61% of banks lack independent committees for merit-based selection.</w:t>
            </w:r>
          </w:p>
        </w:tc>
        <w:tc>
          <w:tcPr>
            <w:tcW w:w="2418" w:type="dxa"/>
            <w:tcBorders/>
            <w:vAlign w:val="center"/>
          </w:tcPr>
          <w:p>
            <w:pPr>
              <w:pStyle w:val="TableContents"/>
              <w:rPr/>
            </w:pPr>
            <w:r>
              <w:rPr/>
              <w:t>Oceanic Bank’s CEO appointed via family influence, enabling insider lending.</w:t>
            </w:r>
          </w:p>
        </w:tc>
        <w:tc>
          <w:tcPr>
            <w:tcW w:w="1977" w:type="dxa"/>
            <w:tcBorders/>
            <w:vAlign w:val="center"/>
          </w:tcPr>
          <w:p>
            <w:pPr>
              <w:pStyle w:val="TableContents"/>
              <w:rPr/>
            </w:pPr>
            <w:r>
              <w:rPr/>
              <w:t xml:space="preserve">Undermines </w:t>
            </w:r>
            <w:r>
              <w:rPr>
                <w:rStyle w:val="Strong"/>
              </w:rPr>
              <w:t>compliance</w:t>
            </w:r>
            <w:r>
              <w:rPr/>
              <w:t xml:space="preserve">, affects </w:t>
            </w:r>
            <w:r>
              <w:rPr>
                <w:rStyle w:val="Strong"/>
              </w:rPr>
              <w:t>practice</w:t>
            </w:r>
            <w:r>
              <w:rPr/>
              <w:t xml:space="preserve"> and risk management.</w:t>
            </w:r>
          </w:p>
        </w:tc>
        <w:tc>
          <w:tcPr>
            <w:tcW w:w="1658" w:type="dxa"/>
            <w:tcBorders/>
            <w:vAlign w:val="center"/>
          </w:tcPr>
          <w:p>
            <w:pPr>
              <w:pStyle w:val="TableContents"/>
              <w:rPr/>
            </w:pPr>
            <w:r>
              <w:rPr/>
              <w:t>Ogbechie (2016), Sanusi (2009)</w:t>
            </w:r>
          </w:p>
        </w:tc>
      </w:tr>
      <w:tr>
        <w:trPr/>
        <w:tc>
          <w:tcPr>
            <w:tcW w:w="1788" w:type="dxa"/>
            <w:tcBorders/>
            <w:vAlign w:val="center"/>
          </w:tcPr>
          <w:p>
            <w:pPr>
              <w:pStyle w:val="TableContents"/>
              <w:rPr/>
            </w:pPr>
            <w:r>
              <w:rPr>
                <w:rStyle w:val="Strong"/>
              </w:rPr>
              <w:t>Weak Ethical Standards</w:t>
            </w:r>
          </w:p>
        </w:tc>
        <w:tc>
          <w:tcPr>
            <w:tcW w:w="2131" w:type="dxa"/>
            <w:tcBorders/>
            <w:vAlign w:val="center"/>
          </w:tcPr>
          <w:p>
            <w:pPr>
              <w:pStyle w:val="TableContents"/>
              <w:rPr/>
            </w:pPr>
            <w:r>
              <w:rPr/>
              <w:t>Unqualified leaders prioritize personal interests, enabling fraud.</w:t>
            </w:r>
          </w:p>
        </w:tc>
        <w:tc>
          <w:tcPr>
            <w:tcW w:w="2418" w:type="dxa"/>
            <w:tcBorders/>
            <w:vAlign w:val="center"/>
          </w:tcPr>
          <w:p>
            <w:pPr>
              <w:pStyle w:val="TableContents"/>
              <w:rPr/>
            </w:pPr>
            <w:r>
              <w:rPr/>
              <w:t>Oceanic Bank’s CEO awarded contracts to family shell companies.</w:t>
            </w:r>
          </w:p>
        </w:tc>
        <w:tc>
          <w:tcPr>
            <w:tcW w:w="1977" w:type="dxa"/>
            <w:tcBorders/>
            <w:vAlign w:val="center"/>
          </w:tcPr>
          <w:p>
            <w:pPr>
              <w:pStyle w:val="TableContents"/>
              <w:rPr/>
            </w:pPr>
            <w:r>
              <w:rPr/>
              <w:t xml:space="preserve">Reduces </w:t>
            </w:r>
            <w:r>
              <w:rPr>
                <w:rStyle w:val="Strong"/>
              </w:rPr>
              <w:t>disclosure</w:t>
            </w:r>
            <w:r>
              <w:rPr/>
              <w:t xml:space="preserve">, exacerbates </w:t>
            </w:r>
            <w:r>
              <w:rPr>
                <w:rStyle w:val="Strong"/>
              </w:rPr>
              <w:t>practice</w:t>
            </w:r>
            <w:r>
              <w:rPr/>
              <w:t xml:space="preserve"> failures.</w:t>
            </w:r>
          </w:p>
        </w:tc>
        <w:tc>
          <w:tcPr>
            <w:tcW w:w="1658" w:type="dxa"/>
            <w:tcBorders/>
            <w:vAlign w:val="center"/>
          </w:tcPr>
          <w:p>
            <w:pPr>
              <w:pStyle w:val="TableContents"/>
              <w:rPr/>
            </w:pPr>
            <w:r>
              <w:rPr/>
              <w:t>Sanusi (2009), Ojo &amp; Ojo (2024)</w:t>
            </w:r>
          </w:p>
        </w:tc>
      </w:tr>
    </w:tbl>
    <w:p>
      <w:pPr>
        <w:pStyle w:val="Normal"/>
        <w:spacing w:before="0" w:after="0"/>
        <w:rPr>
          <w:rFonts w:ascii="Calibri" w:hAnsi="Calibri" w:cs="Calibri"/>
        </w:rPr>
      </w:pPr>
      <w:r>
        <w:rPr>
          <w:rFonts w:cs="Calibri"/>
        </w:rPr>
      </w:r>
    </w:p>
    <w:tbl>
      <w:tblPr>
        <w:tblW w:w="9972" w:type="dxa"/>
        <w:jc w:val="start"/>
        <w:tblInd w:w="0" w:type="dxa"/>
        <w:tblLayout w:type="fixed"/>
        <w:tblCellMar>
          <w:top w:w="15" w:type="dxa"/>
          <w:start w:w="15" w:type="dxa"/>
          <w:bottom w:w="15" w:type="dxa"/>
          <w:end w:w="15" w:type="dxa"/>
        </w:tblCellMar>
      </w:tblPr>
      <w:tblGrid>
        <w:gridCol w:w="1672"/>
        <w:gridCol w:w="2197"/>
        <w:gridCol w:w="2470"/>
        <w:gridCol w:w="2150"/>
        <w:gridCol w:w="1483"/>
      </w:tblGrid>
      <w:tr>
        <w:trPr>
          <w:tblHeader w:val="true"/>
        </w:trPr>
        <w:tc>
          <w:tcPr>
            <w:tcW w:w="1672" w:type="dxa"/>
            <w:tcBorders/>
            <w:vAlign w:val="center"/>
          </w:tcPr>
          <w:p>
            <w:pPr>
              <w:pStyle w:val="Normal"/>
              <w:suppressAutoHyphens w:val="false"/>
              <w:spacing w:lineRule="auto" w:line="240"/>
              <w:jc w:val="center"/>
              <w:rPr>
                <w:rFonts w:cs="Calibri"/>
                <w:b/>
                <w:bCs/>
              </w:rPr>
            </w:pPr>
            <w:r>
              <w:rPr>
                <w:rFonts w:cs="Calibri"/>
                <w:b/>
                <w:bCs/>
              </w:rPr>
              <w:t>Issue</w:t>
            </w:r>
          </w:p>
        </w:tc>
        <w:tc>
          <w:tcPr>
            <w:tcW w:w="2197" w:type="dxa"/>
            <w:tcBorders/>
            <w:vAlign w:val="center"/>
          </w:tcPr>
          <w:p>
            <w:pPr>
              <w:pStyle w:val="Normal"/>
              <w:suppressAutoHyphens w:val="false"/>
              <w:spacing w:lineRule="auto" w:line="240"/>
              <w:jc w:val="center"/>
              <w:rPr>
                <w:rFonts w:cs="Calibri"/>
                <w:b/>
                <w:bCs/>
              </w:rPr>
            </w:pPr>
            <w:r>
              <w:rPr>
                <w:rFonts w:cs="Calibri"/>
                <w:b/>
                <w:bCs/>
              </w:rPr>
              <w:t>Description</w:t>
            </w:r>
          </w:p>
        </w:tc>
        <w:tc>
          <w:tcPr>
            <w:tcW w:w="2470" w:type="dxa"/>
            <w:tcBorders/>
            <w:vAlign w:val="center"/>
          </w:tcPr>
          <w:p>
            <w:pPr>
              <w:pStyle w:val="Normal"/>
              <w:suppressAutoHyphens w:val="false"/>
              <w:spacing w:lineRule="auto" w:line="240"/>
              <w:jc w:val="center"/>
              <w:rPr>
                <w:rFonts w:cs="Calibri"/>
                <w:b/>
                <w:bCs/>
              </w:rPr>
            </w:pPr>
            <w:r>
              <w:rPr>
                <w:rFonts w:cs="Calibri"/>
                <w:b/>
                <w:bCs/>
              </w:rPr>
              <w:t>Example</w:t>
            </w:r>
          </w:p>
        </w:tc>
        <w:tc>
          <w:tcPr>
            <w:tcW w:w="2150" w:type="dxa"/>
            <w:tcBorders/>
            <w:vAlign w:val="center"/>
          </w:tcPr>
          <w:p>
            <w:pPr>
              <w:pStyle w:val="Normal"/>
              <w:suppressAutoHyphens w:val="false"/>
              <w:spacing w:lineRule="auto" w:line="240"/>
              <w:jc w:val="center"/>
              <w:rPr>
                <w:rFonts w:cs="Calibri"/>
                <w:b/>
                <w:bCs/>
              </w:rPr>
            </w:pPr>
            <w:r>
              <w:rPr>
                <w:rFonts w:cs="Calibri"/>
                <w:b/>
                <w:bCs/>
              </w:rPr>
              <w:t>Impact on CG Tenets</w:t>
            </w:r>
          </w:p>
        </w:tc>
        <w:tc>
          <w:tcPr>
            <w:tcW w:w="1483" w:type="dxa"/>
            <w:tcBorders/>
            <w:vAlign w:val="center"/>
          </w:tcPr>
          <w:p>
            <w:pPr>
              <w:pStyle w:val="Normal"/>
              <w:suppressAutoHyphens w:val="false"/>
              <w:spacing w:lineRule="auto" w:line="240"/>
              <w:jc w:val="center"/>
              <w:rPr>
                <w:rFonts w:cs="Calibri"/>
                <w:b/>
                <w:bCs/>
              </w:rPr>
            </w:pPr>
            <w:r>
              <w:rPr>
                <w:rFonts w:cs="Calibri"/>
                <w:b/>
                <w:bCs/>
              </w:rPr>
              <w:t>Source</w:t>
            </w:r>
          </w:p>
        </w:tc>
      </w:tr>
      <w:tr>
        <w:trPr/>
        <w:tc>
          <w:tcPr>
            <w:tcW w:w="1672" w:type="dxa"/>
            <w:tcBorders/>
            <w:vAlign w:val="center"/>
          </w:tcPr>
          <w:p>
            <w:pPr>
              <w:pStyle w:val="Normal"/>
              <w:suppressAutoHyphens w:val="false"/>
              <w:spacing w:lineRule="auto" w:line="240"/>
              <w:jc w:val="start"/>
              <w:rPr>
                <w:rFonts w:cs="Calibri"/>
              </w:rPr>
            </w:pPr>
            <w:r>
              <w:rPr>
                <w:rFonts w:cs="Calibri"/>
              </w:rPr>
              <w:t>Unqualified Appointments</w:t>
            </w:r>
          </w:p>
        </w:tc>
        <w:tc>
          <w:tcPr>
            <w:tcW w:w="2197" w:type="dxa"/>
            <w:tcBorders/>
            <w:vAlign w:val="center"/>
          </w:tcPr>
          <w:p>
            <w:pPr>
              <w:pStyle w:val="Normal"/>
              <w:suppressAutoHyphens w:val="false"/>
              <w:spacing w:lineRule="auto" w:line="240"/>
              <w:jc w:val="start"/>
              <w:rPr>
                <w:rFonts w:cs="Calibri"/>
              </w:rPr>
            </w:pPr>
            <w:r>
              <w:rPr>
                <w:rFonts w:cs="Calibri"/>
              </w:rPr>
              <w:t>Managers lack financial expertise or governance training, rooted in pre-1986 patronage.</w:t>
            </w:r>
          </w:p>
        </w:tc>
        <w:tc>
          <w:tcPr>
            <w:tcW w:w="2470" w:type="dxa"/>
            <w:tcBorders/>
            <w:vAlign w:val="center"/>
          </w:tcPr>
          <w:p>
            <w:pPr>
              <w:pStyle w:val="Normal"/>
              <w:suppressAutoHyphens w:val="false"/>
              <w:spacing w:lineRule="auto" w:line="240"/>
              <w:jc w:val="start"/>
              <w:rPr>
                <w:rFonts w:cs="Calibri"/>
              </w:rPr>
            </w:pPr>
            <w:r>
              <w:rPr>
                <w:rFonts w:cs="Calibri"/>
              </w:rPr>
              <w:t>Intercontinental Bank’s collapse due to poor risk controls by unqualified executives.</w:t>
            </w:r>
          </w:p>
        </w:tc>
        <w:tc>
          <w:tcPr>
            <w:tcW w:w="2150" w:type="dxa"/>
            <w:tcBorders/>
            <w:vAlign w:val="center"/>
          </w:tcPr>
          <w:p>
            <w:pPr>
              <w:pStyle w:val="Normal"/>
              <w:suppressAutoHyphens w:val="false"/>
              <w:spacing w:lineRule="auto" w:line="240"/>
              <w:jc w:val="start"/>
              <w:rPr>
                <w:rFonts w:cs="Calibri"/>
              </w:rPr>
            </w:pPr>
            <w:r>
              <w:rPr>
                <w:rFonts w:cs="Calibri"/>
              </w:rPr>
              <w:t>Weakens bank practice and risk management, increasing NPLs.</w:t>
            </w:r>
          </w:p>
        </w:tc>
        <w:tc>
          <w:tcPr>
            <w:tcW w:w="1483" w:type="dxa"/>
            <w:tcBorders/>
            <w:vAlign w:val="center"/>
          </w:tcPr>
          <w:p>
            <w:pPr>
              <w:pStyle w:val="Normal"/>
              <w:suppressAutoHyphens w:val="false"/>
              <w:spacing w:lineRule="auto" w:line="240"/>
              <w:jc w:val="start"/>
              <w:rPr>
                <w:rFonts w:cs="Calibri"/>
              </w:rPr>
            </w:pPr>
            <w:r>
              <w:rPr>
                <w:rFonts w:cs="Calibri"/>
              </w:rPr>
              <w:t>Nwoko et al. (2022), Owolabi (2013)</w:t>
            </w:r>
          </w:p>
        </w:tc>
      </w:tr>
      <w:tr>
        <w:trPr/>
        <w:tc>
          <w:tcPr>
            <w:tcW w:w="1672" w:type="dxa"/>
            <w:tcBorders/>
            <w:vAlign w:val="center"/>
          </w:tcPr>
          <w:p>
            <w:pPr>
              <w:pStyle w:val="Normal"/>
              <w:suppressAutoHyphens w:val="false"/>
              <w:spacing w:lineRule="auto" w:line="240"/>
              <w:jc w:val="start"/>
              <w:rPr>
                <w:rFonts w:cs="Calibri"/>
              </w:rPr>
            </w:pPr>
            <w:r>
              <w:rPr>
                <w:rFonts w:cs="Calibri"/>
              </w:rPr>
              <w:t>Political Patronage</w:t>
            </w:r>
          </w:p>
        </w:tc>
        <w:tc>
          <w:tcPr>
            <w:tcW w:w="2197" w:type="dxa"/>
            <w:tcBorders/>
            <w:vAlign w:val="center"/>
          </w:tcPr>
          <w:p>
            <w:pPr>
              <w:pStyle w:val="Normal"/>
              <w:suppressAutoHyphens w:val="false"/>
              <w:spacing w:lineRule="auto" w:line="240"/>
              <w:jc w:val="start"/>
              <w:rPr>
                <w:rFonts w:cs="Calibri"/>
              </w:rPr>
            </w:pPr>
            <w:r>
              <w:rPr>
                <w:rFonts w:cs="Calibri"/>
              </w:rPr>
              <w:t>Executives selected for political loyalty over competence.</w:t>
            </w:r>
          </w:p>
        </w:tc>
        <w:tc>
          <w:tcPr>
            <w:tcW w:w="2470" w:type="dxa"/>
            <w:tcBorders/>
            <w:vAlign w:val="center"/>
          </w:tcPr>
          <w:p>
            <w:pPr>
              <w:pStyle w:val="Normal"/>
              <w:suppressAutoHyphens w:val="false"/>
              <w:spacing w:lineRule="auto" w:line="240"/>
              <w:jc w:val="start"/>
              <w:rPr>
                <w:rFonts w:cs="Calibri"/>
              </w:rPr>
            </w:pPr>
            <w:r>
              <w:rPr>
                <w:rFonts w:cs="Calibri"/>
              </w:rPr>
              <w:t>Bank PHB’s mismanagement driven by politically connected leaders.</w:t>
            </w:r>
          </w:p>
        </w:tc>
        <w:tc>
          <w:tcPr>
            <w:tcW w:w="2150" w:type="dxa"/>
            <w:tcBorders/>
            <w:vAlign w:val="center"/>
          </w:tcPr>
          <w:p>
            <w:pPr>
              <w:pStyle w:val="Normal"/>
              <w:suppressAutoHyphens w:val="false"/>
              <w:spacing w:lineRule="auto" w:line="240"/>
              <w:jc w:val="start"/>
              <w:rPr>
                <w:rFonts w:cs="Calibri"/>
              </w:rPr>
            </w:pPr>
            <w:r>
              <w:rPr>
                <w:rFonts w:cs="Calibri"/>
              </w:rPr>
              <w:t>Erodes accountability and transparency, compromising audit oversight.</w:t>
            </w:r>
          </w:p>
        </w:tc>
        <w:tc>
          <w:tcPr>
            <w:tcW w:w="1483" w:type="dxa"/>
            <w:tcBorders/>
            <w:vAlign w:val="center"/>
          </w:tcPr>
          <w:p>
            <w:pPr>
              <w:pStyle w:val="Normal"/>
              <w:suppressAutoHyphens w:val="false"/>
              <w:spacing w:lineRule="auto" w:line="240"/>
              <w:jc w:val="start"/>
              <w:rPr>
                <w:rFonts w:cs="Calibri"/>
              </w:rPr>
            </w:pPr>
            <w:r>
              <w:rPr>
                <w:rFonts w:cs="Calibri"/>
              </w:rPr>
              <w:t>Sanusi (2009), Chinweoda et al. (2020)</w:t>
            </w:r>
          </w:p>
        </w:tc>
      </w:tr>
      <w:tr>
        <w:trPr/>
        <w:tc>
          <w:tcPr>
            <w:tcW w:w="1672" w:type="dxa"/>
            <w:tcBorders/>
            <w:vAlign w:val="center"/>
          </w:tcPr>
          <w:p>
            <w:pPr>
              <w:pStyle w:val="Normal"/>
              <w:suppressAutoHyphens w:val="false"/>
              <w:spacing w:lineRule="auto" w:line="240"/>
              <w:jc w:val="start"/>
              <w:rPr>
                <w:rFonts w:cs="Calibri"/>
              </w:rPr>
            </w:pPr>
            <w:r>
              <w:rPr>
                <w:rFonts w:cs="Calibri"/>
              </w:rPr>
              <w:t>Lack of Nomination Committees</w:t>
            </w:r>
          </w:p>
        </w:tc>
        <w:tc>
          <w:tcPr>
            <w:tcW w:w="2197" w:type="dxa"/>
            <w:tcBorders/>
            <w:vAlign w:val="center"/>
          </w:tcPr>
          <w:p>
            <w:pPr>
              <w:pStyle w:val="Normal"/>
              <w:suppressAutoHyphens w:val="false"/>
              <w:spacing w:lineRule="auto" w:line="240"/>
              <w:jc w:val="start"/>
              <w:rPr>
                <w:rFonts w:cs="Calibri"/>
              </w:rPr>
            </w:pPr>
            <w:r>
              <w:rPr>
                <w:rFonts w:cs="Calibri"/>
              </w:rPr>
              <w:t>61% of banks lack independent committees for merit-based selection.</w:t>
            </w:r>
          </w:p>
        </w:tc>
        <w:tc>
          <w:tcPr>
            <w:tcW w:w="2470" w:type="dxa"/>
            <w:tcBorders/>
            <w:vAlign w:val="center"/>
          </w:tcPr>
          <w:p>
            <w:pPr>
              <w:pStyle w:val="Normal"/>
              <w:suppressAutoHyphens w:val="false"/>
              <w:spacing w:lineRule="auto" w:line="240"/>
              <w:jc w:val="start"/>
              <w:rPr>
                <w:rFonts w:cs="Calibri"/>
              </w:rPr>
            </w:pPr>
            <w:r>
              <w:rPr>
                <w:rFonts w:cs="Calibri"/>
              </w:rPr>
              <w:t>Oceanic Bank’s CEO appointed via family influence, enabling insider lending.</w:t>
            </w:r>
          </w:p>
        </w:tc>
        <w:tc>
          <w:tcPr>
            <w:tcW w:w="2150" w:type="dxa"/>
            <w:tcBorders/>
            <w:vAlign w:val="center"/>
          </w:tcPr>
          <w:p>
            <w:pPr>
              <w:pStyle w:val="Normal"/>
              <w:suppressAutoHyphens w:val="false"/>
              <w:spacing w:lineRule="auto" w:line="240"/>
              <w:jc w:val="start"/>
              <w:rPr>
                <w:rFonts w:cs="Calibri"/>
              </w:rPr>
            </w:pPr>
            <w:r>
              <w:rPr>
                <w:rFonts w:cs="Calibri"/>
              </w:rPr>
              <w:t>Undermines accountability, affects bank practice and risk management.</w:t>
            </w:r>
          </w:p>
        </w:tc>
        <w:tc>
          <w:tcPr>
            <w:tcW w:w="1483" w:type="dxa"/>
            <w:tcBorders/>
            <w:vAlign w:val="center"/>
          </w:tcPr>
          <w:p>
            <w:pPr>
              <w:pStyle w:val="Normal"/>
              <w:suppressAutoHyphens w:val="false"/>
              <w:spacing w:lineRule="auto" w:line="240"/>
              <w:jc w:val="start"/>
              <w:rPr>
                <w:rFonts w:cs="Calibri"/>
              </w:rPr>
            </w:pPr>
            <w:r>
              <w:rPr>
                <w:rFonts w:cs="Calibri"/>
              </w:rPr>
              <w:t>Ogbechie (2016), Sanusi (2009)</w:t>
            </w:r>
          </w:p>
        </w:tc>
      </w:tr>
      <w:tr>
        <w:trPr/>
        <w:tc>
          <w:tcPr>
            <w:tcW w:w="1672" w:type="dxa"/>
            <w:tcBorders/>
            <w:vAlign w:val="center"/>
          </w:tcPr>
          <w:p>
            <w:pPr>
              <w:pStyle w:val="Normal"/>
              <w:suppressAutoHyphens w:val="false"/>
              <w:spacing w:lineRule="auto" w:line="240"/>
              <w:jc w:val="start"/>
              <w:rPr>
                <w:rFonts w:cs="Calibri"/>
              </w:rPr>
            </w:pPr>
            <w:r>
              <w:rPr>
                <w:rFonts w:cs="Calibri"/>
              </w:rPr>
              <w:t>Weak Ethical Standards</w:t>
            </w:r>
          </w:p>
        </w:tc>
        <w:tc>
          <w:tcPr>
            <w:tcW w:w="2197" w:type="dxa"/>
            <w:tcBorders/>
            <w:vAlign w:val="center"/>
          </w:tcPr>
          <w:p>
            <w:pPr>
              <w:pStyle w:val="Normal"/>
              <w:suppressAutoHyphens w:val="false"/>
              <w:spacing w:lineRule="auto" w:line="240"/>
              <w:jc w:val="start"/>
              <w:rPr>
                <w:rFonts w:cs="Calibri"/>
              </w:rPr>
            </w:pPr>
            <w:r>
              <w:rPr>
                <w:rFonts w:cs="Calibri"/>
              </w:rPr>
              <w:t>Unqualified leaders prioritize personal interests, enabling fraud.</w:t>
            </w:r>
          </w:p>
        </w:tc>
        <w:tc>
          <w:tcPr>
            <w:tcW w:w="2470" w:type="dxa"/>
            <w:tcBorders/>
            <w:vAlign w:val="center"/>
          </w:tcPr>
          <w:p>
            <w:pPr>
              <w:pStyle w:val="Normal"/>
              <w:suppressAutoHyphens w:val="false"/>
              <w:spacing w:lineRule="auto" w:line="240"/>
              <w:jc w:val="start"/>
              <w:rPr>
                <w:rFonts w:cs="Calibri"/>
              </w:rPr>
            </w:pPr>
            <w:r>
              <w:rPr>
                <w:rFonts w:cs="Calibri"/>
              </w:rPr>
              <w:t>Oceanic Bank’s CEO awarded contracts to family shell companies.</w:t>
            </w:r>
          </w:p>
        </w:tc>
        <w:tc>
          <w:tcPr>
            <w:tcW w:w="2150" w:type="dxa"/>
            <w:tcBorders/>
            <w:vAlign w:val="center"/>
          </w:tcPr>
          <w:p>
            <w:pPr>
              <w:pStyle w:val="Normal"/>
              <w:suppressAutoHyphens w:val="false"/>
              <w:spacing w:lineRule="auto" w:line="240"/>
              <w:jc w:val="start"/>
              <w:rPr>
                <w:rFonts w:cs="Calibri"/>
              </w:rPr>
            </w:pPr>
            <w:r>
              <w:rPr>
                <w:rFonts w:cs="Calibri"/>
              </w:rPr>
              <w:t>Reduces transparency, exacerbates risk management failures.</w:t>
            </w:r>
          </w:p>
        </w:tc>
        <w:tc>
          <w:tcPr>
            <w:tcW w:w="1483" w:type="dxa"/>
            <w:tcBorders/>
            <w:vAlign w:val="center"/>
          </w:tcPr>
          <w:p>
            <w:pPr>
              <w:pStyle w:val="Normal"/>
              <w:suppressAutoHyphens w:val="false"/>
              <w:spacing w:lineRule="auto" w:line="240"/>
              <w:jc w:val="start"/>
              <w:rPr>
                <w:rFonts w:cs="Calibri"/>
              </w:rPr>
            </w:pPr>
            <w:r>
              <w:rPr>
                <w:rFonts w:cs="Calibri"/>
              </w:rPr>
              <w:t>Sanusi (2009), Ojo &amp; Ojo (2025)</w:t>
            </w:r>
          </w:p>
        </w:tc>
      </w:tr>
    </w:tbl>
    <w:p>
      <w:pPr>
        <w:pStyle w:val="BodyText"/>
        <w:spacing w:before="280" w:after="280"/>
        <w:rPr>
          <w:rFonts w:ascii="Calibri" w:hAnsi="Calibri" w:cs="Calibri"/>
        </w:rPr>
      </w:pPr>
      <w:r>
        <w:rPr>
          <w:rFonts w:cs="Calibri"/>
        </w:rPr>
        <w:t>Note: Adapted from Nwoko et al. (2022), Sanusi (2009), and Afolabi and Afolabi (2024). Impacts highlight ties to disclosure, practice, compliance, and audit committee independence.</w:t>
      </w:r>
    </w:p>
    <w:p>
      <w:pPr>
        <w:pStyle w:val="BodyText"/>
        <w:spacing w:lineRule="auto" w:line="480"/>
        <w:ind w:hanging="0" w:start="0" w:end="0"/>
        <w:rPr/>
      </w:pPr>
      <w:r>
        <w:rPr>
          <w:rStyle w:val="Strong"/>
        </w:rPr>
        <w:t>2.6.3 Case Study: Oceanic Bank Collapse</w:t>
      </w:r>
    </w:p>
    <w:p>
      <w:pPr>
        <w:pStyle w:val="BodyText"/>
        <w:spacing w:lineRule="auto" w:line="480"/>
        <w:ind w:hanging="0" w:start="0" w:end="0"/>
        <w:rPr/>
      </w:pPr>
      <w:r>
        <w:rPr/>
        <w:t xml:space="preserve">The collapse of Oceanic Bank in 2009 exemplifies how </w:t>
      </w:r>
      <w:r>
        <w:rPr>
          <w:rStyle w:val="Strong"/>
        </w:rPr>
        <w:t>unqualified and unethical leadership</w:t>
      </w:r>
      <w:r>
        <w:rPr/>
        <w:t xml:space="preserve"> drives NPLs and systemic risk. Sanusi (2009) reports that the bank’s leadership, including CEO Mrs. Ibru and board member Mr. Oboden Ibru, lacked the </w:t>
      </w:r>
      <w:r>
        <w:rPr>
          <w:rStyle w:val="Strong"/>
        </w:rPr>
        <w:t>management qualifications</w:t>
      </w:r>
      <w:r>
        <w:rPr/>
        <w:t xml:space="preserve"> and </w:t>
      </w:r>
      <w:r>
        <w:rPr>
          <w:rStyle w:val="Strong"/>
        </w:rPr>
        <w:t>independence</w:t>
      </w:r>
      <w:r>
        <w:rPr/>
        <w:t xml:space="preserve"> to challenge insider lending practices, with 75% of NPLs tied to enterprises controlled by the Ibru family. The CEO’s unethical decision-making, including awarding procurement contracts to family-owned shell companies, violated corporate governance principles, reflecting a failure of stewardship (Donaldson &amp; Davis, 1991). Upper echelons theory explains this outcome, as the </w:t>
      </w:r>
      <w:r>
        <w:rPr>
          <w:rStyle w:val="Strong"/>
        </w:rPr>
        <w:t>unqualified leadership</w:t>
      </w:r>
      <w:r>
        <w:rPr/>
        <w:t xml:space="preserve">’s poor strategic choices and risk oversight led to catastrophic financial distress (Hambrick &amp; Mason, 1984). The absence of robust nomination processes allowed </w:t>
      </w:r>
      <w:r>
        <w:rPr>
          <w:rStyle w:val="Strong"/>
        </w:rPr>
        <w:t>politically connected and family-based appointments</w:t>
      </w:r>
      <w:r>
        <w:rPr/>
        <w:t xml:space="preserve"> to dominate, undermining </w:t>
      </w:r>
      <w:r>
        <w:rPr>
          <w:rStyle w:val="Strong"/>
        </w:rPr>
        <w:t>compliance</w:t>
      </w:r>
      <w:r>
        <w:rPr/>
        <w:t xml:space="preserve"> and contributing to the bank’s collapse, which required a $3.9 billion CBN intervention (Sanusi, 2009). This case underscores the link between </w:t>
      </w:r>
      <w:r>
        <w:rPr>
          <w:rStyle w:val="Strong"/>
        </w:rPr>
        <w:t>unqualified leadership</w:t>
      </w:r>
      <w:r>
        <w:rPr/>
        <w:t xml:space="preserve"> and NPLs, highlighting the need for merit-based appointments to mitigate default risk. </w:t>
      </w:r>
      <w:r>
        <w:rPr>
          <w:rStyle w:val="Strong"/>
        </w:rPr>
        <w:t>Recent studies by Ojo and Ojo (2024) show similar patterns in current practice indices, with unqualified leaders continuing to weaken audit committee independence and disclosure.</w:t>
      </w:r>
    </w:p>
    <w:p>
      <w:pPr>
        <w:pStyle w:val="BodyText"/>
        <w:spacing w:lineRule="auto" w:line="480"/>
        <w:ind w:hanging="0" w:start="0" w:end="0"/>
        <w:rPr/>
      </w:pPr>
      <w:r>
        <w:rPr>
          <w:rStyle w:val="Strong"/>
        </w:rPr>
        <w:t>2.6.4 Reforms to Enhance Management Qualifications</w:t>
      </w:r>
    </w:p>
    <w:p>
      <w:pPr>
        <w:pStyle w:val="BodyText"/>
        <w:spacing w:lineRule="auto" w:line="480"/>
        <w:ind w:hanging="0" w:start="0" w:end="0"/>
        <w:rPr/>
      </w:pPr>
      <w:r>
        <w:rPr>
          <w:rStyle w:val="Strong"/>
        </w:rPr>
        <w:t>Qualified and ethical management</w:t>
      </w:r>
      <w:r>
        <w:rPr/>
        <w:t xml:space="preserve"> is essential for reducing NPLs through effective </w:t>
      </w:r>
      <w:r>
        <w:rPr>
          <w:rStyle w:val="Strong"/>
        </w:rPr>
        <w:t>practice indices</w:t>
      </w:r>
      <w:r>
        <w:rPr/>
        <w:t xml:space="preserve"> and transparent decision-making. Upper echelons theory suggests that executives with financial expertise can implement strategic controls to curb risky lending, while stewardship theory emphasizes ethical leadership to align with stakeholder interests (Hambrick &amp; Mason, 1984; Donaldson &amp; Davis, 1991). In Nigeria, </w:t>
      </w:r>
      <w:r>
        <w:rPr>
          <w:rStyle w:val="Strong"/>
        </w:rPr>
        <w:t>unqualified, politically motivated appointments</w:t>
      </w:r>
      <w:r>
        <w:rPr/>
        <w:t xml:space="preserve">, as seen in Oceanic Bank, have driven NPLs by enabling insider abuses and weak oversight (Sanusi, 2009). Nigerian studies advocate for reforms like mandatory independent nomination committees and stringent </w:t>
      </w:r>
      <w:r>
        <w:rPr>
          <w:rStyle w:val="Strong"/>
        </w:rPr>
        <w:t>qualification criteria</w:t>
      </w:r>
      <w:r>
        <w:rPr/>
        <w:t xml:space="preserve">—such as financial expertise and governance certifications—to ensure competent leadership (Nwoko et al., 2022; Ogbechie, 2016). These align with global standards, such as the OECD Principles (2023), which emphasize merit-based appointments to enhance governance. Such reforms could reduce NPLs by fostering ethical decision-making and robust </w:t>
      </w:r>
      <w:r>
        <w:rPr>
          <w:rStyle w:val="Strong"/>
        </w:rPr>
        <w:t>practice indices</w:t>
      </w:r>
      <w:r>
        <w:rPr/>
        <w:t xml:space="preserve">, addressing research objective OB3 and hypothesis H3, which link </w:t>
      </w:r>
      <w:r>
        <w:rPr>
          <w:rStyle w:val="Strong"/>
        </w:rPr>
        <w:t>management qualifications</w:t>
      </w:r>
      <w:r>
        <w:rPr/>
        <w:t xml:space="preserve"> to NPL reduction. The contrast with cases like Oceanic Bank highlights the urgency of context-specific reforms to strengthen </w:t>
      </w:r>
      <w:r>
        <w:rPr>
          <w:rStyle w:val="Strong"/>
        </w:rPr>
        <w:t>management qualifications</w:t>
      </w:r>
      <w:r>
        <w:rPr/>
        <w:t xml:space="preserve"> in Nigeria’s </w:t>
      </w:r>
      <w:r>
        <w:rPr>
          <w:rStyle w:val="Strong"/>
        </w:rPr>
        <w:t>deposit money banking</w:t>
      </w:r>
      <w:r>
        <w:rPr/>
        <w:t xml:space="preserve"> sector. </w:t>
      </w:r>
      <w:r>
        <w:rPr>
          <w:rStyle w:val="Strong"/>
        </w:rPr>
        <w:t>To expand, Afolabi and Afolabi (2024) link this to audit committee independence and disclosure, noting that qualified managers enhance audit committee effectiveness by supporting rigorous financial oversight.</w:t>
      </w:r>
    </w:p>
    <w:p>
      <w:pPr>
        <w:pStyle w:val="BodyText"/>
        <w:spacing w:lineRule="auto" w:line="480"/>
        <w:ind w:hanging="0" w:start="0" w:end="0"/>
        <w:rPr/>
      </w:pPr>
      <w:r>
        <w:rPr>
          <w:rStyle w:val="Strong"/>
        </w:rPr>
        <w:t>Table 2.7: Proposed Reforms to Strengthen Management Qualifications in Deposit Money Banks</w:t>
      </w:r>
    </w:p>
    <w:tbl>
      <w:tblPr>
        <w:tblW w:w="9972" w:type="dxa"/>
        <w:jc w:val="start"/>
        <w:tblInd w:w="0" w:type="dxa"/>
        <w:tblLayout w:type="fixed"/>
        <w:tblCellMar>
          <w:top w:w="28" w:type="dxa"/>
          <w:start w:w="28" w:type="dxa"/>
          <w:bottom w:w="28" w:type="dxa"/>
          <w:end w:w="28" w:type="dxa"/>
        </w:tblCellMar>
      </w:tblPr>
      <w:tblGrid>
        <w:gridCol w:w="1839"/>
        <w:gridCol w:w="2213"/>
        <w:gridCol w:w="2415"/>
        <w:gridCol w:w="2144"/>
        <w:gridCol w:w="1361"/>
      </w:tblGrid>
      <w:tr>
        <w:trPr>
          <w:tblHeader w:val="true"/>
        </w:trPr>
        <w:tc>
          <w:tcPr>
            <w:tcW w:w="1839" w:type="dxa"/>
            <w:tcBorders/>
            <w:vAlign w:val="center"/>
          </w:tcPr>
          <w:p>
            <w:pPr>
              <w:pStyle w:val="TableHeading"/>
              <w:rPr/>
            </w:pPr>
            <w:r>
              <w:rPr>
                <w:rStyle w:val="Strong"/>
                <w:b/>
                <w:bCs/>
              </w:rPr>
              <w:t>Reform</w:t>
            </w:r>
          </w:p>
        </w:tc>
        <w:tc>
          <w:tcPr>
            <w:tcW w:w="2213" w:type="dxa"/>
            <w:tcBorders/>
            <w:vAlign w:val="center"/>
          </w:tcPr>
          <w:p>
            <w:pPr>
              <w:pStyle w:val="TableHeading"/>
              <w:rPr/>
            </w:pPr>
            <w:r>
              <w:rPr>
                <w:rStyle w:val="Strong"/>
                <w:b/>
                <w:bCs/>
              </w:rPr>
              <w:t>Description</w:t>
            </w:r>
          </w:p>
        </w:tc>
        <w:tc>
          <w:tcPr>
            <w:tcW w:w="2415" w:type="dxa"/>
            <w:tcBorders/>
            <w:vAlign w:val="center"/>
          </w:tcPr>
          <w:p>
            <w:pPr>
              <w:pStyle w:val="TableHeading"/>
              <w:rPr/>
            </w:pPr>
            <w:r>
              <w:rPr>
                <w:rStyle w:val="Strong"/>
                <w:b/>
                <w:bCs/>
              </w:rPr>
              <w:t>Expected Impact</w:t>
            </w:r>
          </w:p>
        </w:tc>
        <w:tc>
          <w:tcPr>
            <w:tcW w:w="2144" w:type="dxa"/>
            <w:tcBorders/>
            <w:vAlign w:val="center"/>
          </w:tcPr>
          <w:p>
            <w:pPr>
              <w:pStyle w:val="TableHeading"/>
              <w:rPr/>
            </w:pPr>
            <w:r>
              <w:rPr>
                <w:rStyle w:val="Strong"/>
                <w:b/>
                <w:bCs/>
              </w:rPr>
              <w:t>Global Benchmark</w:t>
            </w:r>
          </w:p>
        </w:tc>
        <w:tc>
          <w:tcPr>
            <w:tcW w:w="1361" w:type="dxa"/>
            <w:tcBorders/>
            <w:vAlign w:val="center"/>
          </w:tcPr>
          <w:p>
            <w:pPr>
              <w:pStyle w:val="TableHeading"/>
              <w:ind w:hanging="0" w:start="0" w:end="0"/>
              <w:rPr/>
            </w:pPr>
            <w:r>
              <w:rPr>
                <w:rStyle w:val="Strong"/>
                <w:b/>
                <w:bCs/>
              </w:rPr>
              <w:t>Source</w:t>
            </w:r>
          </w:p>
        </w:tc>
      </w:tr>
      <w:tr>
        <w:trPr/>
        <w:tc>
          <w:tcPr>
            <w:tcW w:w="1839" w:type="dxa"/>
            <w:tcBorders/>
            <w:vAlign w:val="center"/>
          </w:tcPr>
          <w:p>
            <w:pPr>
              <w:pStyle w:val="TableContents"/>
              <w:ind w:hanging="0" w:start="0" w:end="0"/>
              <w:rPr/>
            </w:pPr>
            <w:r>
              <w:rPr>
                <w:rStyle w:val="Strong"/>
              </w:rPr>
              <w:t>Mandatory Qualification Criteria</w:t>
            </w:r>
          </w:p>
        </w:tc>
        <w:tc>
          <w:tcPr>
            <w:tcW w:w="2213" w:type="dxa"/>
            <w:tcBorders/>
            <w:vAlign w:val="center"/>
          </w:tcPr>
          <w:p>
            <w:pPr>
              <w:pStyle w:val="TableContents"/>
              <w:ind w:hanging="0" w:start="0" w:end="0"/>
              <w:rPr/>
            </w:pPr>
            <w:r>
              <w:rPr/>
              <w:t>Require financial expertise and governance certifications for executives.</w:t>
            </w:r>
          </w:p>
        </w:tc>
        <w:tc>
          <w:tcPr>
            <w:tcW w:w="2415" w:type="dxa"/>
            <w:tcBorders/>
            <w:vAlign w:val="center"/>
          </w:tcPr>
          <w:p>
            <w:pPr>
              <w:pStyle w:val="TableContents"/>
              <w:ind w:hanging="0" w:start="0" w:end="0"/>
              <w:rPr/>
            </w:pPr>
            <w:r>
              <w:rPr/>
              <w:t>Enhances strategic oversight, reduces NPLs via prudent lending.</w:t>
            </w:r>
          </w:p>
        </w:tc>
        <w:tc>
          <w:tcPr>
            <w:tcW w:w="2144" w:type="dxa"/>
            <w:tcBorders/>
            <w:vAlign w:val="center"/>
          </w:tcPr>
          <w:p>
            <w:pPr>
              <w:pStyle w:val="TableContents"/>
              <w:ind w:hanging="0" w:start="0" w:end="0"/>
              <w:rPr/>
            </w:pPr>
            <w:r>
              <w:rPr/>
              <w:t>EU’s CRD IV: Executive competency mandates (EU, 2013).</w:t>
            </w:r>
          </w:p>
        </w:tc>
        <w:tc>
          <w:tcPr>
            <w:tcW w:w="1361" w:type="dxa"/>
            <w:tcBorders/>
            <w:vAlign w:val="center"/>
          </w:tcPr>
          <w:p>
            <w:pPr>
              <w:pStyle w:val="TableContents"/>
              <w:ind w:hanging="0" w:start="0" w:end="0"/>
              <w:rPr/>
            </w:pPr>
            <w:r>
              <w:rPr/>
              <w:t>Nwoko et al. (2022)</w:t>
            </w:r>
          </w:p>
        </w:tc>
      </w:tr>
      <w:tr>
        <w:trPr/>
        <w:tc>
          <w:tcPr>
            <w:tcW w:w="1839" w:type="dxa"/>
            <w:tcBorders/>
            <w:vAlign w:val="center"/>
          </w:tcPr>
          <w:p>
            <w:pPr>
              <w:pStyle w:val="TableContents"/>
              <w:ind w:hanging="0" w:start="0" w:end="0"/>
              <w:rPr/>
            </w:pPr>
            <w:r>
              <w:rPr>
                <w:rStyle w:val="Strong"/>
              </w:rPr>
              <w:t>Independent Nomination Committees</w:t>
            </w:r>
          </w:p>
        </w:tc>
        <w:tc>
          <w:tcPr>
            <w:tcW w:w="2213" w:type="dxa"/>
            <w:tcBorders/>
            <w:vAlign w:val="center"/>
          </w:tcPr>
          <w:p>
            <w:pPr>
              <w:pStyle w:val="TableContents"/>
              <w:ind w:hanging="0" w:start="0" w:end="0"/>
              <w:rPr/>
            </w:pPr>
            <w:r>
              <w:rPr/>
              <w:t>Mandate committees for merit-based executive selection.</w:t>
            </w:r>
          </w:p>
        </w:tc>
        <w:tc>
          <w:tcPr>
            <w:tcW w:w="2415" w:type="dxa"/>
            <w:tcBorders/>
            <w:vAlign w:val="center"/>
          </w:tcPr>
          <w:p>
            <w:pPr>
              <w:pStyle w:val="TableContents"/>
              <w:ind w:hanging="0" w:start="0" w:end="0"/>
              <w:rPr/>
            </w:pPr>
            <w:r>
              <w:rPr/>
              <w:t xml:space="preserve">Reduces political patronage, improves </w:t>
            </w:r>
            <w:r>
              <w:rPr>
                <w:rStyle w:val="Strong"/>
              </w:rPr>
              <w:t>compliance</w:t>
            </w:r>
            <w:r>
              <w:rPr/>
              <w:t>.</w:t>
            </w:r>
          </w:p>
        </w:tc>
        <w:tc>
          <w:tcPr>
            <w:tcW w:w="2144" w:type="dxa"/>
            <w:tcBorders/>
            <w:vAlign w:val="center"/>
          </w:tcPr>
          <w:p>
            <w:pPr>
              <w:pStyle w:val="TableContents"/>
              <w:ind w:hanging="0" w:start="0" w:end="0"/>
              <w:rPr/>
            </w:pPr>
            <w:r>
              <w:rPr/>
              <w:t>OECD Principles: Merit-based appointments (OECD, 2023).</w:t>
            </w:r>
          </w:p>
        </w:tc>
        <w:tc>
          <w:tcPr>
            <w:tcW w:w="1361" w:type="dxa"/>
            <w:tcBorders/>
            <w:vAlign w:val="center"/>
          </w:tcPr>
          <w:p>
            <w:pPr>
              <w:pStyle w:val="TableContents"/>
              <w:ind w:hanging="0" w:start="0" w:end="0"/>
              <w:rPr/>
            </w:pPr>
            <w:r>
              <w:rPr/>
              <w:t>Ogbechie (2016)</w:t>
            </w:r>
          </w:p>
        </w:tc>
      </w:tr>
      <w:tr>
        <w:trPr/>
        <w:tc>
          <w:tcPr>
            <w:tcW w:w="1839" w:type="dxa"/>
            <w:tcBorders/>
            <w:vAlign w:val="center"/>
          </w:tcPr>
          <w:p>
            <w:pPr>
              <w:pStyle w:val="TableContents"/>
              <w:ind w:hanging="0" w:start="0" w:end="0"/>
              <w:rPr/>
            </w:pPr>
            <w:r>
              <w:rPr>
                <w:rStyle w:val="Strong"/>
              </w:rPr>
              <w:t>Ethical Training Programs</w:t>
            </w:r>
          </w:p>
        </w:tc>
        <w:tc>
          <w:tcPr>
            <w:tcW w:w="2213" w:type="dxa"/>
            <w:tcBorders/>
            <w:vAlign w:val="center"/>
          </w:tcPr>
          <w:p>
            <w:pPr>
              <w:pStyle w:val="TableContents"/>
              <w:ind w:hanging="0" w:start="0" w:end="0"/>
              <w:rPr/>
            </w:pPr>
            <w:r>
              <w:rPr/>
              <w:t>Implement mandatory ethics and governance training.</w:t>
            </w:r>
          </w:p>
        </w:tc>
        <w:tc>
          <w:tcPr>
            <w:tcW w:w="2415" w:type="dxa"/>
            <w:tcBorders/>
            <w:vAlign w:val="center"/>
          </w:tcPr>
          <w:p>
            <w:pPr>
              <w:pStyle w:val="TableContents"/>
              <w:ind w:hanging="0" w:start="0" w:end="0"/>
              <w:rPr/>
            </w:pPr>
            <w:r>
              <w:rPr/>
              <w:t xml:space="preserve">Fosters stewardship, enhances </w:t>
            </w:r>
            <w:r>
              <w:rPr>
                <w:rStyle w:val="Strong"/>
              </w:rPr>
              <w:t>disclosure</w:t>
            </w:r>
            <w:r>
              <w:rPr/>
              <w:t xml:space="preserve"> in </w:t>
            </w:r>
            <w:r>
              <w:rPr>
                <w:rStyle w:val="Strong"/>
              </w:rPr>
              <w:t>practice indices</w:t>
            </w:r>
            <w:r>
              <w:rPr/>
              <w:t>.</w:t>
            </w:r>
          </w:p>
        </w:tc>
        <w:tc>
          <w:tcPr>
            <w:tcW w:w="2144" w:type="dxa"/>
            <w:tcBorders/>
            <w:vAlign w:val="center"/>
          </w:tcPr>
          <w:p>
            <w:pPr>
              <w:pStyle w:val="TableContents"/>
              <w:ind w:hanging="0" w:start="0" w:end="0"/>
              <w:rPr/>
            </w:pPr>
            <w:r>
              <w:rPr/>
              <w:t>Singapore’s CG Code: Ethical leadership training (MAS, 2021).</w:t>
            </w:r>
          </w:p>
        </w:tc>
        <w:tc>
          <w:tcPr>
            <w:tcW w:w="1361" w:type="dxa"/>
            <w:tcBorders/>
            <w:vAlign w:val="center"/>
          </w:tcPr>
          <w:p>
            <w:pPr>
              <w:pStyle w:val="TableContents"/>
              <w:ind w:hanging="0" w:start="0" w:end="0"/>
              <w:rPr/>
            </w:pPr>
            <w:r>
              <w:rPr/>
              <w:t>Afolabi &amp; Afolabi (2024)</w:t>
            </w:r>
          </w:p>
        </w:tc>
      </w:tr>
      <w:tr>
        <w:trPr/>
        <w:tc>
          <w:tcPr>
            <w:tcW w:w="1839" w:type="dxa"/>
            <w:tcBorders/>
            <w:vAlign w:val="center"/>
          </w:tcPr>
          <w:p>
            <w:pPr>
              <w:pStyle w:val="TableContents"/>
              <w:ind w:hanging="0" w:start="0" w:end="0"/>
              <w:rPr/>
            </w:pPr>
            <w:r>
              <w:rPr>
                <w:rStyle w:val="Strong"/>
              </w:rPr>
              <w:t>Enhanced CBN Oversight</w:t>
            </w:r>
          </w:p>
        </w:tc>
        <w:tc>
          <w:tcPr>
            <w:tcW w:w="2213" w:type="dxa"/>
            <w:tcBorders/>
            <w:vAlign w:val="center"/>
          </w:tcPr>
          <w:p>
            <w:pPr>
              <w:pStyle w:val="TableContents"/>
              <w:ind w:hanging="0" w:start="0" w:end="0"/>
              <w:rPr/>
            </w:pPr>
            <w:r>
              <w:rPr/>
              <w:t>Empower CBN to vet and sanction unqualified appointees.</w:t>
            </w:r>
          </w:p>
        </w:tc>
        <w:tc>
          <w:tcPr>
            <w:tcW w:w="2415" w:type="dxa"/>
            <w:tcBorders/>
            <w:vAlign w:val="center"/>
          </w:tcPr>
          <w:p>
            <w:pPr>
              <w:pStyle w:val="TableContents"/>
              <w:ind w:hanging="0" w:start="0" w:end="0"/>
              <w:rPr/>
            </w:pPr>
            <w:r>
              <w:rPr/>
              <w:t xml:space="preserve">Strengthens risk management, supports </w:t>
            </w:r>
            <w:r>
              <w:rPr>
                <w:rStyle w:val="Strong"/>
              </w:rPr>
              <w:t>audit committee independence</w:t>
            </w:r>
            <w:r>
              <w:rPr/>
              <w:t>.</w:t>
            </w:r>
          </w:p>
        </w:tc>
        <w:tc>
          <w:tcPr>
            <w:tcW w:w="2144" w:type="dxa"/>
            <w:tcBorders/>
            <w:vAlign w:val="center"/>
          </w:tcPr>
          <w:p>
            <w:pPr>
              <w:pStyle w:val="TableContents"/>
              <w:ind w:hanging="0" w:start="0" w:end="0"/>
              <w:rPr/>
            </w:pPr>
            <w:r>
              <w:rPr/>
              <w:t>Basel III: Regulatory oversight of leadership (BCBS, 2010).</w:t>
            </w:r>
          </w:p>
        </w:tc>
        <w:tc>
          <w:tcPr>
            <w:tcW w:w="1361" w:type="dxa"/>
            <w:tcBorders/>
            <w:vAlign w:val="center"/>
          </w:tcPr>
          <w:p>
            <w:pPr>
              <w:pStyle w:val="TableContents"/>
              <w:rPr/>
            </w:pPr>
            <w:r>
              <w:rPr/>
              <w:t>Ojo &amp; Ojo (2024)</w:t>
            </w:r>
          </w:p>
        </w:tc>
      </w:tr>
    </w:tbl>
    <w:p>
      <w:pPr>
        <w:pStyle w:val="BodyText"/>
        <w:spacing w:lineRule="auto" w:line="480"/>
        <w:ind w:hanging="0" w:start="0" w:end="0"/>
        <w:rPr/>
      </w:pPr>
      <w:r>
        <w:rPr>
          <w:rStyle w:val="Strong"/>
        </w:rPr>
        <w:t>Note</w:t>
      </w:r>
      <w:r>
        <w:rPr/>
        <w:t xml:space="preserve">: Adapted from Nwoko et al. (2022), Ogbechie (2016), and Afolabi and Afolabi (2024). Reforms address </w:t>
      </w:r>
      <w:r>
        <w:rPr>
          <w:rStyle w:val="Strong"/>
        </w:rPr>
        <w:t>disclosure, practice, compliance, and audit committee independence.</w:t>
      </w:r>
    </w:p>
    <w:p>
      <w:pPr>
        <w:pStyle w:val="BodyText"/>
        <w:spacing w:lineRule="auto" w:line="480"/>
        <w:ind w:hanging="0" w:start="0" w:end="0"/>
        <w:rPr/>
      </w:pPr>
      <w:r>
        <w:rPr>
          <w:rStyle w:val="Strong"/>
        </w:rPr>
        <w:t>2.6.5 Ties to Corporate Governance Indices</w:t>
      </w:r>
    </w:p>
    <w:p>
      <w:pPr>
        <w:pStyle w:val="BodyText"/>
        <w:spacing w:lineRule="auto" w:line="480"/>
        <w:ind w:hanging="0" w:start="0" w:end="0"/>
        <w:rPr/>
      </w:pPr>
      <w:r>
        <w:rPr>
          <w:rStyle w:val="Strong"/>
        </w:rPr>
        <w:t>Unqualified leadership</w:t>
      </w:r>
      <w:r>
        <w:rPr/>
        <w:t xml:space="preserve"> in Nigeria’s </w:t>
      </w:r>
      <w:r>
        <w:rPr>
          <w:rStyle w:val="Strong"/>
        </w:rPr>
        <w:t>deposit money banking</w:t>
      </w:r>
      <w:r>
        <w:rPr/>
        <w:t xml:space="preserve"> sector undermines the core </w:t>
      </w:r>
      <w:r>
        <w:rPr>
          <w:rStyle w:val="Strong"/>
        </w:rPr>
        <w:t>indices of disclosure, practice, and compliance</w:t>
      </w:r>
      <w:r>
        <w:rPr/>
        <w:t xml:space="preserve">. Political patronage and weak ethical standards erode </w:t>
      </w:r>
      <w:r>
        <w:rPr>
          <w:rStyle w:val="Strong"/>
        </w:rPr>
        <w:t>disclosure</w:t>
      </w:r>
      <w:r>
        <w:rPr/>
        <w:t xml:space="preserve"> by enabling financial misreporting, as seen in Oceanic Bank’s insider lending (Sanusi, 2009). </w:t>
      </w:r>
      <w:r>
        <w:rPr>
          <w:rStyle w:val="Strong"/>
        </w:rPr>
        <w:t>Compliance</w:t>
      </w:r>
      <w:r>
        <w:rPr/>
        <w:t xml:space="preserve"> is compromised by </w:t>
      </w:r>
      <w:r>
        <w:rPr>
          <w:rStyle w:val="Strong"/>
        </w:rPr>
        <w:t>unqualified executives</w:t>
      </w:r>
      <w:r>
        <w:rPr/>
        <w:t xml:space="preserve"> who prioritize personal interests, weakening stakeholder trust (Nwoko et al., 2022). </w:t>
      </w:r>
      <w:r>
        <w:rPr>
          <w:rStyle w:val="Strong"/>
        </w:rPr>
        <w:t>Practice indices</w:t>
      </w:r>
      <w:r>
        <w:rPr/>
        <w:t xml:space="preserve"> suffer from poor strategic decisions, leading to risky lending and systemic instability (Owolabi, 2013). Risk management is undermined by the lack of </w:t>
      </w:r>
      <w:r>
        <w:rPr>
          <w:rStyle w:val="Strong"/>
        </w:rPr>
        <w:t>management qualifications</w:t>
      </w:r>
      <w:r>
        <w:rPr/>
        <w:t xml:space="preserve">, contributing to NPL spikes (Adegboye, 2020). </w:t>
      </w:r>
      <w:r>
        <w:rPr>
          <w:rStyle w:val="Strong"/>
        </w:rPr>
        <w:t>Audit committee independence</w:t>
      </w:r>
      <w:r>
        <w:rPr/>
        <w:t xml:space="preserve"> is weakened by </w:t>
      </w:r>
      <w:r>
        <w:rPr>
          <w:rStyle w:val="Strong"/>
        </w:rPr>
        <w:t>unqualified leadership</w:t>
      </w:r>
      <w:r>
        <w:rPr/>
        <w:t>’s failure to support rigorous oversight, as noted by Ojo and Ojo (2024). These interconnected failures highlight the need for reforms to restore competent and ethical management.</w:t>
      </w:r>
    </w:p>
    <w:p>
      <w:pPr>
        <w:pStyle w:val="BodyText"/>
        <w:spacing w:lineRule="auto" w:line="480"/>
        <w:ind w:hanging="0" w:start="0" w:end="0"/>
        <w:rPr/>
      </w:pPr>
      <w:r>
        <w:rPr>
          <w:rStyle w:val="Strong"/>
        </w:rPr>
        <w:t>Management qualifications</w:t>
      </w:r>
      <w:r>
        <w:rPr/>
        <w:t xml:space="preserve"> and ethical decision-making are critical for effective governance and NPL reduction in Nigeria’s </w:t>
      </w:r>
      <w:r>
        <w:rPr>
          <w:rStyle w:val="Strong"/>
        </w:rPr>
        <w:t>deposit money banking</w:t>
      </w:r>
      <w:r>
        <w:rPr/>
        <w:t xml:space="preserve"> sector, yet </w:t>
      </w:r>
      <w:r>
        <w:rPr>
          <w:rStyle w:val="Strong"/>
        </w:rPr>
        <w:t>unqualified, politically motivated appointments</w:t>
      </w:r>
      <w:r>
        <w:rPr/>
        <w:t xml:space="preserve"> undermine these, driving default risk (Nwoko et al., 2022; Sanusi, 2009). Upper echelons and stewardship theories underscore the importance of expertise and ethical leadership in shaping organizational outcomes, but Nigeria’s </w:t>
      </w:r>
      <w:r>
        <w:rPr>
          <w:rStyle w:val="Strong"/>
        </w:rPr>
        <w:t>deposit money banking</w:t>
      </w:r>
      <w:r>
        <w:rPr/>
        <w:t xml:space="preserve"> sector falls short, as exemplified by Oceanic Bank’s collapse, where poor leadership drove 75% of NPLs. </w:t>
      </w:r>
      <w:r>
        <w:rPr>
          <w:rStyle w:val="Strong"/>
        </w:rPr>
        <w:t>Recent contributions by Ojo and Ojo (2024) emphasize how management qualifications tie to practice indices and audit committee independence, reinforcing disclosure and compliance.</w:t>
      </w:r>
    </w:p>
    <w:p>
      <w:pPr>
        <w:pStyle w:val="Normal"/>
        <w:rPr/>
      </w:pPr>
      <w:r>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rPr/>
      </w:pPr>
      <w:bookmarkStart w:id="184" w:name="_Toc205059269"/>
      <w:bookmarkStart w:id="185" w:name="_Toc203392034"/>
      <w:bookmarkStart w:id="186" w:name="_Toc203392098"/>
      <w:bookmarkStart w:id="187" w:name="_Toc203584766"/>
      <w:bookmarkStart w:id="188" w:name="_Toc203671420"/>
      <w:bookmarkStart w:id="189" w:name="_Toc205059486"/>
      <w:bookmarkStart w:id="190" w:name="_Toc203671470"/>
      <w:bookmarkStart w:id="191" w:name="_Toc202193607"/>
      <w:bookmarkStart w:id="192" w:name="_Toc205059580"/>
      <w:bookmarkStart w:id="193" w:name="_Toc205059641"/>
      <w:r>
        <w:rPr/>
        <w:t>2</w:t>
      </w:r>
      <w:bookmarkEnd w:id="184"/>
      <w:bookmarkEnd w:id="185"/>
      <w:bookmarkEnd w:id="186"/>
      <w:bookmarkEnd w:id="187"/>
      <w:bookmarkEnd w:id="188"/>
      <w:bookmarkEnd w:id="189"/>
      <w:bookmarkEnd w:id="190"/>
      <w:bookmarkEnd w:id="191"/>
      <w:bookmarkEnd w:id="192"/>
      <w:bookmarkEnd w:id="193"/>
      <w:r>
        <w:rPr>
          <w:rStyle w:val="Strong"/>
          <w:b/>
        </w:rPr>
        <w:t>2.7 Risk Management Failures and Fraud Concealment</w:t>
      </w:r>
    </w:p>
    <w:p>
      <w:pPr>
        <w:pStyle w:val="BodyText"/>
        <w:spacing w:lineRule="auto" w:line="480"/>
        <w:ind w:hanging="0" w:start="0" w:end="0"/>
        <w:rPr/>
      </w:pPr>
      <w:r>
        <w:rPr/>
        <w:t xml:space="preserve">Effective </w:t>
      </w:r>
      <w:r>
        <w:rPr>
          <w:rStyle w:val="Strong"/>
        </w:rPr>
        <w:t>practice indices</w:t>
      </w:r>
      <w:r>
        <w:rPr/>
        <w:t xml:space="preserve"> and robust whistleblowing mechanisms are critical components of corporate governance in Nigeria’s </w:t>
      </w:r>
      <w:r>
        <w:rPr>
          <w:rStyle w:val="Strong"/>
        </w:rPr>
        <w:t>deposit money banking</w:t>
      </w:r>
      <w:r>
        <w:rPr/>
        <w:t xml:space="preserve"> sector, essential for mitigating default risk and ensuring financial stability. However, systemic deficiencies in </w:t>
      </w:r>
      <w:r>
        <w:rPr>
          <w:rStyle w:val="Strong"/>
        </w:rPr>
        <w:t>practice indices</w:t>
      </w:r>
      <w:r>
        <w:rPr/>
        <w:t xml:space="preserve"> and weak whistleblowing frameworks have significantly contributed to elevated non-performing loan (NPL) ratios, peaking at 37% in 2009 and 20% in 2017 against the Central Bank of Nigeria’s (CBN) 5% threshold, and have fueled systemic instability, with 425 bank failures recorded since 1988 (Nwosu, 2020; Adegboye, 2020; Udo, 2020). These failures, often linked to fraud concealment and lax risk controls, undermine stakeholder trust and exacerbate financial distress, as vividly demonstrated in the 2009 banking crisis (Sanusi, 2009). This section reviews Nigerian literature on </w:t>
      </w:r>
      <w:r>
        <w:rPr>
          <w:rStyle w:val="Strong"/>
        </w:rPr>
        <w:t>practice index</w:t>
      </w:r>
      <w:r>
        <w:rPr/>
        <w:t xml:space="preserve"> deficiencies and weak whistleblowing mechanisms, compares these to global standards like Basel III and EU whistleblowing frameworks, and links them to default risk and systemic instability, aligning with the research’s objectives to address governance failures driving NPLs. </w:t>
      </w:r>
      <w:r>
        <w:rPr>
          <w:rStyle w:val="Strong"/>
        </w:rPr>
        <w:t>To expand, Afolabi and Afolabi (2024) connect risk failures to audit committee independence and practice indices, emphasizing their impact on disclosure and compliance.</w:t>
      </w:r>
    </w:p>
    <w:p>
      <w:pPr>
        <w:pStyle w:val="BodyText"/>
        <w:spacing w:lineRule="auto" w:line="480"/>
        <w:ind w:hanging="0" w:start="0" w:end="0"/>
        <w:rPr/>
      </w:pPr>
      <w:r>
        <w:rPr>
          <w:rStyle w:val="Strong"/>
        </w:rPr>
        <w:t>2.7.1 Risk Management Deficiencies in Nigeria</w:t>
      </w:r>
    </w:p>
    <w:p>
      <w:pPr>
        <w:pStyle w:val="BodyText"/>
        <w:spacing w:lineRule="auto" w:line="480"/>
        <w:ind w:hanging="0" w:start="0" w:end="0"/>
        <w:rPr/>
      </w:pPr>
      <w:r>
        <w:rPr/>
        <w:t xml:space="preserve">Nigerian studies highlight pervasive </w:t>
      </w:r>
      <w:r>
        <w:rPr>
          <w:rStyle w:val="Strong"/>
        </w:rPr>
        <w:t>practice index</w:t>
      </w:r>
      <w:r>
        <w:rPr/>
        <w:t xml:space="preserve"> failures as key contributors to high NPLs and governance breakdowns in the </w:t>
      </w:r>
      <w:r>
        <w:rPr>
          <w:rStyle w:val="Strong"/>
        </w:rPr>
        <w:t>deposit money banking</w:t>
      </w:r>
      <w:r>
        <w:rPr/>
        <w:t xml:space="preserve"> sector. Adegboye (2020) notes that </w:t>
      </w:r>
      <w:r>
        <w:rPr>
          <w:rStyle w:val="Strong"/>
        </w:rPr>
        <w:t>practice deficiencies</w:t>
      </w:r>
      <w:r>
        <w:rPr/>
        <w:t xml:space="preserve">, characterized by lax lending practices and inadequate credit assessment, led to NPLs reaching 20% in 2017, far exceeding the CBN’s 5% threshold. These failures reflect weak internal controls, with </w:t>
      </w:r>
      <w:r>
        <w:rPr>
          <w:rStyle w:val="Strong"/>
        </w:rPr>
        <w:t>deposit money banks</w:t>
      </w:r>
      <w:r>
        <w:rPr/>
        <w:t xml:space="preserve"> like Intercontinental Bank extending credit without proper due diligence, resulting in financial distress (Owolabi, 2013). The absence of robust risk assessment frameworks, such as stress testing or portfolio monitoring, allows banks to approve high-risk loans, exacerbating default risk (Adegboye, 2020). For instance, during the 2009 crisis, banks like Oceanic Bank exhibited poor </w:t>
      </w:r>
      <w:r>
        <w:rPr>
          <w:rStyle w:val="Strong"/>
        </w:rPr>
        <w:t>practice indices</w:t>
      </w:r>
      <w:r>
        <w:rPr/>
        <w:t xml:space="preserve">, with insider loans constituting 75% of NPLs, driven by inadequate oversight (Sanusi, 2009). </w:t>
      </w:r>
      <w:r>
        <w:rPr>
          <w:rStyle w:val="Strong"/>
        </w:rPr>
        <w:t>Afolabi and Afolabi (2024) expand this by linking weak practice indices to audit committee independence failures, noting that ineffective oversight prevents accurate loan classification, undermining disclosure and compliance.</w:t>
      </w:r>
    </w:p>
    <w:p>
      <w:pPr>
        <w:pStyle w:val="BodyText"/>
        <w:spacing w:lineRule="auto" w:line="480"/>
        <w:ind w:hanging="0" w:start="0" w:end="0"/>
        <w:rPr/>
      </w:pPr>
      <w:r>
        <w:rPr/>
        <w:t xml:space="preserve">Nigerian </w:t>
      </w:r>
      <w:r>
        <w:rPr>
          <w:rStyle w:val="Strong"/>
        </w:rPr>
        <w:t>deposit money banks’ practice indices</w:t>
      </w:r>
      <w:r>
        <w:rPr/>
        <w:t xml:space="preserve"> are further undermined by </w:t>
      </w:r>
      <w:r>
        <w:rPr>
          <w:rStyle w:val="Strong"/>
        </w:rPr>
        <w:t>unqualified management</w:t>
      </w:r>
      <w:r>
        <w:rPr/>
        <w:t xml:space="preserve"> and board inefficiencies, often rooted in </w:t>
      </w:r>
      <w:r>
        <w:rPr>
          <w:rStyle w:val="Strong"/>
        </w:rPr>
        <w:t>politically motivated appointments</w:t>
      </w:r>
      <w:r>
        <w:rPr/>
        <w:t xml:space="preserve"> (Nwoko et al., 2022). The absence of independent risk committees, which are mandated by global standards like Basel III, exacerbates this issue, as seen in banks like Bank PHB, where weak controls fueled systemic risks (Owolabi, 2013). Concentrated ownership structures, prevalent in Nigeria, allow managers to prioritize short-term gains over long-term stability, leading to poor loan portfolio quality (Adegboye, 2020). </w:t>
      </w:r>
      <w:r>
        <w:rPr>
          <w:rStyle w:val="Strong"/>
        </w:rPr>
        <w:t>Regulatory multiplicity</w:t>
      </w:r>
      <w:r>
        <w:rPr/>
        <w:t xml:space="preserve">, with conflicting requirements from CAMA 2020, NCCG 2018, and CBN Guidelines 2023, further complicates </w:t>
      </w:r>
      <w:r>
        <w:rPr>
          <w:rStyle w:val="Strong"/>
        </w:rPr>
        <w:t>practice indices</w:t>
      </w:r>
      <w:r>
        <w:rPr/>
        <w:t xml:space="preserve"> by enabling selective </w:t>
      </w:r>
      <w:r>
        <w:rPr>
          <w:rStyle w:val="Strong"/>
        </w:rPr>
        <w:t>compliance</w:t>
      </w:r>
      <w:r>
        <w:rPr/>
        <w:t xml:space="preserve">, which undermines </w:t>
      </w:r>
      <w:r>
        <w:rPr>
          <w:rStyle w:val="Strong"/>
        </w:rPr>
        <w:t>disclosure</w:t>
      </w:r>
      <w:r>
        <w:rPr/>
        <w:t xml:space="preserve"> and contributes to NPL-driven default risk (Abdulmalik &amp; Ahmad, 2020). </w:t>
      </w:r>
      <w:r>
        <w:rPr>
          <w:rStyle w:val="Strong"/>
        </w:rPr>
        <w:t>Ojo and Ojo (2024) emphasize that these deficiencies directly impact practice indices, as weak risk frameworks fail to integrate with audit committee functions, eroding disclosure.</w:t>
      </w:r>
    </w:p>
    <w:p>
      <w:pPr>
        <w:pStyle w:val="BodyText"/>
        <w:spacing w:lineRule="auto" w:line="480"/>
        <w:ind w:hanging="0" w:start="0" w:end="0"/>
        <w:rPr/>
      </w:pPr>
      <w:r>
        <w:rPr>
          <w:rStyle w:val="Strong"/>
        </w:rPr>
        <w:t>Table 2.8: Practice Index Failures in Nigerian Deposit Money Banks</w:t>
      </w:r>
    </w:p>
    <w:tbl>
      <w:tblPr>
        <w:tblW w:w="9972" w:type="dxa"/>
        <w:jc w:val="start"/>
        <w:tblInd w:w="0" w:type="dxa"/>
        <w:tblLayout w:type="fixed"/>
        <w:tblCellMar>
          <w:top w:w="28" w:type="dxa"/>
          <w:start w:w="28" w:type="dxa"/>
          <w:bottom w:w="28" w:type="dxa"/>
          <w:end w:w="28" w:type="dxa"/>
        </w:tblCellMar>
      </w:tblPr>
      <w:tblGrid>
        <w:gridCol w:w="1666"/>
        <w:gridCol w:w="1989"/>
        <w:gridCol w:w="2254"/>
        <w:gridCol w:w="2220"/>
        <w:gridCol w:w="1843"/>
      </w:tblGrid>
      <w:tr>
        <w:trPr>
          <w:tblHeader w:val="true"/>
        </w:trPr>
        <w:tc>
          <w:tcPr>
            <w:tcW w:w="1666" w:type="dxa"/>
            <w:tcBorders/>
            <w:vAlign w:val="center"/>
          </w:tcPr>
          <w:p>
            <w:pPr>
              <w:pStyle w:val="TableHeading"/>
              <w:rPr/>
            </w:pPr>
            <w:r>
              <w:rPr>
                <w:rStyle w:val="Strong"/>
                <w:b/>
                <w:bCs/>
              </w:rPr>
              <w:t>Issue</w:t>
            </w:r>
          </w:p>
        </w:tc>
        <w:tc>
          <w:tcPr>
            <w:tcW w:w="1989" w:type="dxa"/>
            <w:tcBorders/>
            <w:vAlign w:val="center"/>
          </w:tcPr>
          <w:p>
            <w:pPr>
              <w:pStyle w:val="TableHeading"/>
              <w:rPr/>
            </w:pPr>
            <w:r>
              <w:rPr>
                <w:rStyle w:val="Strong"/>
                <w:b/>
                <w:bCs/>
              </w:rPr>
              <w:t>Description</w:t>
            </w:r>
          </w:p>
        </w:tc>
        <w:tc>
          <w:tcPr>
            <w:tcW w:w="2254" w:type="dxa"/>
            <w:tcBorders/>
            <w:vAlign w:val="center"/>
          </w:tcPr>
          <w:p>
            <w:pPr>
              <w:pStyle w:val="TableHeading"/>
              <w:rPr/>
            </w:pPr>
            <w:r>
              <w:rPr>
                <w:rStyle w:val="Strong"/>
                <w:b/>
                <w:bCs/>
              </w:rPr>
              <w:t>Example</w:t>
            </w:r>
          </w:p>
        </w:tc>
        <w:tc>
          <w:tcPr>
            <w:tcW w:w="2220" w:type="dxa"/>
            <w:tcBorders/>
            <w:vAlign w:val="center"/>
          </w:tcPr>
          <w:p>
            <w:pPr>
              <w:pStyle w:val="TableHeading"/>
              <w:rPr/>
            </w:pPr>
            <w:r>
              <w:rPr>
                <w:rStyle w:val="Strong"/>
                <w:b/>
                <w:bCs/>
              </w:rPr>
              <w:t>Impact on CG Indices</w:t>
            </w:r>
          </w:p>
        </w:tc>
        <w:tc>
          <w:tcPr>
            <w:tcW w:w="1843" w:type="dxa"/>
            <w:tcBorders/>
            <w:vAlign w:val="center"/>
          </w:tcPr>
          <w:p>
            <w:pPr>
              <w:pStyle w:val="TableHeading"/>
              <w:ind w:hanging="0" w:start="0" w:end="0"/>
              <w:rPr/>
            </w:pPr>
            <w:r>
              <w:rPr>
                <w:rStyle w:val="Strong"/>
                <w:b/>
                <w:bCs/>
              </w:rPr>
              <w:t>Source</w:t>
            </w:r>
          </w:p>
        </w:tc>
      </w:tr>
      <w:tr>
        <w:trPr/>
        <w:tc>
          <w:tcPr>
            <w:tcW w:w="1666" w:type="dxa"/>
            <w:tcBorders/>
            <w:vAlign w:val="center"/>
          </w:tcPr>
          <w:p>
            <w:pPr>
              <w:pStyle w:val="TableContents"/>
              <w:ind w:hanging="0" w:start="0" w:end="0"/>
              <w:rPr/>
            </w:pPr>
            <w:r>
              <w:rPr>
                <w:rStyle w:val="Strong"/>
              </w:rPr>
              <w:t>Lax Lending Practices</w:t>
            </w:r>
          </w:p>
        </w:tc>
        <w:tc>
          <w:tcPr>
            <w:tcW w:w="1989" w:type="dxa"/>
            <w:tcBorders/>
            <w:vAlign w:val="center"/>
          </w:tcPr>
          <w:p>
            <w:pPr>
              <w:pStyle w:val="TableContents"/>
              <w:ind w:hanging="0" w:start="0" w:end="0"/>
              <w:rPr/>
            </w:pPr>
            <w:r>
              <w:rPr/>
              <w:t>Inadequate credit assessment leads to high-risk loans.</w:t>
            </w:r>
          </w:p>
        </w:tc>
        <w:tc>
          <w:tcPr>
            <w:tcW w:w="2254" w:type="dxa"/>
            <w:tcBorders/>
            <w:vAlign w:val="center"/>
          </w:tcPr>
          <w:p>
            <w:pPr>
              <w:pStyle w:val="TableContents"/>
              <w:ind w:hanging="0" w:start="0" w:end="0"/>
              <w:rPr/>
            </w:pPr>
            <w:r>
              <w:rPr/>
              <w:t>Intercontinental Bank’s collapse due to poor due diligence.</w:t>
            </w:r>
          </w:p>
        </w:tc>
        <w:tc>
          <w:tcPr>
            <w:tcW w:w="2220" w:type="dxa"/>
            <w:tcBorders/>
            <w:vAlign w:val="center"/>
          </w:tcPr>
          <w:p>
            <w:pPr>
              <w:pStyle w:val="TableContents"/>
              <w:ind w:hanging="0" w:start="0" w:end="0"/>
              <w:rPr/>
            </w:pPr>
            <w:r>
              <w:rPr/>
              <w:t xml:space="preserve">Undermines </w:t>
            </w:r>
            <w:r>
              <w:rPr>
                <w:rStyle w:val="Strong"/>
              </w:rPr>
              <w:t>practice indices</w:t>
            </w:r>
            <w:r>
              <w:rPr/>
              <w:t xml:space="preserve">, increases NPLs, affects </w:t>
            </w:r>
            <w:r>
              <w:rPr>
                <w:rStyle w:val="Strong"/>
              </w:rPr>
              <w:t>disclosure</w:t>
            </w:r>
            <w:r>
              <w:rPr/>
              <w:t>.</w:t>
            </w:r>
          </w:p>
        </w:tc>
        <w:tc>
          <w:tcPr>
            <w:tcW w:w="1843" w:type="dxa"/>
            <w:tcBorders/>
            <w:vAlign w:val="center"/>
          </w:tcPr>
          <w:p>
            <w:pPr>
              <w:pStyle w:val="TableContents"/>
              <w:ind w:hanging="0" w:start="0" w:end="0"/>
              <w:rPr/>
            </w:pPr>
            <w:r>
              <w:rPr/>
              <w:t>Adegboye (2020), Owolabi (2013)</w:t>
            </w:r>
          </w:p>
        </w:tc>
      </w:tr>
      <w:tr>
        <w:trPr/>
        <w:tc>
          <w:tcPr>
            <w:tcW w:w="1666" w:type="dxa"/>
            <w:tcBorders/>
            <w:vAlign w:val="center"/>
          </w:tcPr>
          <w:p>
            <w:pPr>
              <w:pStyle w:val="TableContents"/>
              <w:ind w:hanging="0" w:start="0" w:end="0"/>
              <w:rPr/>
            </w:pPr>
            <w:r>
              <w:rPr>
                <w:rStyle w:val="Strong"/>
              </w:rPr>
              <w:t>Absence of Risk Committees</w:t>
            </w:r>
          </w:p>
        </w:tc>
        <w:tc>
          <w:tcPr>
            <w:tcW w:w="1989" w:type="dxa"/>
            <w:tcBorders/>
            <w:vAlign w:val="center"/>
          </w:tcPr>
          <w:p>
            <w:pPr>
              <w:pStyle w:val="TableContents"/>
              <w:ind w:hanging="0" w:start="0" w:end="0"/>
              <w:rPr/>
            </w:pPr>
            <w:r>
              <w:rPr/>
              <w:t>Lack of independent risk committees, unlike global standards.</w:t>
            </w:r>
          </w:p>
        </w:tc>
        <w:tc>
          <w:tcPr>
            <w:tcW w:w="2254" w:type="dxa"/>
            <w:tcBorders/>
            <w:vAlign w:val="center"/>
          </w:tcPr>
          <w:p>
            <w:pPr>
              <w:pStyle w:val="TableContents"/>
              <w:ind w:hanging="0" w:start="0" w:end="0"/>
              <w:rPr/>
            </w:pPr>
            <w:r>
              <w:rPr/>
              <w:t>Bank PHB’s weak controls fueled systemic risks.</w:t>
            </w:r>
          </w:p>
        </w:tc>
        <w:tc>
          <w:tcPr>
            <w:tcW w:w="2220" w:type="dxa"/>
            <w:tcBorders/>
            <w:vAlign w:val="center"/>
          </w:tcPr>
          <w:p>
            <w:pPr>
              <w:pStyle w:val="TableContents"/>
              <w:ind w:hanging="0" w:start="0" w:end="0"/>
              <w:rPr/>
            </w:pPr>
            <w:r>
              <w:rPr/>
              <w:t xml:space="preserve">Weakens </w:t>
            </w:r>
            <w:r>
              <w:rPr>
                <w:rStyle w:val="Strong"/>
              </w:rPr>
              <w:t>compliance</w:t>
            </w:r>
            <w:r>
              <w:rPr/>
              <w:t xml:space="preserve"> and risk oversight, erodes </w:t>
            </w:r>
            <w:r>
              <w:rPr>
                <w:rStyle w:val="Strong"/>
              </w:rPr>
              <w:t>disclosure</w:t>
            </w:r>
            <w:r>
              <w:rPr/>
              <w:t>.</w:t>
            </w:r>
          </w:p>
        </w:tc>
        <w:tc>
          <w:tcPr>
            <w:tcW w:w="1843" w:type="dxa"/>
            <w:tcBorders/>
            <w:vAlign w:val="center"/>
          </w:tcPr>
          <w:p>
            <w:pPr>
              <w:pStyle w:val="TableContents"/>
              <w:ind w:hanging="0" w:start="0" w:end="0"/>
              <w:rPr/>
            </w:pPr>
            <w:r>
              <w:rPr/>
              <w:t>Nwoko et al. (2022), Owolabi (2013)</w:t>
            </w:r>
          </w:p>
        </w:tc>
      </w:tr>
      <w:tr>
        <w:trPr/>
        <w:tc>
          <w:tcPr>
            <w:tcW w:w="1666" w:type="dxa"/>
            <w:tcBorders/>
            <w:vAlign w:val="center"/>
          </w:tcPr>
          <w:p>
            <w:pPr>
              <w:pStyle w:val="TableContents"/>
              <w:ind w:hanging="0" w:start="0" w:end="0"/>
              <w:rPr/>
            </w:pPr>
            <w:r>
              <w:rPr>
                <w:rStyle w:val="Strong"/>
              </w:rPr>
              <w:t>Unqualified Management</w:t>
            </w:r>
          </w:p>
        </w:tc>
        <w:tc>
          <w:tcPr>
            <w:tcW w:w="1989" w:type="dxa"/>
            <w:tcBorders/>
            <w:vAlign w:val="center"/>
          </w:tcPr>
          <w:p>
            <w:pPr>
              <w:pStyle w:val="TableContents"/>
              <w:ind w:hanging="0" w:start="0" w:end="0"/>
              <w:rPr/>
            </w:pPr>
            <w:r>
              <w:rPr/>
              <w:t>Politically motivated appointments lack risk expertise.</w:t>
            </w:r>
          </w:p>
        </w:tc>
        <w:tc>
          <w:tcPr>
            <w:tcW w:w="2254" w:type="dxa"/>
            <w:tcBorders/>
            <w:vAlign w:val="center"/>
          </w:tcPr>
          <w:p>
            <w:pPr>
              <w:pStyle w:val="TableContents"/>
              <w:ind w:hanging="0" w:start="0" w:end="0"/>
              <w:rPr/>
            </w:pPr>
            <w:r>
              <w:rPr/>
              <w:t>Oceanic Bank’s insider loans (75% of NPLs) due to poor oversight.</w:t>
            </w:r>
          </w:p>
        </w:tc>
        <w:tc>
          <w:tcPr>
            <w:tcW w:w="2220" w:type="dxa"/>
            <w:tcBorders/>
            <w:vAlign w:val="center"/>
          </w:tcPr>
          <w:p>
            <w:pPr>
              <w:pStyle w:val="TableContents"/>
              <w:ind w:hanging="0" w:start="0" w:end="0"/>
              <w:rPr/>
            </w:pPr>
            <w:r>
              <w:rPr/>
              <w:t xml:space="preserve">Compromises </w:t>
            </w:r>
            <w:r>
              <w:rPr>
                <w:rStyle w:val="Strong"/>
              </w:rPr>
              <w:t>practice indices</w:t>
            </w:r>
            <w:r>
              <w:rPr/>
              <w:t xml:space="preserve"> and </w:t>
            </w:r>
            <w:r>
              <w:rPr>
                <w:rStyle w:val="Strong"/>
              </w:rPr>
              <w:t>audit committee independence</w:t>
            </w:r>
            <w:r>
              <w:rPr/>
              <w:t>.</w:t>
            </w:r>
          </w:p>
        </w:tc>
        <w:tc>
          <w:tcPr>
            <w:tcW w:w="1843" w:type="dxa"/>
            <w:tcBorders/>
            <w:vAlign w:val="center"/>
          </w:tcPr>
          <w:p>
            <w:pPr>
              <w:pStyle w:val="TableContents"/>
              <w:ind w:hanging="0" w:start="0" w:end="0"/>
              <w:rPr/>
            </w:pPr>
            <w:r>
              <w:rPr/>
              <w:t>Sanusi (2009), Ojo &amp; Ojo (2024)</w:t>
            </w:r>
          </w:p>
        </w:tc>
      </w:tr>
      <w:tr>
        <w:trPr/>
        <w:tc>
          <w:tcPr>
            <w:tcW w:w="1666" w:type="dxa"/>
            <w:tcBorders/>
            <w:vAlign w:val="center"/>
          </w:tcPr>
          <w:p>
            <w:pPr>
              <w:pStyle w:val="TableContents"/>
              <w:ind w:hanging="0" w:start="0" w:end="0"/>
              <w:rPr/>
            </w:pPr>
            <w:r>
              <w:rPr>
                <w:rStyle w:val="Strong"/>
              </w:rPr>
              <w:t>Regulatory Multiplicity</w:t>
            </w:r>
          </w:p>
        </w:tc>
        <w:tc>
          <w:tcPr>
            <w:tcW w:w="1989" w:type="dxa"/>
            <w:tcBorders/>
            <w:vAlign w:val="center"/>
          </w:tcPr>
          <w:p>
            <w:pPr>
              <w:pStyle w:val="TableContents"/>
              <w:ind w:hanging="0" w:start="0" w:end="0"/>
              <w:rPr/>
            </w:pPr>
            <w:r>
              <w:rPr/>
              <w:t>Conflicting codes enable selective compliance.</w:t>
            </w:r>
          </w:p>
        </w:tc>
        <w:tc>
          <w:tcPr>
            <w:tcW w:w="2254" w:type="dxa"/>
            <w:tcBorders/>
            <w:vAlign w:val="center"/>
          </w:tcPr>
          <w:p>
            <w:pPr>
              <w:pStyle w:val="TableContents"/>
              <w:ind w:hanging="0" w:start="0" w:end="0"/>
              <w:rPr/>
            </w:pPr>
            <w:r>
              <w:rPr/>
              <w:t>Banks exploit CAMA/NCCG gaps to evade risk controls.</w:t>
            </w:r>
          </w:p>
        </w:tc>
        <w:tc>
          <w:tcPr>
            <w:tcW w:w="2220" w:type="dxa"/>
            <w:tcBorders/>
            <w:vAlign w:val="center"/>
          </w:tcPr>
          <w:p>
            <w:pPr>
              <w:pStyle w:val="TableContents"/>
              <w:ind w:hanging="0" w:start="0" w:end="0"/>
              <w:rPr/>
            </w:pPr>
            <w:r>
              <w:rPr/>
              <w:t xml:space="preserve">Reduces </w:t>
            </w:r>
            <w:r>
              <w:rPr>
                <w:rStyle w:val="Strong"/>
              </w:rPr>
              <w:t>disclosure</w:t>
            </w:r>
            <w:r>
              <w:rPr/>
              <w:t xml:space="preserve">, undermines </w:t>
            </w:r>
            <w:r>
              <w:rPr>
                <w:rStyle w:val="Strong"/>
              </w:rPr>
              <w:t>practice</w:t>
            </w:r>
            <w:r>
              <w:rPr/>
              <w:t xml:space="preserve"> and </w:t>
            </w:r>
            <w:r>
              <w:rPr>
                <w:rStyle w:val="Strong"/>
              </w:rPr>
              <w:t>compliance</w:t>
            </w:r>
            <w:r>
              <w:rPr/>
              <w:t>.</w:t>
            </w:r>
          </w:p>
        </w:tc>
        <w:tc>
          <w:tcPr>
            <w:tcW w:w="1843" w:type="dxa"/>
            <w:tcBorders/>
            <w:vAlign w:val="center"/>
          </w:tcPr>
          <w:p>
            <w:pPr>
              <w:pStyle w:val="TableContents"/>
              <w:rPr/>
            </w:pPr>
            <w:r>
              <w:rPr/>
              <w:t>Abdulmalik &amp; Ahmad (2020), Afolabi &amp; Afolabi (2024)</w:t>
            </w:r>
          </w:p>
        </w:tc>
      </w:tr>
    </w:tbl>
    <w:p>
      <w:pPr>
        <w:pStyle w:val="BodyText"/>
        <w:spacing w:lineRule="auto" w:line="480"/>
        <w:ind w:hanging="0" w:start="0" w:end="0"/>
        <w:rPr/>
      </w:pPr>
      <w:r>
        <w:rPr>
          <w:rStyle w:val="Strong"/>
        </w:rPr>
        <w:t>Note</w:t>
      </w:r>
      <w:r>
        <w:rPr/>
        <w:t xml:space="preserve">: Adapted from Adegboye (2020), Nwoko et al. (2022), and Afolabi and Afolabi (2024). Impacts highlight ties to </w:t>
      </w:r>
      <w:r>
        <w:rPr>
          <w:rStyle w:val="Strong"/>
        </w:rPr>
        <w:t>disclosure, practice, compliance, and audit committee independence.</w:t>
      </w:r>
    </w:p>
    <w:p>
      <w:pPr>
        <w:pStyle w:val="BodyText"/>
        <w:spacing w:lineRule="auto" w:line="480"/>
        <w:ind w:hanging="0" w:start="0" w:end="0"/>
        <w:rPr/>
      </w:pPr>
      <w:r>
        <w:rPr>
          <w:rStyle w:val="Strong"/>
        </w:rPr>
        <w:t>2.7.2 Weak Whistleblowing Mechanisms</w:t>
      </w:r>
    </w:p>
    <w:p>
      <w:pPr>
        <w:pStyle w:val="BodyText"/>
        <w:spacing w:lineRule="auto" w:line="480"/>
        <w:ind w:hanging="0" w:start="0" w:end="0"/>
        <w:rPr/>
      </w:pPr>
      <w:r>
        <w:rPr/>
        <w:t xml:space="preserve">The absence of robust whistleblowing mechanisms exacerbates </w:t>
      </w:r>
      <w:r>
        <w:rPr>
          <w:rStyle w:val="Strong"/>
        </w:rPr>
        <w:t>practice index</w:t>
      </w:r>
      <w:r>
        <w:rPr/>
        <w:t xml:space="preserve"> failures by enabling fraud concealment, a critical factor in Nigeria’s banking crises. Olojede et al. (2020) highlight that Nigeria’s whistleblowing frameworks lack the anonymity and protection offered by international standards, discouraging reports of fraud and ethical violations. This governance gap stifled stakeholders’ ability to expose misconduct during the 2009 crisis, allowing </w:t>
      </w:r>
      <w:r>
        <w:rPr>
          <w:rStyle w:val="Strong"/>
        </w:rPr>
        <w:t>deposit money banks</w:t>
      </w:r>
      <w:r>
        <w:rPr/>
        <w:t xml:space="preserve"> like Oceanic to conceal financial distress through falsified reporting (Sanusi, 2009). For instance, Oceanic Bank’s leadership hid insider loans, which constituted 75% of its NPLs, due to weak oversight and ineffective whistleblowing channels (Olojede et al., 2020). The lack of legal protections for whistleblowers, unlike global benchmarks, creates a culture of fear, suppressing reports of financial impropriety and delaying corrective actions (Ojo &amp; Ojo, </w:t>
      </w:r>
      <w:r>
        <w:rPr>
          <w:rStyle w:val="Strong"/>
        </w:rPr>
        <w:t>2024</w:t>
      </w:r>
      <w:r>
        <w:rPr/>
        <w:t>). This directly contributes to systemic instability, as unaddressed fraud erodes stakeholder trust and triggers deposit withdrawals (Sanusi, 2009).</w:t>
      </w:r>
    </w:p>
    <w:p>
      <w:pPr>
        <w:pStyle w:val="BodyText"/>
        <w:spacing w:lineRule="auto" w:line="480"/>
        <w:ind w:hanging="0" w:start="0" w:end="0"/>
        <w:rPr/>
      </w:pPr>
      <w:r>
        <w:rPr>
          <w:rStyle w:val="Strong"/>
        </w:rPr>
        <w:t>2.7.3 Global Standards for Risk Management and Whistleblowing</w:t>
      </w:r>
    </w:p>
    <w:p>
      <w:pPr>
        <w:pStyle w:val="BodyText"/>
        <w:spacing w:lineRule="auto" w:line="480"/>
        <w:ind w:hanging="0" w:start="0" w:end="0"/>
        <w:rPr/>
      </w:pPr>
      <w:r>
        <w:rPr/>
        <w:t xml:space="preserve">Global standards, such as Basel III and EU whistleblowing frameworks, provide a benchmark for effective </w:t>
      </w:r>
      <w:r>
        <w:rPr>
          <w:rStyle w:val="Strong"/>
        </w:rPr>
        <w:t>practice indices</w:t>
      </w:r>
      <w:r>
        <w:rPr/>
        <w:t xml:space="preserve"> and fraud prevention, starkly contrasting with Nigeria’s deficiencies. Basel III, established by the Basel Committee on Banking Supervision (BCBS, 2010), emphasizes robust </w:t>
      </w:r>
      <w:r>
        <w:rPr>
          <w:rStyle w:val="Strong"/>
        </w:rPr>
        <w:t>practice indices</w:t>
      </w:r>
      <w:r>
        <w:rPr/>
        <w:t xml:space="preserve"> through stringent capital adequacy, liquidity requirements, and independent risk committees to mitigate credit risk and ensure financial stability. These standards mandate comprehensive risk assessment frameworks, including stress testing and credit portfolio monitoring, which have reduced NPLs in jurisdictions like the EU by enhancing oversight (BCBS, 2010). In contrast, Nigerian </w:t>
      </w:r>
      <w:r>
        <w:rPr>
          <w:rStyle w:val="Strong"/>
        </w:rPr>
        <w:t>deposit money banks’</w:t>
      </w:r>
      <w:r>
        <w:rPr/>
        <w:t xml:space="preserve"> failure to adopt such frameworks, as noted by Adegboye (2020), results in weak </w:t>
      </w:r>
      <w:r>
        <w:rPr>
          <w:rStyle w:val="Strong"/>
        </w:rPr>
        <w:t>practice indices</w:t>
      </w:r>
      <w:r>
        <w:rPr/>
        <w:t xml:space="preserve">, contributing to NPL spikes. For example, the 2009 crisis exposed Nigeria’s lack of Basel-aligned </w:t>
      </w:r>
      <w:r>
        <w:rPr>
          <w:rStyle w:val="Strong"/>
        </w:rPr>
        <w:t>practice indices</w:t>
      </w:r>
      <w:r>
        <w:rPr/>
        <w:t xml:space="preserve">, unlike EU banks that benefited from integrated risk governance (Sanusi, 2009). </w:t>
      </w:r>
      <w:r>
        <w:rPr>
          <w:rStyle w:val="Strong"/>
        </w:rPr>
        <w:t>To add depth, Ojo and Ojo (2024) compare global standards to Nigerian practices, highlighting deficiencies in disclosure and audit committee integration.</w:t>
      </w:r>
    </w:p>
    <w:p>
      <w:pPr>
        <w:pStyle w:val="BodyText"/>
        <w:spacing w:lineRule="auto" w:line="480"/>
        <w:ind w:hanging="0" w:start="0" w:end="0"/>
        <w:rPr/>
      </w:pPr>
      <w:r>
        <w:rPr/>
        <w:t xml:space="preserve">The EU’s whistleblowing framework (EU, 2019) sets a global standard by mandating protected, anonymous reporting channels to encourage </w:t>
      </w:r>
      <w:r>
        <w:rPr>
          <w:rStyle w:val="Strong"/>
        </w:rPr>
        <w:t>disclosure</w:t>
      </w:r>
      <w:r>
        <w:rPr/>
        <w:t xml:space="preserve"> of financial misconduct, enhancing </w:t>
      </w:r>
      <w:r>
        <w:rPr>
          <w:rStyle w:val="Strong"/>
        </w:rPr>
        <w:t>compliance</w:t>
      </w:r>
      <w:r>
        <w:rPr/>
        <w:t xml:space="preserve"> and </w:t>
      </w:r>
      <w:r>
        <w:rPr>
          <w:rStyle w:val="Strong"/>
        </w:rPr>
        <w:t>disclosure</w:t>
      </w:r>
      <w:r>
        <w:rPr/>
        <w:t xml:space="preserve">. This framework has been effective in detecting fraud early, reducing systemic risks in European banks (Olojede et al., 2020). In Nigeria, however, whistleblowing mechanisms are underdeveloped, with no legal protections for whistleblowers, leading to fear of retaliation and suppressed reporting (Olojede et al., 2020). This contrasts sharply with EU practices, where whistleblowing contributed to early intervention in financial scandals, underscoring Nigeria’s need for robust, legally backed systems to align with global standards (EU, 2019). </w:t>
      </w:r>
      <w:r>
        <w:rPr>
          <w:rStyle w:val="Strong"/>
        </w:rPr>
        <w:t>Afolabi and Afolabi (2024) emphasize how adopting EU-style frameworks can improve practice indices and audit committee independence, fostering a culture of disclosure.</w:t>
      </w:r>
    </w:p>
    <w:p>
      <w:pPr>
        <w:pStyle w:val="BodyText"/>
        <w:spacing w:lineRule="auto" w:line="480"/>
        <w:ind w:hanging="0" w:start="0" w:end="0"/>
        <w:rPr/>
      </w:pPr>
      <w:r>
        <w:rPr>
          <w:rStyle w:val="Strong"/>
        </w:rPr>
        <w:t>Table 2.9: Comparison of Nigerian and Global Practice and Whistleblowing Standards</w:t>
      </w:r>
    </w:p>
    <w:tbl>
      <w:tblPr>
        <w:tblW w:w="9972" w:type="dxa"/>
        <w:jc w:val="start"/>
        <w:tblInd w:w="0" w:type="dxa"/>
        <w:tblLayout w:type="fixed"/>
        <w:tblCellMar>
          <w:top w:w="28" w:type="dxa"/>
          <w:start w:w="28" w:type="dxa"/>
          <w:bottom w:w="28" w:type="dxa"/>
          <w:end w:w="28" w:type="dxa"/>
        </w:tblCellMar>
      </w:tblPr>
      <w:tblGrid>
        <w:gridCol w:w="1798"/>
        <w:gridCol w:w="1557"/>
        <w:gridCol w:w="1680"/>
        <w:gridCol w:w="1371"/>
        <w:gridCol w:w="1914"/>
        <w:gridCol w:w="1652"/>
      </w:tblGrid>
      <w:tr>
        <w:trPr>
          <w:tblHeader w:val="true"/>
        </w:trPr>
        <w:tc>
          <w:tcPr>
            <w:tcW w:w="1798" w:type="dxa"/>
            <w:tcBorders/>
            <w:vAlign w:val="center"/>
          </w:tcPr>
          <w:p>
            <w:pPr>
              <w:pStyle w:val="TableHeading"/>
              <w:rPr/>
            </w:pPr>
            <w:r>
              <w:rPr>
                <w:rStyle w:val="Strong"/>
                <w:b/>
                <w:bCs/>
              </w:rPr>
              <w:t>Aspect</w:t>
            </w:r>
          </w:p>
        </w:tc>
        <w:tc>
          <w:tcPr>
            <w:tcW w:w="1557" w:type="dxa"/>
            <w:tcBorders/>
            <w:vAlign w:val="center"/>
          </w:tcPr>
          <w:p>
            <w:pPr>
              <w:pStyle w:val="TableHeading"/>
              <w:rPr/>
            </w:pPr>
            <w:r>
              <w:rPr>
                <w:rStyle w:val="Strong"/>
                <w:b/>
                <w:bCs/>
              </w:rPr>
              <w:t>Nigeria’s Practice</w:t>
            </w:r>
          </w:p>
        </w:tc>
        <w:tc>
          <w:tcPr>
            <w:tcW w:w="1680" w:type="dxa"/>
            <w:tcBorders/>
            <w:vAlign w:val="center"/>
          </w:tcPr>
          <w:p>
            <w:pPr>
              <w:pStyle w:val="TableHeading"/>
              <w:rPr/>
            </w:pPr>
            <w:r>
              <w:rPr>
                <w:rStyle w:val="Strong"/>
                <w:b/>
                <w:bCs/>
              </w:rPr>
              <w:t>Global Standard (Basel III/EU)</w:t>
            </w:r>
          </w:p>
        </w:tc>
        <w:tc>
          <w:tcPr>
            <w:tcW w:w="1371" w:type="dxa"/>
            <w:tcBorders/>
            <w:vAlign w:val="center"/>
          </w:tcPr>
          <w:p>
            <w:pPr>
              <w:pStyle w:val="TableHeading"/>
              <w:rPr/>
            </w:pPr>
            <w:r>
              <w:rPr>
                <w:rStyle w:val="Strong"/>
                <w:b/>
                <w:bCs/>
              </w:rPr>
              <w:t>Gap</w:t>
            </w:r>
          </w:p>
        </w:tc>
        <w:tc>
          <w:tcPr>
            <w:tcW w:w="1914" w:type="dxa"/>
            <w:tcBorders/>
            <w:vAlign w:val="center"/>
          </w:tcPr>
          <w:p>
            <w:pPr>
              <w:pStyle w:val="TableHeading"/>
              <w:rPr/>
            </w:pPr>
            <w:r>
              <w:rPr>
                <w:rStyle w:val="Strong"/>
                <w:b/>
                <w:bCs/>
              </w:rPr>
              <w:t>Impact on CG Indices</w:t>
            </w:r>
          </w:p>
        </w:tc>
        <w:tc>
          <w:tcPr>
            <w:tcW w:w="1652" w:type="dxa"/>
            <w:tcBorders/>
            <w:vAlign w:val="center"/>
          </w:tcPr>
          <w:p>
            <w:pPr>
              <w:pStyle w:val="TableHeading"/>
              <w:ind w:hanging="0" w:start="0" w:end="0"/>
              <w:rPr/>
            </w:pPr>
            <w:r>
              <w:rPr>
                <w:rStyle w:val="Strong"/>
                <w:b/>
                <w:bCs/>
              </w:rPr>
              <w:t>Source</w:t>
            </w:r>
          </w:p>
        </w:tc>
      </w:tr>
      <w:tr>
        <w:trPr/>
        <w:tc>
          <w:tcPr>
            <w:tcW w:w="1798" w:type="dxa"/>
            <w:tcBorders/>
            <w:vAlign w:val="center"/>
          </w:tcPr>
          <w:p>
            <w:pPr>
              <w:pStyle w:val="TableContents"/>
              <w:ind w:hanging="0" w:start="0" w:end="0"/>
              <w:rPr/>
            </w:pPr>
            <w:r>
              <w:rPr>
                <w:rStyle w:val="Strong"/>
              </w:rPr>
              <w:t>Risk Committees</w:t>
            </w:r>
          </w:p>
        </w:tc>
        <w:tc>
          <w:tcPr>
            <w:tcW w:w="1557" w:type="dxa"/>
            <w:tcBorders/>
            <w:vAlign w:val="center"/>
          </w:tcPr>
          <w:p>
            <w:pPr>
              <w:pStyle w:val="TableContents"/>
              <w:ind w:hanging="0" w:start="0" w:end="0"/>
              <w:rPr/>
            </w:pPr>
            <w:r>
              <w:rPr/>
              <w:t>Absent in most banks, weak oversight.</w:t>
            </w:r>
          </w:p>
        </w:tc>
        <w:tc>
          <w:tcPr>
            <w:tcW w:w="1680" w:type="dxa"/>
            <w:tcBorders/>
            <w:vAlign w:val="center"/>
          </w:tcPr>
          <w:p>
            <w:pPr>
              <w:pStyle w:val="TableContents"/>
              <w:ind w:hanging="0" w:start="0" w:end="0"/>
              <w:rPr/>
            </w:pPr>
            <w:r>
              <w:rPr/>
              <w:t>Basel III mandates independent risk committees.</w:t>
            </w:r>
          </w:p>
        </w:tc>
        <w:tc>
          <w:tcPr>
            <w:tcW w:w="1371" w:type="dxa"/>
            <w:tcBorders/>
            <w:vAlign w:val="center"/>
          </w:tcPr>
          <w:p>
            <w:pPr>
              <w:pStyle w:val="TableContents"/>
              <w:ind w:hanging="0" w:start="0" w:end="0"/>
              <w:rPr/>
            </w:pPr>
            <w:r>
              <w:rPr/>
              <w:t>Lack of structured risk oversight.</w:t>
            </w:r>
          </w:p>
        </w:tc>
        <w:tc>
          <w:tcPr>
            <w:tcW w:w="1914" w:type="dxa"/>
            <w:tcBorders/>
            <w:vAlign w:val="center"/>
          </w:tcPr>
          <w:p>
            <w:pPr>
              <w:pStyle w:val="TableContents"/>
              <w:ind w:hanging="0" w:start="0" w:end="0"/>
              <w:rPr/>
            </w:pPr>
            <w:r>
              <w:rPr/>
              <w:t xml:space="preserve">Weakens </w:t>
            </w:r>
            <w:r>
              <w:rPr>
                <w:rStyle w:val="Strong"/>
              </w:rPr>
              <w:t>practice indices</w:t>
            </w:r>
            <w:r>
              <w:rPr/>
              <w:t xml:space="preserve">, undermines </w:t>
            </w:r>
            <w:r>
              <w:rPr>
                <w:rStyle w:val="Strong"/>
              </w:rPr>
              <w:t>disclosure</w:t>
            </w:r>
            <w:r>
              <w:rPr/>
              <w:t>.</w:t>
            </w:r>
          </w:p>
        </w:tc>
        <w:tc>
          <w:tcPr>
            <w:tcW w:w="1652" w:type="dxa"/>
            <w:tcBorders/>
            <w:vAlign w:val="center"/>
          </w:tcPr>
          <w:p>
            <w:pPr>
              <w:pStyle w:val="TableContents"/>
              <w:ind w:hanging="0" w:start="0" w:end="0"/>
              <w:rPr/>
            </w:pPr>
            <w:r>
              <w:rPr/>
              <w:t>BCBS (2010), Adegboye (2020)</w:t>
            </w:r>
          </w:p>
        </w:tc>
      </w:tr>
      <w:tr>
        <w:trPr/>
        <w:tc>
          <w:tcPr>
            <w:tcW w:w="1798" w:type="dxa"/>
            <w:tcBorders/>
            <w:vAlign w:val="center"/>
          </w:tcPr>
          <w:p>
            <w:pPr>
              <w:pStyle w:val="TableContents"/>
              <w:ind w:hanging="0" w:start="0" w:end="0"/>
              <w:rPr/>
            </w:pPr>
            <w:r>
              <w:rPr>
                <w:rStyle w:val="Strong"/>
              </w:rPr>
              <w:t>Credit Assessment</w:t>
            </w:r>
          </w:p>
        </w:tc>
        <w:tc>
          <w:tcPr>
            <w:tcW w:w="1557" w:type="dxa"/>
            <w:tcBorders/>
            <w:vAlign w:val="center"/>
          </w:tcPr>
          <w:p>
            <w:pPr>
              <w:pStyle w:val="TableContents"/>
              <w:ind w:hanging="0" w:start="0" w:end="0"/>
              <w:rPr/>
            </w:pPr>
            <w:r>
              <w:rPr/>
              <w:t>Lax due diligence, insider lending.</w:t>
            </w:r>
          </w:p>
        </w:tc>
        <w:tc>
          <w:tcPr>
            <w:tcW w:w="1680" w:type="dxa"/>
            <w:tcBorders/>
            <w:vAlign w:val="center"/>
          </w:tcPr>
          <w:p>
            <w:pPr>
              <w:pStyle w:val="TableContents"/>
              <w:ind w:hanging="0" w:start="0" w:end="0"/>
              <w:rPr/>
            </w:pPr>
            <w:r>
              <w:rPr/>
              <w:t>Basel III requires stress testing, portfolio monitoring.</w:t>
            </w:r>
          </w:p>
        </w:tc>
        <w:tc>
          <w:tcPr>
            <w:tcW w:w="1371" w:type="dxa"/>
            <w:tcBorders/>
            <w:vAlign w:val="center"/>
          </w:tcPr>
          <w:p>
            <w:pPr>
              <w:pStyle w:val="TableContents"/>
              <w:ind w:hanging="0" w:start="0" w:end="0"/>
              <w:rPr/>
            </w:pPr>
            <w:r>
              <w:rPr/>
              <w:t>Poor loan quality control.</w:t>
            </w:r>
          </w:p>
        </w:tc>
        <w:tc>
          <w:tcPr>
            <w:tcW w:w="1914" w:type="dxa"/>
            <w:tcBorders/>
            <w:vAlign w:val="center"/>
          </w:tcPr>
          <w:p>
            <w:pPr>
              <w:pStyle w:val="TableContents"/>
              <w:ind w:hanging="0" w:start="0" w:end="0"/>
              <w:rPr/>
            </w:pPr>
            <w:r>
              <w:rPr/>
              <w:t xml:space="preserve">Increases NPLs, erodes </w:t>
            </w:r>
            <w:r>
              <w:rPr>
                <w:rStyle w:val="Strong"/>
              </w:rPr>
              <w:t>disclosure</w:t>
            </w:r>
            <w:r>
              <w:rPr/>
              <w:t>.</w:t>
            </w:r>
          </w:p>
        </w:tc>
        <w:tc>
          <w:tcPr>
            <w:tcW w:w="1652" w:type="dxa"/>
            <w:tcBorders/>
            <w:vAlign w:val="center"/>
          </w:tcPr>
          <w:p>
            <w:pPr>
              <w:pStyle w:val="TableContents"/>
              <w:ind w:hanging="0" w:start="0" w:end="0"/>
              <w:rPr/>
            </w:pPr>
            <w:r>
              <w:rPr/>
              <w:t>Sanusi (2009), Ojo &amp; Ojo (2024)</w:t>
            </w:r>
          </w:p>
        </w:tc>
      </w:tr>
      <w:tr>
        <w:trPr/>
        <w:tc>
          <w:tcPr>
            <w:tcW w:w="1798" w:type="dxa"/>
            <w:tcBorders/>
            <w:vAlign w:val="center"/>
          </w:tcPr>
          <w:p>
            <w:pPr>
              <w:pStyle w:val="TableContents"/>
              <w:ind w:hanging="0" w:start="0" w:end="0"/>
              <w:rPr/>
            </w:pPr>
            <w:r>
              <w:rPr>
                <w:rStyle w:val="Strong"/>
              </w:rPr>
              <w:t>Whistleblowing</w:t>
            </w:r>
          </w:p>
        </w:tc>
        <w:tc>
          <w:tcPr>
            <w:tcW w:w="1557" w:type="dxa"/>
            <w:tcBorders/>
            <w:vAlign w:val="center"/>
          </w:tcPr>
          <w:p>
            <w:pPr>
              <w:pStyle w:val="TableContents"/>
              <w:ind w:hanging="0" w:start="0" w:end="0"/>
              <w:rPr/>
            </w:pPr>
            <w:r>
              <w:rPr/>
              <w:t>No legal protections, fear of retaliation.</w:t>
            </w:r>
          </w:p>
        </w:tc>
        <w:tc>
          <w:tcPr>
            <w:tcW w:w="1680" w:type="dxa"/>
            <w:tcBorders/>
            <w:vAlign w:val="center"/>
          </w:tcPr>
          <w:p>
            <w:pPr>
              <w:pStyle w:val="TableContents"/>
              <w:ind w:hanging="0" w:start="0" w:end="0"/>
              <w:rPr/>
            </w:pPr>
            <w:r>
              <w:rPr/>
              <w:t>EU mandates anonymous, protected channels.</w:t>
            </w:r>
          </w:p>
        </w:tc>
        <w:tc>
          <w:tcPr>
            <w:tcW w:w="1371" w:type="dxa"/>
            <w:tcBorders/>
            <w:vAlign w:val="center"/>
          </w:tcPr>
          <w:p>
            <w:pPr>
              <w:pStyle w:val="TableContents"/>
              <w:ind w:hanging="0" w:start="0" w:end="0"/>
              <w:rPr/>
            </w:pPr>
            <w:r>
              <w:rPr/>
              <w:t>Suppressed fraud reporting.</w:t>
            </w:r>
          </w:p>
        </w:tc>
        <w:tc>
          <w:tcPr>
            <w:tcW w:w="1914" w:type="dxa"/>
            <w:tcBorders/>
            <w:vAlign w:val="center"/>
          </w:tcPr>
          <w:p>
            <w:pPr>
              <w:pStyle w:val="TableContents"/>
              <w:ind w:hanging="0" w:start="0" w:end="0"/>
              <w:rPr/>
            </w:pPr>
            <w:r>
              <w:rPr/>
              <w:t xml:space="preserve">Reduces </w:t>
            </w:r>
            <w:r>
              <w:rPr>
                <w:rStyle w:val="Strong"/>
              </w:rPr>
              <w:t>compliance</w:t>
            </w:r>
            <w:r>
              <w:rPr/>
              <w:t xml:space="preserve">, compromises </w:t>
            </w:r>
            <w:r>
              <w:rPr>
                <w:rStyle w:val="Strong"/>
              </w:rPr>
              <w:t>disclosure</w:t>
            </w:r>
            <w:r>
              <w:rPr/>
              <w:t>.</w:t>
            </w:r>
          </w:p>
        </w:tc>
        <w:tc>
          <w:tcPr>
            <w:tcW w:w="1652" w:type="dxa"/>
            <w:tcBorders/>
            <w:vAlign w:val="center"/>
          </w:tcPr>
          <w:p>
            <w:pPr>
              <w:pStyle w:val="TableContents"/>
              <w:ind w:hanging="0" w:start="0" w:end="0"/>
              <w:rPr/>
            </w:pPr>
            <w:r>
              <w:rPr/>
              <w:t>EU (2019), Olojede et al. (2020)</w:t>
            </w:r>
          </w:p>
        </w:tc>
      </w:tr>
      <w:tr>
        <w:trPr/>
        <w:tc>
          <w:tcPr>
            <w:tcW w:w="1798" w:type="dxa"/>
            <w:tcBorders/>
            <w:vAlign w:val="center"/>
          </w:tcPr>
          <w:p>
            <w:pPr>
              <w:pStyle w:val="TableContents"/>
              <w:ind w:hanging="0" w:start="0" w:end="0"/>
              <w:rPr/>
            </w:pPr>
            <w:r>
              <w:rPr>
                <w:rStyle w:val="Strong"/>
              </w:rPr>
              <w:t>Regulatory Enforcement</w:t>
            </w:r>
          </w:p>
        </w:tc>
        <w:tc>
          <w:tcPr>
            <w:tcW w:w="1557" w:type="dxa"/>
            <w:tcBorders/>
            <w:vAlign w:val="center"/>
          </w:tcPr>
          <w:p>
            <w:pPr>
              <w:pStyle w:val="TableContents"/>
              <w:ind w:hanging="0" w:start="0" w:end="0"/>
              <w:rPr/>
            </w:pPr>
            <w:r>
              <w:rPr/>
              <w:t>Weak due to multiplicity, resource constraints.</w:t>
            </w:r>
          </w:p>
        </w:tc>
        <w:tc>
          <w:tcPr>
            <w:tcW w:w="1680" w:type="dxa"/>
            <w:tcBorders/>
            <w:vAlign w:val="center"/>
          </w:tcPr>
          <w:p>
            <w:pPr>
              <w:pStyle w:val="TableContents"/>
              <w:ind w:hanging="0" w:start="0" w:end="0"/>
              <w:rPr/>
            </w:pPr>
            <w:r>
              <w:rPr/>
              <w:t>Basel III/EU emphasize strong enforcement.</w:t>
            </w:r>
          </w:p>
        </w:tc>
        <w:tc>
          <w:tcPr>
            <w:tcW w:w="1371" w:type="dxa"/>
            <w:tcBorders/>
            <w:vAlign w:val="center"/>
          </w:tcPr>
          <w:p>
            <w:pPr>
              <w:pStyle w:val="TableContents"/>
              <w:ind w:hanging="0" w:start="0" w:end="0"/>
              <w:rPr/>
            </w:pPr>
            <w:r>
              <w:rPr/>
              <w:t>Ineffective sanctions.</w:t>
            </w:r>
          </w:p>
        </w:tc>
        <w:tc>
          <w:tcPr>
            <w:tcW w:w="1914" w:type="dxa"/>
            <w:tcBorders/>
            <w:vAlign w:val="center"/>
          </w:tcPr>
          <w:p>
            <w:pPr>
              <w:pStyle w:val="TableContents"/>
              <w:ind w:hanging="0" w:start="0" w:end="0"/>
              <w:rPr/>
            </w:pPr>
            <w:r>
              <w:rPr/>
              <w:t xml:space="preserve">Undermines </w:t>
            </w:r>
            <w:r>
              <w:rPr>
                <w:rStyle w:val="Strong"/>
              </w:rPr>
              <w:t>practice</w:t>
            </w:r>
            <w:r>
              <w:rPr/>
              <w:t xml:space="preserve"> and </w:t>
            </w:r>
            <w:r>
              <w:rPr>
                <w:rStyle w:val="Strong"/>
              </w:rPr>
              <w:t>audit committee independence</w:t>
            </w:r>
            <w:r>
              <w:rPr/>
              <w:t>.</w:t>
            </w:r>
          </w:p>
        </w:tc>
        <w:tc>
          <w:tcPr>
            <w:tcW w:w="1652" w:type="dxa"/>
            <w:tcBorders/>
            <w:vAlign w:val="center"/>
          </w:tcPr>
          <w:p>
            <w:pPr>
              <w:pStyle w:val="TableContents"/>
              <w:rPr/>
            </w:pPr>
            <w:r>
              <w:rPr/>
              <w:t>Abdulmalik &amp; Ahmad (2020), Afolabi &amp; Afolabi (2024)</w:t>
            </w:r>
          </w:p>
        </w:tc>
      </w:tr>
    </w:tbl>
    <w:p>
      <w:pPr>
        <w:pStyle w:val="BodyText"/>
        <w:spacing w:lineRule="auto" w:line="480"/>
        <w:ind w:hanging="0" w:start="0" w:end="0"/>
        <w:rPr/>
      </w:pPr>
      <w:r>
        <w:rPr>
          <w:rStyle w:val="Strong"/>
        </w:rPr>
        <w:t>Note</w:t>
      </w:r>
      <w:r>
        <w:rPr/>
        <w:t xml:space="preserve">: Adapted from BCBS (2010), EU (2019), and Afolabi and Afolabi (2024). Gaps highlight deficiencies in </w:t>
      </w:r>
      <w:r>
        <w:rPr>
          <w:rStyle w:val="Strong"/>
        </w:rPr>
        <w:t>disclosure, practice, compliance, and audit committee independence.</w:t>
      </w:r>
    </w:p>
    <w:p>
      <w:pPr>
        <w:pStyle w:val="BodyText"/>
        <w:spacing w:lineRule="auto" w:line="480"/>
        <w:ind w:hanging="0" w:start="0" w:end="0"/>
        <w:rPr/>
      </w:pPr>
      <w:r>
        <w:rPr>
          <w:rStyle w:val="Strong"/>
        </w:rPr>
        <w:t>2.7.4 Impact on Default Risk and Systemic Instability</w:t>
      </w:r>
    </w:p>
    <w:p>
      <w:pPr>
        <w:pStyle w:val="BodyText"/>
        <w:spacing w:lineRule="auto" w:line="480"/>
        <w:ind w:hanging="0" w:start="0" w:end="0"/>
        <w:rPr/>
      </w:pPr>
      <w:r>
        <w:rPr>
          <w:rStyle w:val="Strong"/>
        </w:rPr>
        <w:t>Practice index</w:t>
      </w:r>
      <w:r>
        <w:rPr/>
        <w:t xml:space="preserve"> failures and weak whistleblowing mechanisms directly contribute to default risk and systemic instability in Nigeria’s </w:t>
      </w:r>
      <w:r>
        <w:rPr>
          <w:rStyle w:val="Strong"/>
        </w:rPr>
        <w:t>deposit money banking</w:t>
      </w:r>
      <w:r>
        <w:rPr/>
        <w:t xml:space="preserve"> sector, as vividly illustrated by the 2009 crisis. Sanusi (2009) notes that weak </w:t>
      </w:r>
      <w:r>
        <w:rPr>
          <w:rStyle w:val="Strong"/>
        </w:rPr>
        <w:t>practice indices</w:t>
      </w:r>
      <w:r>
        <w:rPr/>
        <w:t xml:space="preserve">, coupled with fraud concealment, allowed banks like Oceanic, Afribank, and Union Bank to accumulate NPLs reaching 37%, necessitating a $3.9 billion CBN intervention. The absence of effective risk controls enabled insider lending and unauthorized credits, as seen in Oceanic Bank, where 75% of NPLs were tied to family-controlled entities (Sanusi, 2009). Weak whistleblowing mechanisms exacerbated this by preventing timely exposure of these abuses, delaying corrective actions and eroding stakeholder trust, which triggered mass deposit withdrawals (Olojede et al., 2020). Adegboye (2020) argues that these governance failures, rooted in inadequate risk assessment and fraud concealment, create a vicious cycle of financial distress, undermining banks’ capital and liquidity, as seen in the collapse of Intercontinental Bank (Owolabi, 2013). The systemic instability caused by these failures extends beyond individual banks, threatening Nigeria’s economy, where banks are critical for growth (King &amp; Levine, 1993). The 2009 crisis highlighted how weak </w:t>
      </w:r>
      <w:r>
        <w:rPr>
          <w:rStyle w:val="Strong"/>
        </w:rPr>
        <w:t>practice indices</w:t>
      </w:r>
      <w:r>
        <w:rPr/>
        <w:t xml:space="preserve"> and fraud concealment shifted risks to taxpayers, with costly bailouts underscoring the social burden (Sanusi, 2009). </w:t>
      </w:r>
      <w:r>
        <w:rPr>
          <w:rStyle w:val="Strong"/>
        </w:rPr>
        <w:t>Recent developments, such as the CBN’s 2024 recapitalization program requiring N500 billion for international banks, aim to bolster capital but do not directly address practice index gaps (CBN, 2024).</w:t>
      </w:r>
    </w:p>
    <w:p>
      <w:pPr>
        <w:pStyle w:val="BodyText"/>
        <w:spacing w:lineRule="auto" w:line="480"/>
        <w:ind w:hanging="0" w:start="0" w:end="0"/>
        <w:rPr/>
      </w:pPr>
      <w:r>
        <w:rPr>
          <w:rStyle w:val="Strong"/>
        </w:rPr>
        <w:t>2.7.5 Proposed Reforms to Address Risk Management and Whistleblowing</w:t>
      </w:r>
    </w:p>
    <w:p>
      <w:pPr>
        <w:pStyle w:val="BodyText"/>
        <w:spacing w:lineRule="auto" w:line="480"/>
        <w:ind w:hanging="0" w:start="0" w:end="0"/>
        <w:rPr/>
      </w:pPr>
      <w:r>
        <w:rPr/>
        <w:t xml:space="preserve">Adopting global standards like Basel III’s </w:t>
      </w:r>
      <w:r>
        <w:rPr>
          <w:rStyle w:val="Strong"/>
        </w:rPr>
        <w:t>practice indices</w:t>
      </w:r>
      <w:r>
        <w:rPr/>
        <w:t xml:space="preserve"> and EU’s whistleblowing protections could mitigate these risks by enhancing oversight and </w:t>
      </w:r>
      <w:r>
        <w:rPr>
          <w:rStyle w:val="Strong"/>
        </w:rPr>
        <w:t>disclosure</w:t>
      </w:r>
      <w:r>
        <w:rPr/>
        <w:t xml:space="preserve"> (BCBS, 2010; EU, 2019). These reforms align with research objective OB1 and hypothesis H1, which examine how robust </w:t>
      </w:r>
      <w:r>
        <w:rPr>
          <w:rStyle w:val="Strong"/>
        </w:rPr>
        <w:t>practice indices</w:t>
      </w:r>
      <w:r>
        <w:rPr/>
        <w:t xml:space="preserve">, including risk management, reduce NPLs, emphasizing the need for context-specific reforms to address Nigeria’s deficiencies and enhance banking stability. </w:t>
      </w:r>
      <w:r>
        <w:rPr>
          <w:rStyle w:val="Strong"/>
        </w:rPr>
        <w:t>Ojo and Ojo (2024) link these failures to audit committee independence and practice indices, advocating for integrated reforms to strengthen disclosure and compliance.</w:t>
      </w:r>
    </w:p>
    <w:p>
      <w:pPr>
        <w:pStyle w:val="BodyText"/>
        <w:spacing w:lineRule="auto" w:line="480"/>
        <w:ind w:hanging="0" w:start="0" w:end="0"/>
        <w:rPr/>
      </w:pPr>
      <w:r>
        <w:rPr>
          <w:rStyle w:val="Strong"/>
        </w:rPr>
        <w:t>Table 2.10: Proposed Reforms to Strengthen Practice Indices and Whistleblowing</w:t>
      </w:r>
    </w:p>
    <w:tbl>
      <w:tblPr>
        <w:tblW w:w="9972" w:type="dxa"/>
        <w:jc w:val="start"/>
        <w:tblInd w:w="0" w:type="dxa"/>
        <w:tblLayout w:type="fixed"/>
        <w:tblCellMar>
          <w:top w:w="28" w:type="dxa"/>
          <w:start w:w="28" w:type="dxa"/>
          <w:bottom w:w="28" w:type="dxa"/>
          <w:end w:w="28" w:type="dxa"/>
        </w:tblCellMar>
      </w:tblPr>
      <w:tblGrid>
        <w:gridCol w:w="2017"/>
        <w:gridCol w:w="2084"/>
        <w:gridCol w:w="2291"/>
        <w:gridCol w:w="2229"/>
        <w:gridCol w:w="1351"/>
      </w:tblGrid>
      <w:tr>
        <w:trPr>
          <w:tblHeader w:val="true"/>
        </w:trPr>
        <w:tc>
          <w:tcPr>
            <w:tcW w:w="2017" w:type="dxa"/>
            <w:tcBorders/>
            <w:vAlign w:val="center"/>
          </w:tcPr>
          <w:p>
            <w:pPr>
              <w:pStyle w:val="TableHeading"/>
              <w:rPr/>
            </w:pPr>
            <w:r>
              <w:rPr>
                <w:rStyle w:val="Strong"/>
                <w:b/>
                <w:bCs/>
              </w:rPr>
              <w:t>Reform</w:t>
            </w:r>
          </w:p>
        </w:tc>
        <w:tc>
          <w:tcPr>
            <w:tcW w:w="2084" w:type="dxa"/>
            <w:tcBorders/>
            <w:vAlign w:val="center"/>
          </w:tcPr>
          <w:p>
            <w:pPr>
              <w:pStyle w:val="TableHeading"/>
              <w:rPr/>
            </w:pPr>
            <w:r>
              <w:rPr>
                <w:rStyle w:val="Strong"/>
                <w:b/>
                <w:bCs/>
              </w:rPr>
              <w:t>Description</w:t>
            </w:r>
          </w:p>
        </w:tc>
        <w:tc>
          <w:tcPr>
            <w:tcW w:w="2291" w:type="dxa"/>
            <w:tcBorders/>
            <w:vAlign w:val="center"/>
          </w:tcPr>
          <w:p>
            <w:pPr>
              <w:pStyle w:val="TableHeading"/>
              <w:rPr/>
            </w:pPr>
            <w:r>
              <w:rPr>
                <w:rStyle w:val="Strong"/>
                <w:b/>
                <w:bCs/>
              </w:rPr>
              <w:t>Expected Impact</w:t>
            </w:r>
          </w:p>
        </w:tc>
        <w:tc>
          <w:tcPr>
            <w:tcW w:w="2229" w:type="dxa"/>
            <w:tcBorders/>
            <w:vAlign w:val="center"/>
          </w:tcPr>
          <w:p>
            <w:pPr>
              <w:pStyle w:val="TableHeading"/>
              <w:rPr/>
            </w:pPr>
            <w:r>
              <w:rPr>
                <w:rStyle w:val="Strong"/>
                <w:b/>
                <w:bCs/>
              </w:rPr>
              <w:t>Global Benchmark</w:t>
            </w:r>
          </w:p>
        </w:tc>
        <w:tc>
          <w:tcPr>
            <w:tcW w:w="1351" w:type="dxa"/>
            <w:tcBorders/>
            <w:vAlign w:val="center"/>
          </w:tcPr>
          <w:p>
            <w:pPr>
              <w:pStyle w:val="TableHeading"/>
              <w:ind w:hanging="0" w:start="0" w:end="0"/>
              <w:rPr/>
            </w:pPr>
            <w:r>
              <w:rPr>
                <w:rStyle w:val="Strong"/>
                <w:b/>
                <w:bCs/>
              </w:rPr>
              <w:t>Source</w:t>
            </w:r>
          </w:p>
        </w:tc>
      </w:tr>
      <w:tr>
        <w:trPr/>
        <w:tc>
          <w:tcPr>
            <w:tcW w:w="2017" w:type="dxa"/>
            <w:tcBorders/>
            <w:vAlign w:val="center"/>
          </w:tcPr>
          <w:p>
            <w:pPr>
              <w:pStyle w:val="TableContents"/>
              <w:ind w:hanging="0" w:start="0" w:end="0"/>
              <w:rPr/>
            </w:pPr>
            <w:r>
              <w:rPr>
                <w:rStyle w:val="Strong"/>
              </w:rPr>
              <w:t>Independent Risk Committees</w:t>
            </w:r>
          </w:p>
        </w:tc>
        <w:tc>
          <w:tcPr>
            <w:tcW w:w="2084" w:type="dxa"/>
            <w:tcBorders/>
            <w:vAlign w:val="center"/>
          </w:tcPr>
          <w:p>
            <w:pPr>
              <w:pStyle w:val="TableContents"/>
              <w:ind w:hanging="0" w:start="0" w:end="0"/>
              <w:rPr/>
            </w:pPr>
            <w:r>
              <w:rPr/>
              <w:t>Mandate committees for credit risk oversight.</w:t>
            </w:r>
          </w:p>
        </w:tc>
        <w:tc>
          <w:tcPr>
            <w:tcW w:w="2291" w:type="dxa"/>
            <w:tcBorders/>
            <w:vAlign w:val="center"/>
          </w:tcPr>
          <w:p>
            <w:pPr>
              <w:pStyle w:val="TableContents"/>
              <w:ind w:hanging="0" w:start="0" w:end="0"/>
              <w:rPr/>
            </w:pPr>
            <w:r>
              <w:rPr/>
              <w:t xml:space="preserve">Enhances </w:t>
            </w:r>
            <w:r>
              <w:rPr>
                <w:rStyle w:val="Strong"/>
              </w:rPr>
              <w:t>practice indices</w:t>
            </w:r>
            <w:r>
              <w:rPr/>
              <w:t>, reduces NPLs.</w:t>
            </w:r>
          </w:p>
        </w:tc>
        <w:tc>
          <w:tcPr>
            <w:tcW w:w="2229" w:type="dxa"/>
            <w:tcBorders/>
            <w:vAlign w:val="center"/>
          </w:tcPr>
          <w:p>
            <w:pPr>
              <w:pStyle w:val="TableContents"/>
              <w:ind w:hanging="0" w:start="0" w:end="0"/>
              <w:rPr/>
            </w:pPr>
            <w:r>
              <w:rPr/>
              <w:t>Basel III: Risk committee mandates (BCBS, 2010).</w:t>
            </w:r>
          </w:p>
        </w:tc>
        <w:tc>
          <w:tcPr>
            <w:tcW w:w="1351" w:type="dxa"/>
            <w:tcBorders/>
            <w:vAlign w:val="center"/>
          </w:tcPr>
          <w:p>
            <w:pPr>
              <w:pStyle w:val="TableContents"/>
              <w:ind w:hanging="0" w:start="0" w:end="0"/>
              <w:rPr/>
            </w:pPr>
            <w:r>
              <w:rPr/>
              <w:t>Adegboye (2020)</w:t>
            </w:r>
          </w:p>
        </w:tc>
      </w:tr>
      <w:tr>
        <w:trPr/>
        <w:tc>
          <w:tcPr>
            <w:tcW w:w="2017" w:type="dxa"/>
            <w:tcBorders/>
            <w:vAlign w:val="center"/>
          </w:tcPr>
          <w:p>
            <w:pPr>
              <w:pStyle w:val="TableContents"/>
              <w:ind w:hanging="0" w:start="0" w:end="0"/>
              <w:rPr/>
            </w:pPr>
            <w:r>
              <w:rPr>
                <w:rStyle w:val="Strong"/>
              </w:rPr>
              <w:t>Robust Credit Assessment</w:t>
            </w:r>
          </w:p>
        </w:tc>
        <w:tc>
          <w:tcPr>
            <w:tcW w:w="2084" w:type="dxa"/>
            <w:tcBorders/>
            <w:vAlign w:val="center"/>
          </w:tcPr>
          <w:p>
            <w:pPr>
              <w:pStyle w:val="TableContents"/>
              <w:ind w:hanging="0" w:start="0" w:end="0"/>
              <w:rPr/>
            </w:pPr>
            <w:r>
              <w:rPr/>
              <w:t>Implement stress testing, portfolio monitoring.</w:t>
            </w:r>
          </w:p>
        </w:tc>
        <w:tc>
          <w:tcPr>
            <w:tcW w:w="2291" w:type="dxa"/>
            <w:tcBorders/>
            <w:vAlign w:val="center"/>
          </w:tcPr>
          <w:p>
            <w:pPr>
              <w:pStyle w:val="TableContents"/>
              <w:ind w:hanging="0" w:start="0" w:end="0"/>
              <w:rPr/>
            </w:pPr>
            <w:r>
              <w:rPr/>
              <w:t xml:space="preserve">Improves loan quality, strengthens </w:t>
            </w:r>
            <w:r>
              <w:rPr>
                <w:rStyle w:val="Strong"/>
              </w:rPr>
              <w:t>practice indices</w:t>
            </w:r>
            <w:r>
              <w:rPr/>
              <w:t>.</w:t>
            </w:r>
          </w:p>
        </w:tc>
        <w:tc>
          <w:tcPr>
            <w:tcW w:w="2229" w:type="dxa"/>
            <w:tcBorders/>
            <w:vAlign w:val="center"/>
          </w:tcPr>
          <w:p>
            <w:pPr>
              <w:pStyle w:val="TableContents"/>
              <w:ind w:hanging="0" w:start="0" w:end="0"/>
              <w:rPr/>
            </w:pPr>
            <w:r>
              <w:rPr/>
              <w:t>Basel III: Credit risk frameworks (BCBS, 2010).</w:t>
            </w:r>
          </w:p>
        </w:tc>
        <w:tc>
          <w:tcPr>
            <w:tcW w:w="1351" w:type="dxa"/>
            <w:tcBorders/>
            <w:vAlign w:val="center"/>
          </w:tcPr>
          <w:p>
            <w:pPr>
              <w:pStyle w:val="TableContents"/>
              <w:ind w:hanging="0" w:start="0" w:end="0"/>
              <w:rPr/>
            </w:pPr>
            <w:r>
              <w:rPr/>
              <w:t>Ojo &amp; Ojo (2024)</w:t>
            </w:r>
          </w:p>
        </w:tc>
      </w:tr>
      <w:tr>
        <w:trPr/>
        <w:tc>
          <w:tcPr>
            <w:tcW w:w="2017" w:type="dxa"/>
            <w:tcBorders/>
            <w:vAlign w:val="center"/>
          </w:tcPr>
          <w:p>
            <w:pPr>
              <w:pStyle w:val="TableContents"/>
              <w:ind w:hanging="0" w:start="0" w:end="0"/>
              <w:rPr/>
            </w:pPr>
            <w:r>
              <w:rPr>
                <w:rStyle w:val="Strong"/>
              </w:rPr>
              <w:t>Protected Whistleblowing Channels</w:t>
            </w:r>
          </w:p>
        </w:tc>
        <w:tc>
          <w:tcPr>
            <w:tcW w:w="2084" w:type="dxa"/>
            <w:tcBorders/>
            <w:vAlign w:val="center"/>
          </w:tcPr>
          <w:p>
            <w:pPr>
              <w:pStyle w:val="TableContents"/>
              <w:ind w:hanging="0" w:start="0" w:end="0"/>
              <w:rPr/>
            </w:pPr>
            <w:r>
              <w:rPr/>
              <w:t>Mandate anonymous, legally protected reporting.</w:t>
            </w:r>
          </w:p>
        </w:tc>
        <w:tc>
          <w:tcPr>
            <w:tcW w:w="2291" w:type="dxa"/>
            <w:tcBorders/>
            <w:vAlign w:val="center"/>
          </w:tcPr>
          <w:p>
            <w:pPr>
              <w:pStyle w:val="TableContents"/>
              <w:ind w:hanging="0" w:start="0" w:end="0"/>
              <w:rPr/>
            </w:pPr>
            <w:r>
              <w:rPr/>
              <w:t xml:space="preserve">Encourages fraud detection, enhances </w:t>
            </w:r>
            <w:r>
              <w:rPr>
                <w:rStyle w:val="Strong"/>
              </w:rPr>
              <w:t>disclosure</w:t>
            </w:r>
            <w:r>
              <w:rPr/>
              <w:t>.</w:t>
            </w:r>
          </w:p>
        </w:tc>
        <w:tc>
          <w:tcPr>
            <w:tcW w:w="2229" w:type="dxa"/>
            <w:tcBorders/>
            <w:vAlign w:val="center"/>
          </w:tcPr>
          <w:p>
            <w:pPr>
              <w:pStyle w:val="TableContents"/>
              <w:ind w:hanging="0" w:start="0" w:end="0"/>
              <w:rPr/>
            </w:pPr>
            <w:r>
              <w:rPr/>
              <w:t>EU Whistleblowing Directive (EU, 2019).</w:t>
            </w:r>
          </w:p>
        </w:tc>
        <w:tc>
          <w:tcPr>
            <w:tcW w:w="1351" w:type="dxa"/>
            <w:tcBorders/>
            <w:vAlign w:val="center"/>
          </w:tcPr>
          <w:p>
            <w:pPr>
              <w:pStyle w:val="TableContents"/>
              <w:ind w:hanging="0" w:start="0" w:end="0"/>
              <w:rPr/>
            </w:pPr>
            <w:r>
              <w:rPr/>
              <w:t>Olojede et al. (2020)</w:t>
            </w:r>
          </w:p>
        </w:tc>
      </w:tr>
      <w:tr>
        <w:trPr/>
        <w:tc>
          <w:tcPr>
            <w:tcW w:w="2017" w:type="dxa"/>
            <w:tcBorders/>
            <w:vAlign w:val="center"/>
          </w:tcPr>
          <w:p>
            <w:pPr>
              <w:pStyle w:val="TableContents"/>
              <w:ind w:hanging="0" w:start="0" w:end="0"/>
              <w:rPr/>
            </w:pPr>
            <w:r>
              <w:rPr>
                <w:rStyle w:val="Strong"/>
              </w:rPr>
              <w:t>Enhanced CBN Enforcement</w:t>
            </w:r>
          </w:p>
        </w:tc>
        <w:tc>
          <w:tcPr>
            <w:tcW w:w="2084" w:type="dxa"/>
            <w:tcBorders/>
            <w:vAlign w:val="center"/>
          </w:tcPr>
          <w:p>
            <w:pPr>
              <w:pStyle w:val="TableContents"/>
              <w:ind w:hanging="0" w:start="0" w:end="0"/>
              <w:rPr/>
            </w:pPr>
            <w:r>
              <w:rPr/>
              <w:t>Empower CBN to sanction non-compliant risk practices.</w:t>
            </w:r>
          </w:p>
        </w:tc>
        <w:tc>
          <w:tcPr>
            <w:tcW w:w="2291" w:type="dxa"/>
            <w:tcBorders/>
            <w:vAlign w:val="center"/>
          </w:tcPr>
          <w:p>
            <w:pPr>
              <w:pStyle w:val="TableContents"/>
              <w:ind w:hanging="0" w:start="0" w:end="0"/>
              <w:rPr/>
            </w:pPr>
            <w:r>
              <w:rPr/>
              <w:t xml:space="preserve">Strengthens </w:t>
            </w:r>
            <w:r>
              <w:rPr>
                <w:rStyle w:val="Strong"/>
              </w:rPr>
              <w:t>compliance</w:t>
            </w:r>
            <w:r>
              <w:rPr/>
              <w:t xml:space="preserve">, supports </w:t>
            </w:r>
            <w:r>
              <w:rPr>
                <w:rStyle w:val="Strong"/>
              </w:rPr>
              <w:t>audit committee independence</w:t>
            </w:r>
            <w:r>
              <w:rPr/>
              <w:t>.</w:t>
            </w:r>
          </w:p>
        </w:tc>
        <w:tc>
          <w:tcPr>
            <w:tcW w:w="2229" w:type="dxa"/>
            <w:tcBorders/>
            <w:vAlign w:val="center"/>
          </w:tcPr>
          <w:p>
            <w:pPr>
              <w:pStyle w:val="TableContents"/>
              <w:ind w:hanging="0" w:start="0" w:end="0"/>
              <w:rPr/>
            </w:pPr>
            <w:r>
              <w:rPr/>
              <w:t>OECD Principles: Regulatory enforcement (OECD, 2023).</w:t>
            </w:r>
          </w:p>
        </w:tc>
        <w:tc>
          <w:tcPr>
            <w:tcW w:w="1351" w:type="dxa"/>
            <w:tcBorders/>
            <w:vAlign w:val="center"/>
          </w:tcPr>
          <w:p>
            <w:pPr>
              <w:pStyle w:val="TableContents"/>
              <w:rPr/>
            </w:pPr>
            <w:r>
              <w:rPr/>
              <w:t>Afolabi &amp; Afolabi (2024)</w:t>
            </w:r>
          </w:p>
        </w:tc>
      </w:tr>
    </w:tbl>
    <w:p>
      <w:pPr>
        <w:pStyle w:val="BodyText"/>
        <w:spacing w:lineRule="auto" w:line="480"/>
        <w:ind w:hanging="0" w:start="0" w:end="0"/>
        <w:rPr/>
      </w:pPr>
      <w:r>
        <w:rPr>
          <w:rStyle w:val="Strong"/>
        </w:rPr>
        <w:t>Note</w:t>
      </w:r>
      <w:r>
        <w:rPr/>
        <w:t xml:space="preserve">: Adapted from BCBS (2010), EU (2019), and Afolabi and Afolabi (2024). Reforms address </w:t>
      </w:r>
      <w:r>
        <w:rPr>
          <w:rStyle w:val="Strong"/>
        </w:rPr>
        <w:t>disclosure, practice, compliance, and audit committee independence.</w:t>
      </w:r>
    </w:p>
    <w:p>
      <w:pPr>
        <w:pStyle w:val="BodyText"/>
        <w:spacing w:lineRule="auto" w:line="480"/>
        <w:ind w:hanging="0" w:start="0" w:end="0"/>
        <w:rPr/>
      </w:pPr>
      <w:r>
        <w:rPr>
          <w:rStyle w:val="Strong"/>
        </w:rPr>
        <w:t>2.7.6 Ties to Corporate Governance Indices</w:t>
      </w:r>
    </w:p>
    <w:p>
      <w:pPr>
        <w:pStyle w:val="BodyText"/>
        <w:spacing w:lineRule="auto" w:line="480"/>
        <w:ind w:hanging="0" w:start="0" w:end="0"/>
        <w:rPr/>
      </w:pPr>
      <w:r>
        <w:rPr>
          <w:rStyle w:val="Strong"/>
        </w:rPr>
        <w:t>Practice index</w:t>
      </w:r>
      <w:r>
        <w:rPr/>
        <w:t xml:space="preserve"> failures and weak whistleblowing mechanisms undermine the core </w:t>
      </w:r>
      <w:r>
        <w:rPr>
          <w:rStyle w:val="Strong"/>
        </w:rPr>
        <w:t>indices of disclosure, practice, and compliance</w:t>
      </w:r>
      <w:r>
        <w:rPr/>
        <w:t xml:space="preserve">. Lax lending practices erode </w:t>
      </w:r>
      <w:r>
        <w:rPr>
          <w:rStyle w:val="Strong"/>
        </w:rPr>
        <w:t>disclosure</w:t>
      </w:r>
      <w:r>
        <w:rPr/>
        <w:t xml:space="preserve"> by enabling fraud concealment, as seen in Oceanic Bank’s falsified reports (Sanusi, 2009). </w:t>
      </w:r>
      <w:r>
        <w:rPr>
          <w:rStyle w:val="Strong"/>
        </w:rPr>
        <w:t>Compliance</w:t>
      </w:r>
      <w:r>
        <w:rPr/>
        <w:t xml:space="preserve"> is weakened by </w:t>
      </w:r>
      <w:r>
        <w:rPr>
          <w:rStyle w:val="Strong"/>
        </w:rPr>
        <w:t>unqualified management</w:t>
      </w:r>
      <w:r>
        <w:rPr/>
        <w:t xml:space="preserve"> and weak controls, allowing insider abuses (Nwoko et al., 2022). </w:t>
      </w:r>
      <w:r>
        <w:rPr>
          <w:rStyle w:val="Strong"/>
        </w:rPr>
        <w:t>Practice indices</w:t>
      </w:r>
      <w:r>
        <w:rPr/>
        <w:t xml:space="preserve"> suffer from poor risk assessment, leading to systemic instability (Owolabi, 2013). Risk management is directly compromised, driving NPL spikes (Adegboye, 2020). </w:t>
      </w:r>
      <w:r>
        <w:rPr>
          <w:rStyle w:val="Strong"/>
        </w:rPr>
        <w:t>Audit committee independence</w:t>
      </w:r>
      <w:r>
        <w:rPr/>
        <w:t xml:space="preserve"> is undermined by ineffective risk oversight, as noted by Afolabi and Afolabi (2024), necessitating integrated reforms.</w:t>
      </w:r>
    </w:p>
    <w:p>
      <w:pPr>
        <w:pStyle w:val="BodyText"/>
        <w:spacing w:lineRule="auto" w:line="480"/>
        <w:ind w:hanging="0" w:start="0" w:end="0"/>
        <w:rPr/>
      </w:pPr>
      <w:r>
        <w:rPr>
          <w:rStyle w:val="Strong"/>
        </w:rPr>
        <w:t>Practice index</w:t>
      </w:r>
      <w:r>
        <w:rPr/>
        <w:t xml:space="preserve"> failures and weak whistleblowing mechanisms in Nigeria’s </w:t>
      </w:r>
      <w:r>
        <w:rPr>
          <w:rStyle w:val="Strong"/>
        </w:rPr>
        <w:t>deposit money banking</w:t>
      </w:r>
      <w:r>
        <w:rPr/>
        <w:t xml:space="preserve"> sector, characterized by lax lending and fraud concealment, significantly drive NPLs and systemic instability, as seen in the 2009 crisis (Adegboye, 2020; Olojede et al., 2020; Sanusi, 2009). Compared to global standards like Basel III and EU whistleblowing frameworks, Nigeria’s practices fall short, lacking robust </w:t>
      </w:r>
      <w:r>
        <w:rPr>
          <w:rStyle w:val="Strong"/>
        </w:rPr>
        <w:t>practice indices</w:t>
      </w:r>
      <w:r>
        <w:rPr/>
        <w:t xml:space="preserve"> and protected reporting channels (BCBS, 2010; EU, 2019). These deficiencies, rooted in </w:t>
      </w:r>
      <w:r>
        <w:rPr>
          <w:rStyle w:val="Strong"/>
        </w:rPr>
        <w:t>unqualified management</w:t>
      </w:r>
      <w:r>
        <w:rPr/>
        <w:t xml:space="preserve"> and </w:t>
      </w:r>
      <w:r>
        <w:rPr>
          <w:rStyle w:val="Strong"/>
        </w:rPr>
        <w:t>regulatory gaps</w:t>
      </w:r>
      <w:r>
        <w:rPr/>
        <w:t xml:space="preserve">, exacerbate default risk, undermining financial stability. This section supports OB1 and H1 by linking effective </w:t>
      </w:r>
      <w:r>
        <w:rPr>
          <w:rStyle w:val="Strong"/>
        </w:rPr>
        <w:t>practice indices</w:t>
      </w:r>
      <w:r>
        <w:rPr/>
        <w:t xml:space="preserve"> to NPL reduction and highlights the urgent need for reforms, such as adopting Basel III-aligned </w:t>
      </w:r>
      <w:r>
        <w:rPr>
          <w:rStyle w:val="Strong"/>
        </w:rPr>
        <w:t>practice frameworks</w:t>
      </w:r>
      <w:r>
        <w:rPr/>
        <w:t xml:space="preserve"> and EU-style whistleblowing protections, to align with global standards and strengthen Nigeria’s </w:t>
      </w:r>
      <w:r>
        <w:rPr>
          <w:rStyle w:val="Strong"/>
        </w:rPr>
        <w:t>deposit money banking</w:t>
      </w:r>
      <w:r>
        <w:rPr/>
        <w:t xml:space="preserve"> sector. </w:t>
      </w:r>
      <w:r>
        <w:rPr>
          <w:rStyle w:val="Strong"/>
        </w:rPr>
        <w:t>Subsequent sections will explore additional governance mechanisms impacting default risk.</w:t>
      </w:r>
      <w:r>
        <w:rPr/>
        <w:t xml:space="preserve"> </w:t>
      </w:r>
      <w:r>
        <w:rPr>
          <w:rStyle w:val="Strong"/>
        </w:rPr>
        <w:t>Recent studies by Afolabi and Afolabi (2024) reinforce how risk failures affect disclosure and audit committee independence.</w:t>
      </w:r>
    </w:p>
    <w:p>
      <w:pPr>
        <w:pStyle w:val="Normal"/>
        <w:rPr/>
      </w:pPr>
      <w:r>
        <w:rPr/>
      </w:r>
    </w:p>
    <w:p>
      <w:pPr>
        <w:pStyle w:val="BodyText"/>
        <w:rPr>
          <w:rFonts w:ascii="Times New Roman" w:hAnsi="Times New Roman"/>
        </w:rPr>
      </w:pPr>
      <w:r>
        <w:rPr>
          <w:rFonts w:cs="Arial" w:ascii="Times New Roman" w:hAnsi="Times New Roman"/>
        </w:rPr>
        <w:t xml:space="preserve">Non-performing loans (NPLs), defined as loans overdue by 90 days or more as a percentage of total loans, serve as a critical measure of default risk in Nigeria’s </w:t>
      </w:r>
      <w:r>
        <w:rPr>
          <w:rStyle w:val="Strong"/>
          <w:rFonts w:cs="Arial" w:ascii="Times New Roman" w:hAnsi="Times New Roman"/>
        </w:rPr>
        <w:t>deposit money banking</w:t>
      </w:r>
      <w:r>
        <w:rPr>
          <w:rFonts w:cs="Arial" w:ascii="Times New Roman" w:hAnsi="Times New Roman"/>
        </w:rPr>
        <w:t xml:space="preserve"> sector, reflecting governance deficiencies that undermine financial stability and contribute to systemic crises, with 425 bank failures recorded since 1988 (Udo, 2020). NPLs deplete bank capital, erode liquidity, and signal weak </w:t>
      </w:r>
      <w:r>
        <w:rPr>
          <w:rStyle w:val="Strong"/>
          <w:rFonts w:cs="Arial" w:ascii="Times New Roman" w:hAnsi="Times New Roman"/>
        </w:rPr>
        <w:t>practice indices</w:t>
      </w:r>
      <w:r>
        <w:rPr>
          <w:rFonts w:cs="Arial" w:ascii="Times New Roman" w:hAnsi="Times New Roman"/>
        </w:rPr>
        <w:t xml:space="preserve">, as evidenced by peaks of 37% in 2009 and 20% in 2017, far exceeding the CBN’s 5% threshold, as seen in cases like Oceanic Bank (Nwosu, 2020; Adegboye, 2020). </w:t>
      </w:r>
      <w:r>
        <w:rPr>
          <w:rStyle w:val="Strong"/>
          <w:rFonts w:cs="Arial" w:ascii="Times New Roman" w:hAnsi="Times New Roman"/>
        </w:rPr>
        <w:t>Recent 2024 data indicates persistent challenges, with NPL ratios at 5.62% in April, driven by economic pressures like inflation and asset reclassifications (CBN, 2024).</w:t>
      </w:r>
      <w:r>
        <w:rPr>
          <w:rFonts w:cs="Arial" w:ascii="Times New Roman" w:hAnsi="Times New Roman"/>
        </w:rPr>
        <w:t xml:space="preserve"> These spikes, driven by governance failures such as insider lending and inadequate oversight, highlight the urgent need for reforms to mitigate default risk. This section discusses NPLs as a measure of default risk, citing global and Nigerian studies, examines governance deficiencies as key NPL drivers, and addresses data reliability issues and the need for cross-validation, aligning with the research’s objectives to address governance challenges impacting financial stability. </w:t>
      </w:r>
      <w:r>
        <w:rPr>
          <w:rStyle w:val="Strong"/>
          <w:rFonts w:cs="Arial" w:ascii="Times New Roman" w:hAnsi="Times New Roman"/>
        </w:rPr>
        <w:t>To expand, Ojo and Ojo (2024) link NPLs to audit committee independence and practice index deficiencies, emphasizing their role in disclosure and compliance.</w:t>
      </w:r>
    </w:p>
    <w:p>
      <w:pPr>
        <w:pStyle w:val="BodyText"/>
        <w:spacing w:lineRule="auto" w:line="480"/>
        <w:ind w:hanging="0" w:start="0" w:end="0"/>
        <w:rPr>
          <w:rFonts w:ascii="Times New Roman" w:hAnsi="Times New Roman" w:cs="Arial"/>
        </w:rPr>
      </w:pPr>
      <w:r>
        <w:rPr>
          <w:rStyle w:val="Strong"/>
          <w:rFonts w:cs="Arial" w:ascii="Times New Roman" w:hAnsi="Times New Roman"/>
        </w:rPr>
        <w:t>2.8.1 NPLs as a Measure of Default Risk</w:t>
      </w:r>
    </w:p>
    <w:p>
      <w:pPr>
        <w:pStyle w:val="BodyText"/>
        <w:spacing w:lineRule="auto" w:line="480"/>
        <w:ind w:hanging="0" w:start="0" w:end="0"/>
        <w:rPr>
          <w:rFonts w:ascii="Times New Roman" w:hAnsi="Times New Roman" w:cs="Arial"/>
        </w:rPr>
      </w:pPr>
      <w:r>
        <w:rPr>
          <w:rFonts w:cs="Arial" w:ascii="Times New Roman" w:hAnsi="Times New Roman"/>
        </w:rPr>
        <w:t xml:space="preserve">NPLs are a widely recognized indicator of default risk in banking, capturing loan recovery failures that increase insolvency risks and threaten financial stability (Fernando et al., </w:t>
      </w:r>
      <w:r>
        <w:rPr>
          <w:rStyle w:val="Strong"/>
          <w:rFonts w:cs="Arial" w:ascii="Times New Roman" w:hAnsi="Times New Roman"/>
        </w:rPr>
        <w:t>2019</w:t>
      </w:r>
      <w:r>
        <w:rPr>
          <w:rFonts w:cs="Arial" w:ascii="Times New Roman" w:hAnsi="Times New Roman"/>
        </w:rPr>
        <w:t>). Globally, Fernando et al. (</w:t>
      </w:r>
      <w:r>
        <w:rPr>
          <w:rStyle w:val="Strong"/>
          <w:rFonts w:cs="Arial" w:ascii="Times New Roman" w:hAnsi="Times New Roman"/>
        </w:rPr>
        <w:t>2019</w:t>
      </w:r>
      <w:r>
        <w:rPr>
          <w:rFonts w:cs="Arial" w:ascii="Times New Roman" w:hAnsi="Times New Roman"/>
        </w:rPr>
        <w:t>) argue that NPLs reflect credit risk stemming from poor lending practices and weak governance, with higher NPL ratios correlating with bank distress, particularly in emerging markets. In Nigeria, Natufe and Evbayiro-Osagie (2023) validate NPLs as a robust measure, aligning with the CBN’s 5% threshold, as they directly signal governance lapses such as inadequate risk assessment and insider abuses. For instance, the 2009 banking crisis, where NPLs reached 37%, underscored how governance failures led to systemic instability, requiring a $3.9 billion CBN intervention (Sanusi, 2009). NPLs’ prominence in emerging market research makes them a suitable metric for assessing default risk in Nigeria, though Fernando et al. (</w:t>
      </w:r>
      <w:r>
        <w:rPr>
          <w:rStyle w:val="Strong"/>
          <w:rFonts w:cs="Arial" w:ascii="Times New Roman" w:hAnsi="Times New Roman"/>
        </w:rPr>
        <w:t>2019</w:t>
      </w:r>
      <w:r>
        <w:rPr>
          <w:rFonts w:cs="Arial" w:ascii="Times New Roman" w:hAnsi="Times New Roman"/>
        </w:rPr>
        <w:t xml:space="preserve">) note their limitation in overlooking liquidity or operational risks, necessitating a comprehensive risk analysis. Natufe and Evbayiro-Osagie (2023) emphasize that NPLs’ sensitivity to governance quality makes them a critical focus for reform, particularly in contexts like Nigeria, where systemic weaknesses persist. </w:t>
      </w:r>
      <w:r>
        <w:rPr>
          <w:rStyle w:val="Strong"/>
          <w:rFonts w:cs="Arial" w:ascii="Times New Roman" w:hAnsi="Times New Roman"/>
        </w:rPr>
        <w:t>Recent studies by Afolabi and Afolabi (2024) add that NPLs reflect deficiencies in practice indices and disclosure, as weak audit oversight allows misclassification of loans.</w:t>
      </w:r>
      <w:r>
        <w:rPr>
          <w:rFonts w:cs="Arial" w:ascii="Times New Roman" w:hAnsi="Times New Roman"/>
        </w:rPr>
        <w:t xml:space="preserve"> </w:t>
      </w:r>
      <w:r>
        <w:rPr>
          <w:rStyle w:val="Strong"/>
          <w:rFonts w:cs="Arial" w:ascii="Times New Roman" w:hAnsi="Times New Roman"/>
        </w:rPr>
        <w:t>As of April 2024, NPL ratios at 5.62% highlight ongoing governance challenges (CBN, 2024).</w:t>
      </w:r>
    </w:p>
    <w:p>
      <w:pPr>
        <w:pStyle w:val="BodyText"/>
        <w:spacing w:lineRule="auto" w:line="480"/>
        <w:ind w:hanging="0" w:start="0" w:end="0"/>
        <w:rPr>
          <w:rFonts w:ascii="Times New Roman" w:hAnsi="Times New Roman" w:cs="Arial"/>
        </w:rPr>
      </w:pPr>
      <w:r>
        <w:rPr>
          <w:rStyle w:val="Strong"/>
          <w:rFonts w:cs="Arial" w:ascii="Times New Roman" w:hAnsi="Times New Roman"/>
        </w:rPr>
        <w:t>Table 2.13: Timeline of Key NPL Peaks and Events in Nigeria</w:t>
      </w:r>
    </w:p>
    <w:tbl>
      <w:tblPr>
        <w:tblW w:w="9972" w:type="dxa"/>
        <w:jc w:val="start"/>
        <w:tblInd w:w="0" w:type="dxa"/>
        <w:tblLayout w:type="fixed"/>
        <w:tblCellMar>
          <w:top w:w="28" w:type="dxa"/>
          <w:start w:w="28" w:type="dxa"/>
          <w:bottom w:w="28" w:type="dxa"/>
          <w:end w:w="28" w:type="dxa"/>
        </w:tblCellMar>
      </w:tblPr>
      <w:tblGrid>
        <w:gridCol w:w="922"/>
        <w:gridCol w:w="2021"/>
        <w:gridCol w:w="2339"/>
        <w:gridCol w:w="2699"/>
        <w:gridCol w:w="1991"/>
      </w:tblGrid>
      <w:tr>
        <w:trPr>
          <w:tblHeader w:val="true"/>
        </w:trPr>
        <w:tc>
          <w:tcPr>
            <w:tcW w:w="922" w:type="dxa"/>
            <w:tcBorders/>
            <w:vAlign w:val="center"/>
          </w:tcPr>
          <w:p>
            <w:pPr>
              <w:pStyle w:val="TableHeading"/>
              <w:rPr/>
            </w:pPr>
            <w:r>
              <w:rPr>
                <w:rStyle w:val="Strong"/>
                <w:b/>
                <w:bCs/>
              </w:rPr>
              <w:t>Year</w:t>
            </w:r>
          </w:p>
        </w:tc>
        <w:tc>
          <w:tcPr>
            <w:tcW w:w="2021" w:type="dxa"/>
            <w:tcBorders/>
            <w:vAlign w:val="center"/>
          </w:tcPr>
          <w:p>
            <w:pPr>
              <w:pStyle w:val="TableHeading"/>
              <w:rPr/>
            </w:pPr>
            <w:r>
              <w:rPr>
                <w:rStyle w:val="Strong"/>
                <w:b/>
                <w:bCs/>
              </w:rPr>
              <w:t>NPL Ratio (%)</w:t>
            </w:r>
          </w:p>
        </w:tc>
        <w:tc>
          <w:tcPr>
            <w:tcW w:w="2339" w:type="dxa"/>
            <w:tcBorders/>
            <w:vAlign w:val="center"/>
          </w:tcPr>
          <w:p>
            <w:pPr>
              <w:pStyle w:val="TableHeading"/>
              <w:rPr/>
            </w:pPr>
            <w:r>
              <w:rPr>
                <w:rStyle w:val="Strong"/>
                <w:b/>
                <w:bCs/>
              </w:rPr>
              <w:t>Key Event</w:t>
            </w:r>
          </w:p>
        </w:tc>
        <w:tc>
          <w:tcPr>
            <w:tcW w:w="2699" w:type="dxa"/>
            <w:tcBorders/>
            <w:vAlign w:val="center"/>
          </w:tcPr>
          <w:p>
            <w:pPr>
              <w:pStyle w:val="TableHeading"/>
              <w:rPr/>
            </w:pPr>
            <w:r>
              <w:rPr>
                <w:rStyle w:val="Strong"/>
                <w:b/>
                <w:bCs/>
              </w:rPr>
              <w:t>Governance Driver</w:t>
            </w:r>
          </w:p>
        </w:tc>
        <w:tc>
          <w:tcPr>
            <w:tcW w:w="1991" w:type="dxa"/>
            <w:tcBorders/>
            <w:vAlign w:val="center"/>
          </w:tcPr>
          <w:p>
            <w:pPr>
              <w:pStyle w:val="TableHeading"/>
              <w:ind w:hanging="0" w:start="0" w:end="0"/>
              <w:rPr/>
            </w:pPr>
            <w:r>
              <w:rPr>
                <w:rStyle w:val="Strong"/>
                <w:b/>
                <w:bCs/>
              </w:rPr>
              <w:t>Source</w:t>
            </w:r>
          </w:p>
        </w:tc>
      </w:tr>
      <w:tr>
        <w:trPr/>
        <w:tc>
          <w:tcPr>
            <w:tcW w:w="922" w:type="dxa"/>
            <w:tcBorders/>
            <w:vAlign w:val="center"/>
          </w:tcPr>
          <w:p>
            <w:pPr>
              <w:pStyle w:val="TableContents"/>
              <w:ind w:hanging="0" w:start="0" w:end="0"/>
              <w:rPr/>
            </w:pPr>
            <w:r>
              <w:rPr>
                <w:rStyle w:val="Strong"/>
              </w:rPr>
              <w:t>1988-2008</w:t>
            </w:r>
          </w:p>
        </w:tc>
        <w:tc>
          <w:tcPr>
            <w:tcW w:w="2021" w:type="dxa"/>
            <w:tcBorders/>
            <w:vAlign w:val="center"/>
          </w:tcPr>
          <w:p>
            <w:pPr>
              <w:pStyle w:val="TableContents"/>
              <w:ind w:hanging="0" w:start="0" w:end="0"/>
              <w:rPr/>
            </w:pPr>
            <w:r>
              <w:rPr/>
              <w:t>Cumulative 425 bank failures</w:t>
            </w:r>
          </w:p>
        </w:tc>
        <w:tc>
          <w:tcPr>
            <w:tcW w:w="2339" w:type="dxa"/>
            <w:tcBorders/>
            <w:vAlign w:val="center"/>
          </w:tcPr>
          <w:p>
            <w:pPr>
              <w:pStyle w:val="TableContents"/>
              <w:ind w:hanging="0" w:start="0" w:end="0"/>
              <w:rPr/>
            </w:pPr>
            <w:r>
              <w:rPr/>
              <w:t>Pre-consolidation distress.</w:t>
            </w:r>
          </w:p>
        </w:tc>
        <w:tc>
          <w:tcPr>
            <w:tcW w:w="2699" w:type="dxa"/>
            <w:tcBorders/>
            <w:vAlign w:val="center"/>
          </w:tcPr>
          <w:p>
            <w:pPr>
              <w:pStyle w:val="TableContents"/>
              <w:ind w:hanging="0" w:start="0" w:end="0"/>
              <w:rPr/>
            </w:pPr>
            <w:r>
              <w:rPr/>
              <w:t>Weak oversight, cronyism.</w:t>
            </w:r>
          </w:p>
        </w:tc>
        <w:tc>
          <w:tcPr>
            <w:tcW w:w="1991" w:type="dxa"/>
            <w:tcBorders/>
            <w:vAlign w:val="center"/>
          </w:tcPr>
          <w:p>
            <w:pPr>
              <w:pStyle w:val="TableContents"/>
              <w:ind w:hanging="0" w:start="0" w:end="0"/>
              <w:rPr/>
            </w:pPr>
            <w:r>
              <w:rPr/>
              <w:t>Udo (2020)</w:t>
            </w:r>
          </w:p>
        </w:tc>
      </w:tr>
      <w:tr>
        <w:trPr/>
        <w:tc>
          <w:tcPr>
            <w:tcW w:w="922" w:type="dxa"/>
            <w:tcBorders/>
            <w:vAlign w:val="center"/>
          </w:tcPr>
          <w:p>
            <w:pPr>
              <w:pStyle w:val="TableContents"/>
              <w:ind w:hanging="0" w:start="0" w:end="0"/>
              <w:rPr/>
            </w:pPr>
            <w:r>
              <w:rPr>
                <w:rStyle w:val="Strong"/>
              </w:rPr>
              <w:t>2009</w:t>
            </w:r>
          </w:p>
        </w:tc>
        <w:tc>
          <w:tcPr>
            <w:tcW w:w="2021" w:type="dxa"/>
            <w:tcBorders/>
            <w:vAlign w:val="center"/>
          </w:tcPr>
          <w:p>
            <w:pPr>
              <w:pStyle w:val="TableContents"/>
              <w:ind w:hanging="0" w:start="0" w:end="0"/>
              <w:rPr/>
            </w:pPr>
            <w:r>
              <w:rPr/>
              <w:t>37% peak</w:t>
            </w:r>
          </w:p>
        </w:tc>
        <w:tc>
          <w:tcPr>
            <w:tcW w:w="2339" w:type="dxa"/>
            <w:tcBorders/>
            <w:vAlign w:val="center"/>
          </w:tcPr>
          <w:p>
            <w:pPr>
              <w:pStyle w:val="TableContents"/>
              <w:ind w:hanging="0" w:start="0" w:end="0"/>
              <w:rPr/>
            </w:pPr>
            <w:r>
              <w:rPr/>
              <w:t>Banking crisis, $3.9B bailout.</w:t>
            </w:r>
          </w:p>
        </w:tc>
        <w:tc>
          <w:tcPr>
            <w:tcW w:w="2699" w:type="dxa"/>
            <w:tcBorders/>
            <w:vAlign w:val="center"/>
          </w:tcPr>
          <w:p>
            <w:pPr>
              <w:pStyle w:val="TableContents"/>
              <w:ind w:hanging="0" w:start="0" w:end="0"/>
              <w:rPr/>
            </w:pPr>
            <w:r>
              <w:rPr/>
              <w:t>Insider lending, audit failures.</w:t>
            </w:r>
          </w:p>
        </w:tc>
        <w:tc>
          <w:tcPr>
            <w:tcW w:w="1991" w:type="dxa"/>
            <w:tcBorders/>
            <w:vAlign w:val="center"/>
          </w:tcPr>
          <w:p>
            <w:pPr>
              <w:pStyle w:val="TableContents"/>
              <w:ind w:hanging="0" w:start="0" w:end="0"/>
              <w:rPr/>
            </w:pPr>
            <w:r>
              <w:rPr/>
              <w:t>Sanusi (2009), Nwosu (2020)</w:t>
            </w:r>
          </w:p>
        </w:tc>
      </w:tr>
      <w:tr>
        <w:trPr/>
        <w:tc>
          <w:tcPr>
            <w:tcW w:w="922" w:type="dxa"/>
            <w:tcBorders/>
            <w:vAlign w:val="center"/>
          </w:tcPr>
          <w:p>
            <w:pPr>
              <w:pStyle w:val="TableContents"/>
              <w:ind w:hanging="0" w:start="0" w:end="0"/>
              <w:rPr/>
            </w:pPr>
            <w:r>
              <w:rPr>
                <w:rStyle w:val="Strong"/>
              </w:rPr>
              <w:t>2017</w:t>
            </w:r>
          </w:p>
        </w:tc>
        <w:tc>
          <w:tcPr>
            <w:tcW w:w="2021" w:type="dxa"/>
            <w:tcBorders/>
            <w:vAlign w:val="center"/>
          </w:tcPr>
          <w:p>
            <w:pPr>
              <w:pStyle w:val="TableContents"/>
              <w:ind w:hanging="0" w:start="0" w:end="0"/>
              <w:rPr/>
            </w:pPr>
            <w:r>
              <w:rPr/>
              <w:t>20%</w:t>
            </w:r>
          </w:p>
        </w:tc>
        <w:tc>
          <w:tcPr>
            <w:tcW w:w="2339" w:type="dxa"/>
            <w:tcBorders/>
            <w:vAlign w:val="center"/>
          </w:tcPr>
          <w:p>
            <w:pPr>
              <w:pStyle w:val="TableContents"/>
              <w:ind w:hanging="0" w:start="0" w:end="0"/>
              <w:rPr/>
            </w:pPr>
            <w:r>
              <w:rPr/>
              <w:t>Post-recession spike.</w:t>
            </w:r>
          </w:p>
        </w:tc>
        <w:tc>
          <w:tcPr>
            <w:tcW w:w="2699" w:type="dxa"/>
            <w:tcBorders/>
            <w:vAlign w:val="center"/>
          </w:tcPr>
          <w:p>
            <w:pPr>
              <w:pStyle w:val="TableContents"/>
              <w:ind w:hanging="0" w:start="0" w:end="0"/>
              <w:rPr/>
            </w:pPr>
            <w:r>
              <w:rPr/>
              <w:t xml:space="preserve">Lax lending, </w:t>
            </w:r>
            <w:r>
              <w:rPr>
                <w:rStyle w:val="Strong"/>
              </w:rPr>
              <w:t>unqualified management</w:t>
            </w:r>
            <w:r>
              <w:rPr/>
              <w:t>.</w:t>
            </w:r>
          </w:p>
        </w:tc>
        <w:tc>
          <w:tcPr>
            <w:tcW w:w="1991" w:type="dxa"/>
            <w:tcBorders/>
            <w:vAlign w:val="center"/>
          </w:tcPr>
          <w:p>
            <w:pPr>
              <w:pStyle w:val="TableContents"/>
              <w:ind w:hanging="0" w:start="0" w:end="0"/>
              <w:rPr/>
            </w:pPr>
            <w:r>
              <w:rPr/>
              <w:t>Adegboye (2020)</w:t>
            </w:r>
          </w:p>
        </w:tc>
      </w:tr>
      <w:tr>
        <w:trPr/>
        <w:tc>
          <w:tcPr>
            <w:tcW w:w="922" w:type="dxa"/>
            <w:tcBorders/>
            <w:vAlign w:val="center"/>
          </w:tcPr>
          <w:p>
            <w:pPr>
              <w:pStyle w:val="TableContents"/>
              <w:ind w:hanging="0" w:start="0" w:end="0"/>
              <w:rPr/>
            </w:pPr>
            <w:r>
              <w:rPr>
                <w:rStyle w:val="Strong"/>
              </w:rPr>
              <w:t>April 2024</w:t>
            </w:r>
          </w:p>
        </w:tc>
        <w:tc>
          <w:tcPr>
            <w:tcW w:w="2021" w:type="dxa"/>
            <w:tcBorders/>
            <w:vAlign w:val="center"/>
          </w:tcPr>
          <w:p>
            <w:pPr>
              <w:pStyle w:val="TableContents"/>
              <w:ind w:hanging="0" w:start="0" w:end="0"/>
              <w:rPr/>
            </w:pPr>
            <w:r>
              <w:rPr/>
              <w:t>5.62%</w:t>
            </w:r>
          </w:p>
        </w:tc>
        <w:tc>
          <w:tcPr>
            <w:tcW w:w="2339" w:type="dxa"/>
            <w:tcBorders/>
            <w:vAlign w:val="center"/>
          </w:tcPr>
          <w:p>
            <w:pPr>
              <w:pStyle w:val="TableContents"/>
              <w:ind w:hanging="0" w:start="0" w:end="0"/>
              <w:rPr/>
            </w:pPr>
            <w:r>
              <w:rPr/>
              <w:t>Exceeds 5% threshold.</w:t>
            </w:r>
          </w:p>
        </w:tc>
        <w:tc>
          <w:tcPr>
            <w:tcW w:w="2699" w:type="dxa"/>
            <w:tcBorders/>
            <w:vAlign w:val="center"/>
          </w:tcPr>
          <w:p>
            <w:pPr>
              <w:pStyle w:val="TableContents"/>
              <w:ind w:hanging="0" w:start="0" w:end="0"/>
              <w:rPr/>
            </w:pPr>
            <w:r>
              <w:rPr/>
              <w:t>Asset reclassification, inflation.</w:t>
            </w:r>
          </w:p>
        </w:tc>
        <w:tc>
          <w:tcPr>
            <w:tcW w:w="1991" w:type="dxa"/>
            <w:tcBorders/>
            <w:vAlign w:val="center"/>
          </w:tcPr>
          <w:p>
            <w:pPr>
              <w:pStyle w:val="TableContents"/>
              <w:rPr/>
            </w:pPr>
            <w:r>
              <w:rPr/>
              <w:t>CBN (2024)</w:t>
            </w:r>
          </w:p>
        </w:tc>
      </w:tr>
    </w:tbl>
    <w:p>
      <w:pPr>
        <w:pStyle w:val="BodyText"/>
        <w:spacing w:lineRule="auto" w:line="480"/>
        <w:ind w:hanging="0" w:start="0" w:end="0"/>
        <w:rPr>
          <w:rFonts w:ascii="Times New Roman" w:hAnsi="Times New Roman" w:cs="Arial"/>
        </w:rPr>
      </w:pPr>
      <w:r>
        <w:rPr>
          <w:rStyle w:val="Strong"/>
          <w:rFonts w:cs="Arial" w:ascii="Times New Roman" w:hAnsi="Times New Roman"/>
        </w:rPr>
        <w:t>Note</w:t>
      </w:r>
      <w:r>
        <w:rPr>
          <w:rFonts w:cs="Arial" w:ascii="Times New Roman" w:hAnsi="Times New Roman"/>
        </w:rPr>
        <w:t xml:space="preserve">: Adapted from Sanusi (2009), Adegboye (2020), and recent 2024 reports. Ties to </w:t>
      </w:r>
      <w:r>
        <w:rPr>
          <w:rStyle w:val="Strong"/>
          <w:rFonts w:cs="Arial" w:ascii="Times New Roman" w:hAnsi="Times New Roman"/>
        </w:rPr>
        <w:t>disclosure, practice, compliance, and audit committee independence.</w:t>
      </w:r>
    </w:p>
    <w:p>
      <w:pPr>
        <w:pStyle w:val="BodyText"/>
        <w:spacing w:lineRule="auto" w:line="480"/>
        <w:ind w:hanging="0" w:start="0" w:end="0"/>
        <w:rPr>
          <w:rFonts w:ascii="Times New Roman" w:hAnsi="Times New Roman" w:cs="Arial"/>
        </w:rPr>
      </w:pPr>
      <w:r>
        <w:rPr>
          <w:rStyle w:val="Strong"/>
          <w:rFonts w:cs="Arial" w:ascii="Times New Roman" w:hAnsi="Times New Roman"/>
        </w:rPr>
        <w:t>2.8.2 Governance Deficiencies as Drivers of NPLs</w:t>
      </w:r>
    </w:p>
    <w:p>
      <w:pPr>
        <w:pStyle w:val="BodyText"/>
        <w:spacing w:lineRule="auto" w:line="480"/>
        <w:ind w:hanging="0" w:start="0" w:end="0"/>
        <w:rPr>
          <w:rFonts w:ascii="Times New Roman" w:hAnsi="Times New Roman" w:cs="Arial"/>
        </w:rPr>
      </w:pPr>
      <w:r>
        <w:rPr>
          <w:rFonts w:cs="Arial" w:ascii="Times New Roman" w:hAnsi="Times New Roman"/>
        </w:rPr>
        <w:t xml:space="preserve">Governance deficiencies, including weak board oversight, </w:t>
      </w:r>
      <w:r>
        <w:rPr>
          <w:rStyle w:val="Strong"/>
          <w:rFonts w:cs="Arial" w:ascii="Times New Roman" w:hAnsi="Times New Roman"/>
        </w:rPr>
        <w:t>unqualified management</w:t>
      </w:r>
      <w:r>
        <w:rPr>
          <w:rFonts w:cs="Arial" w:ascii="Times New Roman" w:hAnsi="Times New Roman"/>
        </w:rPr>
        <w:t xml:space="preserve">, and inadequate </w:t>
      </w:r>
      <w:r>
        <w:rPr>
          <w:rStyle w:val="Strong"/>
          <w:rFonts w:cs="Arial" w:ascii="Times New Roman" w:hAnsi="Times New Roman"/>
        </w:rPr>
        <w:t>practice indices</w:t>
      </w:r>
      <w:r>
        <w:rPr>
          <w:rFonts w:cs="Arial" w:ascii="Times New Roman" w:hAnsi="Times New Roman"/>
        </w:rPr>
        <w:t xml:space="preserve">, are primary drivers of NPLs in Nigeria’s </w:t>
      </w:r>
      <w:r>
        <w:rPr>
          <w:rStyle w:val="Strong"/>
          <w:rFonts w:cs="Arial" w:ascii="Times New Roman" w:hAnsi="Times New Roman"/>
        </w:rPr>
        <w:t>deposit money banking</w:t>
      </w:r>
      <w:r>
        <w:rPr>
          <w:rFonts w:cs="Arial" w:ascii="Times New Roman" w:hAnsi="Times New Roman"/>
        </w:rPr>
        <w:t xml:space="preserve"> sector, as evidenced by the significant spikes in 2009 (37%) and 2017 (20%) (Nwosu, 2020; Adegboye, 2020). Adegboye (2020) highlights that lax lending practices, often enabled by </w:t>
      </w:r>
      <w:r>
        <w:rPr>
          <w:rStyle w:val="Strong"/>
          <w:rFonts w:cs="Arial" w:ascii="Times New Roman" w:hAnsi="Times New Roman"/>
        </w:rPr>
        <w:t>unqualified executives</w:t>
      </w:r>
      <w:r>
        <w:rPr>
          <w:rFonts w:cs="Arial" w:ascii="Times New Roman" w:hAnsi="Times New Roman"/>
        </w:rPr>
        <w:t xml:space="preserve"> and </w:t>
      </w:r>
      <w:r>
        <w:rPr>
          <w:rStyle w:val="Strong"/>
          <w:rFonts w:cs="Arial" w:ascii="Times New Roman" w:hAnsi="Times New Roman"/>
        </w:rPr>
        <w:t>politically motivated appointments</w:t>
      </w:r>
      <w:r>
        <w:rPr>
          <w:rFonts w:cs="Arial" w:ascii="Times New Roman" w:hAnsi="Times New Roman"/>
        </w:rPr>
        <w:t xml:space="preserve">, result in poor credit assessments, as seen in banks like Intercontinental and Bank PHB, where mismanagement fueled financial distress (Owolabi, 2013). The 2009 crisis, driven by insider lending, exemplifies this, with Oceanic Bank’s NPLs, 75% of which were tied to family-controlled entities, reflecting weak board and </w:t>
      </w:r>
      <w:r>
        <w:rPr>
          <w:rStyle w:val="Strong"/>
          <w:rFonts w:cs="Arial" w:ascii="Times New Roman" w:hAnsi="Times New Roman"/>
        </w:rPr>
        <w:t>audit committee</w:t>
      </w:r>
      <w:r>
        <w:rPr>
          <w:rFonts w:cs="Arial" w:ascii="Times New Roman" w:hAnsi="Times New Roman"/>
        </w:rPr>
        <w:t xml:space="preserve"> oversight (Sanusi, 2009). Nwosu (2020) argues that concentrated ownership and the absence of independent nomination committees in 61% of </w:t>
      </w:r>
      <w:r>
        <w:rPr>
          <w:rStyle w:val="Strong"/>
          <w:rFonts w:cs="Arial" w:ascii="Times New Roman" w:hAnsi="Times New Roman"/>
        </w:rPr>
        <w:t>deposit money banks</w:t>
      </w:r>
      <w:r>
        <w:rPr>
          <w:rFonts w:cs="Arial" w:ascii="Times New Roman" w:hAnsi="Times New Roman"/>
        </w:rPr>
        <w:t xml:space="preserve"> allow self-interested management to dominate, undermining </w:t>
      </w:r>
      <w:r>
        <w:rPr>
          <w:rStyle w:val="Strong"/>
          <w:rFonts w:cs="Arial" w:ascii="Times New Roman" w:hAnsi="Times New Roman"/>
        </w:rPr>
        <w:t>practice indices</w:t>
      </w:r>
      <w:r>
        <w:rPr>
          <w:rFonts w:cs="Arial" w:ascii="Times New Roman" w:hAnsi="Times New Roman"/>
        </w:rPr>
        <w:t xml:space="preserve"> and driving NPLs (Ogbechie, 2016). </w:t>
      </w:r>
      <w:r>
        <w:rPr>
          <w:rStyle w:val="Strong"/>
          <w:rFonts w:cs="Arial" w:ascii="Times New Roman" w:hAnsi="Times New Roman"/>
        </w:rPr>
        <w:t>Regulatory multiplicity</w:t>
      </w:r>
      <w:r>
        <w:rPr>
          <w:rFonts w:cs="Arial" w:ascii="Times New Roman" w:hAnsi="Times New Roman"/>
        </w:rPr>
        <w:t xml:space="preserve">, with conflicting codes like CAMA 2020 and NCCG 2018, further exacerbates these issues by enabling selective </w:t>
      </w:r>
      <w:r>
        <w:rPr>
          <w:rStyle w:val="Strong"/>
          <w:rFonts w:cs="Arial" w:ascii="Times New Roman" w:hAnsi="Times New Roman"/>
        </w:rPr>
        <w:t>compliance</w:t>
      </w:r>
      <w:r>
        <w:rPr>
          <w:rFonts w:cs="Arial" w:ascii="Times New Roman" w:hAnsi="Times New Roman"/>
        </w:rPr>
        <w:t xml:space="preserve">, as banks exploit ambiguities to conceal financial distress (Abdulmalik &amp; Ahmad, 2020). These governance failures, rooted in historical legacies of cronyism and weak </w:t>
      </w:r>
      <w:r>
        <w:rPr>
          <w:rStyle w:val="Strong"/>
          <w:rFonts w:cs="Arial" w:ascii="Times New Roman" w:hAnsi="Times New Roman"/>
        </w:rPr>
        <w:t>enforcement consistency</w:t>
      </w:r>
      <w:r>
        <w:rPr>
          <w:rFonts w:cs="Arial" w:ascii="Times New Roman" w:hAnsi="Times New Roman"/>
        </w:rPr>
        <w:t xml:space="preserve">, directly contribute to NPL spikes, eroding capital and triggering systemic instability, as seen in mass deposit withdrawals during the 2009 crisis (Sanusi, 2009). </w:t>
      </w:r>
      <w:r>
        <w:rPr>
          <w:rStyle w:val="Strong"/>
          <w:rFonts w:cs="Arial" w:ascii="Times New Roman" w:hAnsi="Times New Roman"/>
        </w:rPr>
        <w:t>Ojo and Ojo (2024) expand this by linking NPL drivers to audit committee independence, noting that weak oversight allows fraud concealment, undermining disclosure and practice indices.</w:t>
      </w:r>
      <w:r>
        <w:rPr>
          <w:rFonts w:cs="Arial" w:ascii="Times New Roman" w:hAnsi="Times New Roman"/>
        </w:rPr>
        <w:t xml:space="preserve"> </w:t>
      </w:r>
      <w:r>
        <w:rPr>
          <w:rStyle w:val="Strong"/>
          <w:rFonts w:cs="Arial" w:ascii="Times New Roman" w:hAnsi="Times New Roman"/>
        </w:rPr>
        <w:t>In 2024, NPLs at 5.62% are tied to similar issues, including inflation and asset reclassifications (CBN, 2024).</w:t>
      </w:r>
    </w:p>
    <w:p>
      <w:pPr>
        <w:pStyle w:val="BodyText"/>
        <w:spacing w:lineRule="auto" w:line="480"/>
        <w:ind w:hanging="0" w:start="0" w:end="0"/>
        <w:rPr>
          <w:rFonts w:ascii="Times New Roman" w:hAnsi="Times New Roman" w:cs="Arial"/>
        </w:rPr>
      </w:pPr>
      <w:r>
        <w:rPr>
          <w:rStyle w:val="Strong"/>
          <w:rFonts w:cs="Arial" w:ascii="Times New Roman" w:hAnsi="Times New Roman"/>
        </w:rPr>
        <w:t>Table 2.14: Key Governance Deficiencies Driving NPLs in Nigerian Deposit Money Banks</w:t>
      </w:r>
    </w:p>
    <w:tbl>
      <w:tblPr>
        <w:tblW w:w="9972" w:type="dxa"/>
        <w:jc w:val="start"/>
        <w:tblInd w:w="0" w:type="dxa"/>
        <w:tblLayout w:type="fixed"/>
        <w:tblCellMar>
          <w:top w:w="28" w:type="dxa"/>
          <w:start w:w="28" w:type="dxa"/>
          <w:bottom w:w="28" w:type="dxa"/>
          <w:end w:w="28" w:type="dxa"/>
        </w:tblCellMar>
      </w:tblPr>
      <w:tblGrid>
        <w:gridCol w:w="1748"/>
        <w:gridCol w:w="1909"/>
        <w:gridCol w:w="2272"/>
        <w:gridCol w:w="2228"/>
        <w:gridCol w:w="1815"/>
      </w:tblGrid>
      <w:tr>
        <w:trPr>
          <w:tblHeader w:val="true"/>
        </w:trPr>
        <w:tc>
          <w:tcPr>
            <w:tcW w:w="1748" w:type="dxa"/>
            <w:tcBorders/>
            <w:vAlign w:val="center"/>
          </w:tcPr>
          <w:p>
            <w:pPr>
              <w:pStyle w:val="TableHeading"/>
              <w:rPr/>
            </w:pPr>
            <w:r>
              <w:rPr>
                <w:rStyle w:val="Strong"/>
                <w:b/>
                <w:bCs/>
              </w:rPr>
              <w:t>Deficiency</w:t>
            </w:r>
          </w:p>
        </w:tc>
        <w:tc>
          <w:tcPr>
            <w:tcW w:w="1909" w:type="dxa"/>
            <w:tcBorders/>
            <w:vAlign w:val="center"/>
          </w:tcPr>
          <w:p>
            <w:pPr>
              <w:pStyle w:val="TableHeading"/>
              <w:rPr/>
            </w:pPr>
            <w:r>
              <w:rPr>
                <w:rStyle w:val="Strong"/>
                <w:b/>
                <w:bCs/>
              </w:rPr>
              <w:t>Description</w:t>
            </w:r>
          </w:p>
        </w:tc>
        <w:tc>
          <w:tcPr>
            <w:tcW w:w="2272" w:type="dxa"/>
            <w:tcBorders/>
            <w:vAlign w:val="center"/>
          </w:tcPr>
          <w:p>
            <w:pPr>
              <w:pStyle w:val="TableHeading"/>
              <w:rPr/>
            </w:pPr>
            <w:r>
              <w:rPr>
                <w:rStyle w:val="Strong"/>
                <w:b/>
                <w:bCs/>
              </w:rPr>
              <w:t>Example</w:t>
            </w:r>
          </w:p>
        </w:tc>
        <w:tc>
          <w:tcPr>
            <w:tcW w:w="2228" w:type="dxa"/>
            <w:tcBorders/>
            <w:vAlign w:val="center"/>
          </w:tcPr>
          <w:p>
            <w:pPr>
              <w:pStyle w:val="TableHeading"/>
              <w:rPr/>
            </w:pPr>
            <w:r>
              <w:rPr>
                <w:rStyle w:val="Strong"/>
                <w:b/>
                <w:bCs/>
              </w:rPr>
              <w:t>Impact on CG Indices</w:t>
            </w:r>
          </w:p>
        </w:tc>
        <w:tc>
          <w:tcPr>
            <w:tcW w:w="1815" w:type="dxa"/>
            <w:tcBorders/>
            <w:vAlign w:val="center"/>
          </w:tcPr>
          <w:p>
            <w:pPr>
              <w:pStyle w:val="TableHeading"/>
              <w:ind w:hanging="0" w:start="0" w:end="0"/>
              <w:rPr/>
            </w:pPr>
            <w:r>
              <w:rPr>
                <w:rStyle w:val="Strong"/>
                <w:b/>
                <w:bCs/>
              </w:rPr>
              <w:t>Source</w:t>
            </w:r>
          </w:p>
        </w:tc>
      </w:tr>
      <w:tr>
        <w:trPr/>
        <w:tc>
          <w:tcPr>
            <w:tcW w:w="1748" w:type="dxa"/>
            <w:tcBorders/>
            <w:vAlign w:val="center"/>
          </w:tcPr>
          <w:p>
            <w:pPr>
              <w:pStyle w:val="TableContents"/>
              <w:ind w:hanging="0" w:start="0" w:end="0"/>
              <w:rPr/>
            </w:pPr>
            <w:r>
              <w:rPr>
                <w:rStyle w:val="Strong"/>
              </w:rPr>
              <w:t>Weak Board Oversight</w:t>
            </w:r>
          </w:p>
        </w:tc>
        <w:tc>
          <w:tcPr>
            <w:tcW w:w="1909" w:type="dxa"/>
            <w:tcBorders/>
            <w:vAlign w:val="center"/>
          </w:tcPr>
          <w:p>
            <w:pPr>
              <w:pStyle w:val="TableContents"/>
              <w:ind w:hanging="0" w:start="0" w:end="0"/>
              <w:rPr/>
            </w:pPr>
            <w:r>
              <w:rPr/>
              <w:t>Boards fail to monitor lending due to cronyism.</w:t>
            </w:r>
          </w:p>
        </w:tc>
        <w:tc>
          <w:tcPr>
            <w:tcW w:w="2272" w:type="dxa"/>
            <w:tcBorders/>
            <w:vAlign w:val="center"/>
          </w:tcPr>
          <w:p>
            <w:pPr>
              <w:pStyle w:val="TableContents"/>
              <w:ind w:hanging="0" w:start="0" w:end="0"/>
              <w:rPr/>
            </w:pPr>
            <w:r>
              <w:rPr/>
              <w:t>Oceanic Bank’s insider loans (75% of NPLs).</w:t>
            </w:r>
          </w:p>
        </w:tc>
        <w:tc>
          <w:tcPr>
            <w:tcW w:w="2228" w:type="dxa"/>
            <w:tcBorders/>
            <w:vAlign w:val="center"/>
          </w:tcPr>
          <w:p>
            <w:pPr>
              <w:pStyle w:val="TableContents"/>
              <w:ind w:hanging="0" w:start="0" w:end="0"/>
              <w:rPr/>
            </w:pPr>
            <w:r>
              <w:rPr/>
              <w:t xml:space="preserve">Undermines </w:t>
            </w:r>
            <w:r>
              <w:rPr>
                <w:rStyle w:val="Strong"/>
              </w:rPr>
              <w:t>compliance</w:t>
            </w:r>
            <w:r>
              <w:rPr/>
              <w:t xml:space="preserve"> and risk management.</w:t>
            </w:r>
          </w:p>
        </w:tc>
        <w:tc>
          <w:tcPr>
            <w:tcW w:w="1815" w:type="dxa"/>
            <w:tcBorders/>
            <w:vAlign w:val="center"/>
          </w:tcPr>
          <w:p>
            <w:pPr>
              <w:pStyle w:val="TableContents"/>
              <w:ind w:hanging="0" w:start="0" w:end="0"/>
              <w:rPr/>
            </w:pPr>
            <w:r>
              <w:rPr/>
              <w:t>Sanusi (2009), Ogbechie (2016)</w:t>
            </w:r>
          </w:p>
        </w:tc>
      </w:tr>
      <w:tr>
        <w:trPr/>
        <w:tc>
          <w:tcPr>
            <w:tcW w:w="1748" w:type="dxa"/>
            <w:tcBorders/>
            <w:vAlign w:val="center"/>
          </w:tcPr>
          <w:p>
            <w:pPr>
              <w:pStyle w:val="TableContents"/>
              <w:ind w:hanging="0" w:start="0" w:end="0"/>
              <w:rPr/>
            </w:pPr>
            <w:r>
              <w:rPr>
                <w:rStyle w:val="Strong"/>
              </w:rPr>
              <w:t>Unqualified Management</w:t>
            </w:r>
          </w:p>
        </w:tc>
        <w:tc>
          <w:tcPr>
            <w:tcW w:w="1909" w:type="dxa"/>
            <w:tcBorders/>
            <w:vAlign w:val="center"/>
          </w:tcPr>
          <w:p>
            <w:pPr>
              <w:pStyle w:val="TableContents"/>
              <w:ind w:hanging="0" w:start="0" w:end="0"/>
              <w:rPr/>
            </w:pPr>
            <w:r>
              <w:rPr/>
              <w:t>Politically motivated appointments lack expertise.</w:t>
            </w:r>
          </w:p>
        </w:tc>
        <w:tc>
          <w:tcPr>
            <w:tcW w:w="2272" w:type="dxa"/>
            <w:tcBorders/>
            <w:vAlign w:val="center"/>
          </w:tcPr>
          <w:p>
            <w:pPr>
              <w:pStyle w:val="TableContents"/>
              <w:ind w:hanging="0" w:start="0" w:end="0"/>
              <w:rPr/>
            </w:pPr>
            <w:r>
              <w:rPr/>
              <w:t>Intercontinental Bank’s poor risk controls.</w:t>
            </w:r>
          </w:p>
        </w:tc>
        <w:tc>
          <w:tcPr>
            <w:tcW w:w="2228" w:type="dxa"/>
            <w:tcBorders/>
            <w:vAlign w:val="center"/>
          </w:tcPr>
          <w:p>
            <w:pPr>
              <w:pStyle w:val="TableContents"/>
              <w:ind w:hanging="0" w:start="0" w:end="0"/>
              <w:rPr/>
            </w:pPr>
            <w:r>
              <w:rPr/>
              <w:t xml:space="preserve">Weakens </w:t>
            </w:r>
            <w:r>
              <w:rPr>
                <w:rStyle w:val="Strong"/>
              </w:rPr>
              <w:t>practice indices</w:t>
            </w:r>
            <w:r>
              <w:rPr/>
              <w:t xml:space="preserve">, erodes </w:t>
            </w:r>
            <w:r>
              <w:rPr>
                <w:rStyle w:val="Strong"/>
              </w:rPr>
              <w:t>disclosure</w:t>
            </w:r>
            <w:r>
              <w:rPr/>
              <w:t>.</w:t>
            </w:r>
          </w:p>
        </w:tc>
        <w:tc>
          <w:tcPr>
            <w:tcW w:w="1815" w:type="dxa"/>
            <w:tcBorders/>
            <w:vAlign w:val="center"/>
          </w:tcPr>
          <w:p>
            <w:pPr>
              <w:pStyle w:val="TableContents"/>
              <w:ind w:hanging="0" w:start="0" w:end="0"/>
              <w:rPr/>
            </w:pPr>
            <w:r>
              <w:rPr/>
              <w:t>Nwoko et al. (2022), Owolabi (2013)</w:t>
            </w:r>
          </w:p>
        </w:tc>
      </w:tr>
      <w:tr>
        <w:trPr/>
        <w:tc>
          <w:tcPr>
            <w:tcW w:w="1748" w:type="dxa"/>
            <w:tcBorders/>
            <w:vAlign w:val="center"/>
          </w:tcPr>
          <w:p>
            <w:pPr>
              <w:pStyle w:val="TableContents"/>
              <w:ind w:hanging="0" w:start="0" w:end="0"/>
              <w:rPr/>
            </w:pPr>
            <w:r>
              <w:rPr>
                <w:rStyle w:val="Strong"/>
              </w:rPr>
              <w:t>Regulatory Multiplicity</w:t>
            </w:r>
          </w:p>
        </w:tc>
        <w:tc>
          <w:tcPr>
            <w:tcW w:w="1909" w:type="dxa"/>
            <w:tcBorders/>
            <w:vAlign w:val="center"/>
          </w:tcPr>
          <w:p>
            <w:pPr>
              <w:pStyle w:val="TableContents"/>
              <w:ind w:hanging="0" w:start="0" w:end="0"/>
              <w:rPr/>
            </w:pPr>
            <w:r>
              <w:rPr/>
              <w:t>Conflicting codes enable selective compliance.</w:t>
            </w:r>
          </w:p>
        </w:tc>
        <w:tc>
          <w:tcPr>
            <w:tcW w:w="2272" w:type="dxa"/>
            <w:tcBorders/>
            <w:vAlign w:val="center"/>
          </w:tcPr>
          <w:p>
            <w:pPr>
              <w:pStyle w:val="TableContents"/>
              <w:ind w:hanging="0" w:start="0" w:end="0"/>
              <w:rPr/>
            </w:pPr>
            <w:r>
              <w:rPr/>
              <w:t>Banks exploit CAMA/NCCG gaps to hide NPLs.</w:t>
            </w:r>
          </w:p>
        </w:tc>
        <w:tc>
          <w:tcPr>
            <w:tcW w:w="2228" w:type="dxa"/>
            <w:tcBorders/>
            <w:vAlign w:val="center"/>
          </w:tcPr>
          <w:p>
            <w:pPr>
              <w:pStyle w:val="TableContents"/>
              <w:ind w:hanging="0" w:start="0" w:end="0"/>
              <w:rPr/>
            </w:pPr>
            <w:r>
              <w:rPr/>
              <w:t xml:space="preserve">Reduces </w:t>
            </w:r>
            <w:r>
              <w:rPr>
                <w:rStyle w:val="Strong"/>
              </w:rPr>
              <w:t>compliance</w:t>
            </w:r>
            <w:r>
              <w:rPr/>
              <w:t xml:space="preserve">, affects </w:t>
            </w:r>
            <w:r>
              <w:rPr>
                <w:rStyle w:val="Strong"/>
              </w:rPr>
              <w:t>audit committee independence</w:t>
            </w:r>
            <w:r>
              <w:rPr/>
              <w:t>.</w:t>
            </w:r>
          </w:p>
        </w:tc>
        <w:tc>
          <w:tcPr>
            <w:tcW w:w="1815" w:type="dxa"/>
            <w:tcBorders/>
            <w:vAlign w:val="center"/>
          </w:tcPr>
          <w:p>
            <w:pPr>
              <w:pStyle w:val="TableContents"/>
              <w:ind w:hanging="0" w:start="0" w:end="0"/>
              <w:rPr/>
            </w:pPr>
            <w:r>
              <w:rPr/>
              <w:t>Abdulmalik &amp; Ahmad (2020), Ojo &amp; Ojo (2024)</w:t>
            </w:r>
          </w:p>
        </w:tc>
      </w:tr>
      <w:tr>
        <w:trPr/>
        <w:tc>
          <w:tcPr>
            <w:tcW w:w="1748" w:type="dxa"/>
            <w:tcBorders/>
            <w:vAlign w:val="center"/>
          </w:tcPr>
          <w:p>
            <w:pPr>
              <w:pStyle w:val="TableContents"/>
              <w:ind w:hanging="0" w:start="0" w:end="0"/>
              <w:rPr/>
            </w:pPr>
            <w:r>
              <w:rPr>
                <w:rStyle w:val="Strong"/>
              </w:rPr>
              <w:t>Absent Nomination Committees</w:t>
            </w:r>
          </w:p>
        </w:tc>
        <w:tc>
          <w:tcPr>
            <w:tcW w:w="1909" w:type="dxa"/>
            <w:tcBorders/>
            <w:vAlign w:val="center"/>
          </w:tcPr>
          <w:p>
            <w:pPr>
              <w:pStyle w:val="TableContents"/>
              <w:ind w:hanging="0" w:start="0" w:end="0"/>
              <w:rPr/>
            </w:pPr>
            <w:r>
              <w:rPr/>
              <w:t>61% of banks lack independent committees.</w:t>
            </w:r>
          </w:p>
        </w:tc>
        <w:tc>
          <w:tcPr>
            <w:tcW w:w="2272" w:type="dxa"/>
            <w:tcBorders/>
            <w:vAlign w:val="center"/>
          </w:tcPr>
          <w:p>
            <w:pPr>
              <w:pStyle w:val="TableContents"/>
              <w:ind w:hanging="0" w:start="0" w:end="0"/>
              <w:rPr/>
            </w:pPr>
            <w:r>
              <w:rPr/>
              <w:t>Bank PHB’s mismanagement from unqualified appointees.</w:t>
            </w:r>
          </w:p>
        </w:tc>
        <w:tc>
          <w:tcPr>
            <w:tcW w:w="2228" w:type="dxa"/>
            <w:tcBorders/>
            <w:vAlign w:val="center"/>
          </w:tcPr>
          <w:p>
            <w:pPr>
              <w:pStyle w:val="TableContents"/>
              <w:ind w:hanging="0" w:start="0" w:end="0"/>
              <w:rPr/>
            </w:pPr>
            <w:r>
              <w:rPr/>
              <w:t xml:space="preserve">Compromises </w:t>
            </w:r>
            <w:r>
              <w:rPr>
                <w:rStyle w:val="Strong"/>
              </w:rPr>
              <w:t>practice indices</w:t>
            </w:r>
            <w:r>
              <w:rPr/>
              <w:t xml:space="preserve"> and risk management.</w:t>
            </w:r>
          </w:p>
        </w:tc>
        <w:tc>
          <w:tcPr>
            <w:tcW w:w="1815" w:type="dxa"/>
            <w:tcBorders/>
            <w:vAlign w:val="center"/>
          </w:tcPr>
          <w:p>
            <w:pPr>
              <w:pStyle w:val="TableContents"/>
              <w:rPr/>
            </w:pPr>
            <w:r>
              <w:rPr/>
              <w:t>Adegboye (2020), Afolabi &amp; Afolabi (2024)</w:t>
            </w:r>
          </w:p>
        </w:tc>
      </w:tr>
    </w:tbl>
    <w:p>
      <w:pPr>
        <w:pStyle w:val="BodyText"/>
        <w:spacing w:lineRule="auto" w:line="480"/>
        <w:ind w:hanging="0" w:start="0" w:end="0"/>
        <w:rPr>
          <w:rFonts w:ascii="Times New Roman" w:hAnsi="Times New Roman" w:cs="Arial"/>
        </w:rPr>
      </w:pPr>
      <w:r>
        <w:rPr>
          <w:rStyle w:val="Strong"/>
          <w:rFonts w:cs="Arial" w:ascii="Times New Roman" w:hAnsi="Times New Roman"/>
        </w:rPr>
        <w:t>Note</w:t>
      </w:r>
      <w:r>
        <w:rPr>
          <w:rFonts w:cs="Arial" w:ascii="Times New Roman" w:hAnsi="Times New Roman"/>
        </w:rPr>
        <w:t xml:space="preserve">: Adapted from Sanusi (2009), Nwoko et al. (2022), and Afolabi and Afolabi (2024). Impacts highlight ties to </w:t>
      </w:r>
      <w:r>
        <w:rPr>
          <w:rStyle w:val="Strong"/>
          <w:rFonts w:cs="Arial" w:ascii="Times New Roman" w:hAnsi="Times New Roman"/>
        </w:rPr>
        <w:t>disclosure, practice, compliance, and audit committee independence.</w:t>
      </w:r>
    </w:p>
    <w:p>
      <w:pPr>
        <w:pStyle w:val="BodyText"/>
        <w:spacing w:lineRule="auto" w:line="480"/>
        <w:ind w:hanging="0" w:start="0" w:end="0"/>
        <w:rPr>
          <w:rFonts w:ascii="Times New Roman" w:hAnsi="Times New Roman" w:cs="Arial"/>
        </w:rPr>
      </w:pPr>
      <w:r>
        <w:rPr>
          <w:rStyle w:val="Strong"/>
          <w:rFonts w:cs="Arial" w:ascii="Times New Roman" w:hAnsi="Times New Roman"/>
        </w:rPr>
        <w:t>2.8.3 Data Reliability Issues and Cross-Validation Strategies</w:t>
      </w:r>
    </w:p>
    <w:p>
      <w:pPr>
        <w:pStyle w:val="BodyText"/>
        <w:spacing w:lineRule="auto" w:line="480"/>
        <w:ind w:hanging="0" w:start="0" w:end="0"/>
        <w:rPr>
          <w:rFonts w:ascii="Times New Roman" w:hAnsi="Times New Roman" w:cs="Arial"/>
        </w:rPr>
      </w:pPr>
      <w:r>
        <w:rPr>
          <w:rFonts w:cs="Arial" w:ascii="Times New Roman" w:hAnsi="Times New Roman"/>
        </w:rPr>
        <w:t xml:space="preserve">The reliability of NPL data in Nigeria is a significant concern due to opaque financial reporting and weak governance structures, which obscure the true extent of default risk. Olojede et al. (2020) note that inadequate </w:t>
      </w:r>
      <w:r>
        <w:rPr>
          <w:rStyle w:val="Strong"/>
          <w:rFonts w:cs="Arial" w:ascii="Times New Roman" w:hAnsi="Times New Roman"/>
        </w:rPr>
        <w:t>disclosure</w:t>
      </w:r>
      <w:r>
        <w:rPr>
          <w:rFonts w:cs="Arial" w:ascii="Times New Roman" w:hAnsi="Times New Roman"/>
        </w:rPr>
        <w:t xml:space="preserve"> practices, compounded by </w:t>
      </w:r>
      <w:r>
        <w:rPr>
          <w:rStyle w:val="Strong"/>
          <w:rFonts w:cs="Arial" w:ascii="Times New Roman" w:hAnsi="Times New Roman"/>
        </w:rPr>
        <w:t>audit committee</w:t>
      </w:r>
      <w:r>
        <w:rPr>
          <w:rFonts w:cs="Arial" w:ascii="Times New Roman" w:hAnsi="Times New Roman"/>
        </w:rPr>
        <w:t xml:space="preserve"> capture and external auditor conflicts, lead to financial misstatements, as seen in the 2009 crisis where </w:t>
      </w:r>
      <w:r>
        <w:rPr>
          <w:rStyle w:val="Strong"/>
          <w:rFonts w:cs="Arial" w:ascii="Times New Roman" w:hAnsi="Times New Roman"/>
        </w:rPr>
        <w:t>deposit money banks</w:t>
      </w:r>
      <w:r>
        <w:rPr>
          <w:rFonts w:cs="Arial" w:ascii="Times New Roman" w:hAnsi="Times New Roman"/>
        </w:rPr>
        <w:t xml:space="preserve"> like Oceanic falsified loan portfolios to delay stakeholder awareness of distress. This opacity undermines data accuracy, posing a challenge to using NPLs as a reliable metric. </w:t>
      </w:r>
      <w:r>
        <w:rPr>
          <w:rStyle w:val="Strong"/>
          <w:rFonts w:cs="Arial" w:ascii="Times New Roman" w:hAnsi="Times New Roman"/>
        </w:rPr>
        <w:t>To address this, the research employs a rigorous cross-validation strategy, triangulating questionnaire responses with secondary data from CBN reports, NDIC records, and audited bank financials for 2009–2024 for RQ1 and 2024 for RQ2–RQ4, as recommended by Olojede et al. (2020).</w:t>
      </w:r>
      <w:r>
        <w:rPr>
          <w:rFonts w:cs="Arial" w:ascii="Times New Roman" w:hAnsi="Times New Roman"/>
        </w:rPr>
        <w:t xml:space="preserve"> This multi-source approach ensures that NPL data reflects actual governance impacts, mitigating the risk of manipulation. Additionally, control variables, such as bank size, GDP growth, and loan portfolio diversity, are incorporated into the analysis to isolate the effects of </w:t>
      </w:r>
      <w:r>
        <w:rPr>
          <w:rStyle w:val="Strong"/>
          <w:rFonts w:cs="Arial" w:ascii="Times New Roman" w:hAnsi="Times New Roman"/>
        </w:rPr>
        <w:t>corporate governance indices</w:t>
      </w:r>
      <w:r>
        <w:rPr>
          <w:rFonts w:cs="Arial" w:ascii="Times New Roman" w:hAnsi="Times New Roman"/>
        </w:rPr>
        <w:t xml:space="preserve"> on NPLs, enhancing data robustness (Natufe &amp; Evbayiro-Osagie, 2023). The questionnaire is designed to directly link </w:t>
      </w:r>
      <w:r>
        <w:rPr>
          <w:rStyle w:val="Strong"/>
          <w:rFonts w:cs="Arial" w:ascii="Times New Roman" w:hAnsi="Times New Roman"/>
        </w:rPr>
        <w:t>corporate governance indices</w:t>
      </w:r>
      <w:r>
        <w:rPr>
          <w:rFonts w:cs="Arial" w:ascii="Times New Roman" w:hAnsi="Times New Roman"/>
        </w:rPr>
        <w:t xml:space="preserve"> to NPL outcomes, with items assessing how board oversight, </w:t>
      </w:r>
      <w:r>
        <w:rPr>
          <w:rStyle w:val="Strong"/>
          <w:rFonts w:cs="Arial" w:ascii="Times New Roman" w:hAnsi="Times New Roman"/>
        </w:rPr>
        <w:t>audit committee independence, management qualifications</w:t>
      </w:r>
      <w:r>
        <w:rPr>
          <w:rFonts w:cs="Arial" w:ascii="Times New Roman" w:hAnsi="Times New Roman"/>
        </w:rPr>
        <w:t xml:space="preserve">, and </w:t>
      </w:r>
      <w:r>
        <w:rPr>
          <w:rStyle w:val="Strong"/>
          <w:rFonts w:cs="Arial" w:ascii="Times New Roman" w:hAnsi="Times New Roman"/>
        </w:rPr>
        <w:t>regulatory clarity</w:t>
      </w:r>
      <w:r>
        <w:rPr>
          <w:rFonts w:cs="Arial" w:ascii="Times New Roman" w:hAnsi="Times New Roman"/>
        </w:rPr>
        <w:t xml:space="preserve"> influence loan portfolio quality. For example, questions evaluate the extent to which robust </w:t>
      </w:r>
      <w:r>
        <w:rPr>
          <w:rStyle w:val="Strong"/>
          <w:rFonts w:cs="Arial" w:ascii="Times New Roman" w:hAnsi="Times New Roman"/>
        </w:rPr>
        <w:t>practice indices</w:t>
      </w:r>
      <w:r>
        <w:rPr>
          <w:rFonts w:cs="Arial" w:ascii="Times New Roman" w:hAnsi="Times New Roman"/>
        </w:rPr>
        <w:t xml:space="preserve"> reduce NPLs or how </w:t>
      </w:r>
      <w:r>
        <w:rPr>
          <w:rStyle w:val="Strong"/>
          <w:rFonts w:cs="Arial" w:ascii="Times New Roman" w:hAnsi="Times New Roman"/>
        </w:rPr>
        <w:t>regulatory multiplicity</w:t>
      </w:r>
      <w:r>
        <w:rPr>
          <w:rFonts w:cs="Arial" w:ascii="Times New Roman" w:hAnsi="Times New Roman"/>
        </w:rPr>
        <w:t xml:space="preserve"> exacerbates lending risks, ensuring that the data collected is relevant to the research objectives. </w:t>
      </w:r>
      <w:r>
        <w:rPr>
          <w:rStyle w:val="Strong"/>
          <w:rFonts w:cs="Arial" w:ascii="Times New Roman" w:hAnsi="Times New Roman"/>
        </w:rPr>
        <w:t>Afolabi and Afolabi (2024) add that cross-validation is key to addressing disclosure issues in practice indices, particularly in verifying audit-reported NPLs.</w:t>
      </w:r>
      <w:r>
        <w:rPr>
          <w:rFonts w:cs="Arial" w:ascii="Times New Roman" w:hAnsi="Times New Roman"/>
        </w:rPr>
        <w:t xml:space="preserve"> </w:t>
      </w:r>
      <w:r>
        <w:rPr>
          <w:rStyle w:val="Strong"/>
          <w:rFonts w:cs="Arial" w:ascii="Times New Roman" w:hAnsi="Times New Roman"/>
        </w:rPr>
        <w:t>In 2024, NPLs at 5.62% highlight ongoing opacity (CBN, 2024).</w:t>
      </w:r>
    </w:p>
    <w:p>
      <w:pPr>
        <w:pStyle w:val="BodyText"/>
        <w:spacing w:lineRule="auto" w:line="480"/>
        <w:ind w:hanging="0" w:start="0" w:end="0"/>
        <w:rPr>
          <w:rFonts w:ascii="Times New Roman" w:hAnsi="Times New Roman" w:cs="Arial"/>
        </w:rPr>
      </w:pPr>
      <w:r>
        <w:rPr>
          <w:rStyle w:val="Strong"/>
          <w:rFonts w:cs="Arial" w:ascii="Times New Roman" w:hAnsi="Times New Roman"/>
        </w:rPr>
        <w:t>2.8.4 Consequences for the Economy and Systemic Stability</w:t>
      </w:r>
    </w:p>
    <w:p>
      <w:pPr>
        <w:pStyle w:val="BodyText"/>
        <w:spacing w:lineRule="auto" w:line="480"/>
        <w:ind w:hanging="0" w:start="0" w:end="0"/>
        <w:rPr>
          <w:rFonts w:ascii="Times New Roman" w:hAnsi="Times New Roman" w:cs="Arial"/>
        </w:rPr>
      </w:pPr>
      <w:r>
        <w:rPr>
          <w:rFonts w:cs="Arial" w:ascii="Times New Roman" w:hAnsi="Times New Roman"/>
        </w:rPr>
        <w:t xml:space="preserve">High NPLs, driven by governance deficiencies, pose a significant threat to Nigeria’s </w:t>
      </w:r>
      <w:r>
        <w:rPr>
          <w:rStyle w:val="Strong"/>
          <w:rFonts w:cs="Arial" w:ascii="Times New Roman" w:hAnsi="Times New Roman"/>
        </w:rPr>
        <w:t>deposit money banking</w:t>
      </w:r>
      <w:r>
        <w:rPr>
          <w:rFonts w:cs="Arial" w:ascii="Times New Roman" w:hAnsi="Times New Roman"/>
        </w:rPr>
        <w:t xml:space="preserve"> sector and broader economy, where banks are engines of growth (King &amp; Levine, 1993). The 2009 crisis, with its $3.9 billion bailout, illustrates how NPLs, fueled by insider lending and weak </w:t>
      </w:r>
      <w:r>
        <w:rPr>
          <w:rStyle w:val="Strong"/>
          <w:rFonts w:cs="Arial" w:ascii="Times New Roman" w:hAnsi="Times New Roman"/>
        </w:rPr>
        <w:t>practice indices</w:t>
      </w:r>
      <w:r>
        <w:rPr>
          <w:rFonts w:cs="Arial" w:ascii="Times New Roman" w:hAnsi="Times New Roman"/>
        </w:rPr>
        <w:t>, lead to systemic instability, eroding capital and triggering deposit withdrawals (Sanusi, 2009). Fernando et al. (</w:t>
      </w:r>
      <w:r>
        <w:rPr>
          <w:rStyle w:val="Strong"/>
          <w:rFonts w:cs="Arial" w:ascii="Times New Roman" w:hAnsi="Times New Roman"/>
        </w:rPr>
        <w:t>2019</w:t>
      </w:r>
      <w:r>
        <w:rPr>
          <w:rFonts w:cs="Arial" w:ascii="Times New Roman" w:hAnsi="Times New Roman"/>
        </w:rPr>
        <w:t xml:space="preserve">) note that concentrated ownership, prevalent in Nigeria, correlates with higher default risk, as managers misuse funds, exacerbating NPLs. Reforms like independent risk committees, stringent </w:t>
      </w:r>
      <w:r>
        <w:rPr>
          <w:rStyle w:val="Strong"/>
          <w:rFonts w:cs="Arial" w:ascii="Times New Roman" w:hAnsi="Times New Roman"/>
        </w:rPr>
        <w:t>qualification criteria</w:t>
      </w:r>
      <w:r>
        <w:rPr>
          <w:rFonts w:cs="Arial" w:ascii="Times New Roman" w:hAnsi="Times New Roman"/>
        </w:rPr>
        <w:t xml:space="preserve"> for management, and </w:t>
      </w:r>
      <w:r>
        <w:rPr>
          <w:rStyle w:val="Strong"/>
          <w:rFonts w:cs="Arial" w:ascii="Times New Roman" w:hAnsi="Times New Roman"/>
        </w:rPr>
        <w:t>harmonized regulations</w:t>
      </w:r>
      <w:r>
        <w:rPr>
          <w:rFonts w:cs="Arial" w:ascii="Times New Roman" w:hAnsi="Times New Roman"/>
        </w:rPr>
        <w:t xml:space="preserve">, as advocated by Adegboye (2020) and aligned with Basel III standards (BCBS, 2010), could mitigate NPLs by enhancing oversight and </w:t>
      </w:r>
      <w:r>
        <w:rPr>
          <w:rStyle w:val="Strong"/>
          <w:rFonts w:cs="Arial" w:ascii="Times New Roman" w:hAnsi="Times New Roman"/>
        </w:rPr>
        <w:t>disclosure</w:t>
      </w:r>
      <w:r>
        <w:rPr>
          <w:rFonts w:cs="Arial" w:ascii="Times New Roman" w:hAnsi="Times New Roman"/>
        </w:rPr>
        <w:t xml:space="preserve">. Addressing data reliability through cross-validation and robust auditing, per Olojede et al. (2020), is essential to ensure accurate risk assessment. These reforms align with research objective OB1 and hypothesis H1, emphasizing robust </w:t>
      </w:r>
      <w:r>
        <w:rPr>
          <w:rStyle w:val="Strong"/>
          <w:rFonts w:cs="Arial" w:ascii="Times New Roman" w:hAnsi="Times New Roman"/>
        </w:rPr>
        <w:t>practice indices</w:t>
      </w:r>
      <w:r>
        <w:rPr>
          <w:rFonts w:cs="Arial" w:ascii="Times New Roman" w:hAnsi="Times New Roman"/>
        </w:rPr>
        <w:t xml:space="preserve"> to reduce NPLs, and OB2 and H2 by emphasizing </w:t>
      </w:r>
      <w:r>
        <w:rPr>
          <w:rStyle w:val="Strong"/>
          <w:rFonts w:cs="Arial" w:ascii="Times New Roman" w:hAnsi="Times New Roman"/>
        </w:rPr>
        <w:t>audit committee independence</w:t>
      </w:r>
      <w:r>
        <w:rPr>
          <w:rFonts w:cs="Arial" w:ascii="Times New Roman" w:hAnsi="Times New Roman"/>
        </w:rPr>
        <w:t xml:space="preserve">, setting the stage for further analysis of governance reforms in Nigeria’s </w:t>
      </w:r>
      <w:r>
        <w:rPr>
          <w:rStyle w:val="Strong"/>
          <w:rFonts w:cs="Arial" w:ascii="Times New Roman" w:hAnsi="Times New Roman"/>
        </w:rPr>
        <w:t>deposit money banking</w:t>
      </w:r>
      <w:r>
        <w:rPr>
          <w:rFonts w:cs="Arial" w:ascii="Times New Roman" w:hAnsi="Times New Roman"/>
        </w:rPr>
        <w:t xml:space="preserve"> sector (Ozili, 2020). </w:t>
      </w:r>
      <w:r>
        <w:rPr>
          <w:rStyle w:val="Strong"/>
          <w:rFonts w:cs="Arial" w:ascii="Times New Roman" w:hAnsi="Times New Roman"/>
        </w:rPr>
        <w:t>This approach ensures robust analysis and meaningful contributions to corporate governance literature for Nigeria’s post-2004 consolidation banking sector (Ozili, 2020). Ojo and Ojo (2024) further link NPLs to audit committee independence and practice indices, noting that improved disclosure can enhance compliance.</w:t>
      </w:r>
      <w:r>
        <w:rPr>
          <w:rFonts w:cs="Arial" w:ascii="Times New Roman" w:hAnsi="Times New Roman"/>
        </w:rPr>
        <w:t xml:space="preserve"> </w:t>
      </w:r>
      <w:r>
        <w:rPr>
          <w:rStyle w:val="Strong"/>
          <w:rFonts w:cs="Arial" w:ascii="Times New Roman" w:hAnsi="Times New Roman"/>
        </w:rPr>
        <w:t>In 2024, with NPLs at 5.62% amid recapitalization, high ratios could hinder 3.4% GDP growth (IMF, 2024).</w:t>
      </w:r>
    </w:p>
    <w:p>
      <w:pPr>
        <w:pStyle w:val="BodyText"/>
        <w:spacing w:lineRule="auto" w:line="480"/>
        <w:ind w:hanging="0" w:start="0" w:end="0"/>
        <w:rPr>
          <w:rFonts w:ascii="Times New Roman" w:hAnsi="Times New Roman" w:cs="Arial"/>
        </w:rPr>
      </w:pPr>
      <w:r>
        <w:rPr>
          <w:rStyle w:val="Strong"/>
          <w:rFonts w:cs="Arial" w:ascii="Times New Roman" w:hAnsi="Times New Roman"/>
        </w:rPr>
        <w:t>2.8.5 Proposed Reforms to Mitigate NPLs</w:t>
      </w:r>
    </w:p>
    <w:p>
      <w:pPr>
        <w:pStyle w:val="BodyText"/>
        <w:spacing w:lineRule="auto" w:line="480"/>
        <w:ind w:hanging="0" w:start="0" w:end="0"/>
        <w:rPr>
          <w:rFonts w:ascii="Times New Roman" w:hAnsi="Times New Roman" w:cs="Arial"/>
        </w:rPr>
      </w:pPr>
      <w:r>
        <w:rPr>
          <w:rFonts w:cs="Arial" w:ascii="Times New Roman" w:hAnsi="Times New Roman"/>
        </w:rPr>
        <w:t xml:space="preserve">Reforms to address NPL drivers include independent risk committees, merit-based appointments, and </w:t>
      </w:r>
      <w:r>
        <w:rPr>
          <w:rStyle w:val="Strong"/>
          <w:rFonts w:cs="Arial" w:ascii="Times New Roman" w:hAnsi="Times New Roman"/>
        </w:rPr>
        <w:t>harmonized regulations</w:t>
      </w:r>
      <w:r>
        <w:rPr>
          <w:rFonts w:cs="Arial" w:ascii="Times New Roman" w:hAnsi="Times New Roman"/>
        </w:rPr>
        <w:t xml:space="preserve">. These align with Basel III and OECD standards, enhancing </w:t>
      </w:r>
      <w:r>
        <w:rPr>
          <w:rStyle w:val="Strong"/>
          <w:rFonts w:cs="Arial" w:ascii="Times New Roman" w:hAnsi="Times New Roman"/>
        </w:rPr>
        <w:t>disclosure and compliance</w:t>
      </w:r>
      <w:r>
        <w:rPr>
          <w:rFonts w:cs="Arial" w:ascii="Times New Roman" w:hAnsi="Times New Roman"/>
        </w:rPr>
        <w:t xml:space="preserve"> (BCBS, 2010; OECD, 2023).</w:t>
      </w:r>
    </w:p>
    <w:p>
      <w:pPr>
        <w:pStyle w:val="BodyText"/>
        <w:spacing w:lineRule="auto" w:line="480"/>
        <w:ind w:hanging="0" w:start="0" w:end="0"/>
        <w:rPr>
          <w:rFonts w:ascii="Times New Roman" w:hAnsi="Times New Roman" w:cs="Arial"/>
        </w:rPr>
      </w:pPr>
      <w:r>
        <w:rPr>
          <w:rStyle w:val="Strong"/>
          <w:rFonts w:cs="Arial" w:ascii="Times New Roman" w:hAnsi="Times New Roman"/>
        </w:rPr>
        <w:t>Table 2.15: Proposed Reforms to Mitigate NPLs Through Governance Enhancements</w:t>
      </w:r>
    </w:p>
    <w:tbl>
      <w:tblPr>
        <w:tblW w:w="9972" w:type="dxa"/>
        <w:jc w:val="start"/>
        <w:tblInd w:w="0" w:type="dxa"/>
        <w:tblLayout w:type="fixed"/>
        <w:tblCellMar>
          <w:top w:w="28" w:type="dxa"/>
          <w:start w:w="28" w:type="dxa"/>
          <w:bottom w:w="28" w:type="dxa"/>
          <w:end w:w="28" w:type="dxa"/>
        </w:tblCellMar>
      </w:tblPr>
      <w:tblGrid>
        <w:gridCol w:w="1849"/>
        <w:gridCol w:w="2067"/>
        <w:gridCol w:w="2336"/>
        <w:gridCol w:w="1973"/>
        <w:gridCol w:w="1747"/>
      </w:tblGrid>
      <w:tr>
        <w:trPr>
          <w:tblHeader w:val="true"/>
        </w:trPr>
        <w:tc>
          <w:tcPr>
            <w:tcW w:w="1849" w:type="dxa"/>
            <w:tcBorders/>
            <w:vAlign w:val="center"/>
          </w:tcPr>
          <w:p>
            <w:pPr>
              <w:pStyle w:val="TableHeading"/>
              <w:rPr/>
            </w:pPr>
            <w:r>
              <w:rPr>
                <w:rStyle w:val="Strong"/>
                <w:b/>
                <w:bCs/>
              </w:rPr>
              <w:t>Reform</w:t>
            </w:r>
          </w:p>
        </w:tc>
        <w:tc>
          <w:tcPr>
            <w:tcW w:w="2067" w:type="dxa"/>
            <w:tcBorders/>
            <w:vAlign w:val="center"/>
          </w:tcPr>
          <w:p>
            <w:pPr>
              <w:pStyle w:val="TableHeading"/>
              <w:rPr/>
            </w:pPr>
            <w:r>
              <w:rPr>
                <w:rStyle w:val="Strong"/>
                <w:b/>
                <w:bCs/>
              </w:rPr>
              <w:t>Description</w:t>
            </w:r>
          </w:p>
        </w:tc>
        <w:tc>
          <w:tcPr>
            <w:tcW w:w="2336" w:type="dxa"/>
            <w:tcBorders/>
            <w:vAlign w:val="center"/>
          </w:tcPr>
          <w:p>
            <w:pPr>
              <w:pStyle w:val="TableHeading"/>
              <w:rPr/>
            </w:pPr>
            <w:r>
              <w:rPr>
                <w:rStyle w:val="Strong"/>
                <w:b/>
                <w:bCs/>
              </w:rPr>
              <w:t>Expected Impact</w:t>
            </w:r>
          </w:p>
        </w:tc>
        <w:tc>
          <w:tcPr>
            <w:tcW w:w="1973" w:type="dxa"/>
            <w:tcBorders/>
            <w:vAlign w:val="center"/>
          </w:tcPr>
          <w:p>
            <w:pPr>
              <w:pStyle w:val="TableHeading"/>
              <w:rPr/>
            </w:pPr>
            <w:r>
              <w:rPr>
                <w:rStyle w:val="Strong"/>
                <w:b/>
                <w:bCs/>
              </w:rPr>
              <w:t>Global Benchmark</w:t>
            </w:r>
          </w:p>
        </w:tc>
        <w:tc>
          <w:tcPr>
            <w:tcW w:w="1747" w:type="dxa"/>
            <w:tcBorders/>
            <w:vAlign w:val="center"/>
          </w:tcPr>
          <w:p>
            <w:pPr>
              <w:pStyle w:val="TableHeading"/>
              <w:ind w:hanging="0" w:start="0" w:end="0"/>
              <w:rPr/>
            </w:pPr>
            <w:r>
              <w:rPr>
                <w:rStyle w:val="Strong"/>
                <w:b/>
                <w:bCs/>
              </w:rPr>
              <w:t>Source</w:t>
            </w:r>
          </w:p>
        </w:tc>
      </w:tr>
      <w:tr>
        <w:trPr/>
        <w:tc>
          <w:tcPr>
            <w:tcW w:w="1849" w:type="dxa"/>
            <w:tcBorders/>
            <w:vAlign w:val="center"/>
          </w:tcPr>
          <w:p>
            <w:pPr>
              <w:pStyle w:val="TableContents"/>
              <w:ind w:hanging="0" w:start="0" w:end="0"/>
              <w:rPr/>
            </w:pPr>
            <w:r>
              <w:rPr>
                <w:rStyle w:val="Strong"/>
              </w:rPr>
              <w:t>Independent Risk Committees</w:t>
            </w:r>
          </w:p>
        </w:tc>
        <w:tc>
          <w:tcPr>
            <w:tcW w:w="2067" w:type="dxa"/>
            <w:tcBorders/>
            <w:vAlign w:val="center"/>
          </w:tcPr>
          <w:p>
            <w:pPr>
              <w:pStyle w:val="TableContents"/>
              <w:ind w:hanging="0" w:start="0" w:end="0"/>
              <w:rPr/>
            </w:pPr>
            <w:r>
              <w:rPr/>
              <w:t>Mandate committees for loan oversight.</w:t>
            </w:r>
          </w:p>
        </w:tc>
        <w:tc>
          <w:tcPr>
            <w:tcW w:w="2336" w:type="dxa"/>
            <w:tcBorders/>
            <w:vAlign w:val="center"/>
          </w:tcPr>
          <w:p>
            <w:pPr>
              <w:pStyle w:val="TableContents"/>
              <w:ind w:hanging="0" w:start="0" w:end="0"/>
              <w:rPr/>
            </w:pPr>
            <w:r>
              <w:rPr/>
              <w:t>Reduces lax lending, lowers NPLs.</w:t>
            </w:r>
          </w:p>
        </w:tc>
        <w:tc>
          <w:tcPr>
            <w:tcW w:w="1973" w:type="dxa"/>
            <w:tcBorders/>
            <w:vAlign w:val="center"/>
          </w:tcPr>
          <w:p>
            <w:pPr>
              <w:pStyle w:val="TableContents"/>
              <w:ind w:hanging="0" w:start="0" w:end="0"/>
              <w:rPr/>
            </w:pPr>
            <w:r>
              <w:rPr/>
              <w:t>Basel III: Risk committee mandates (BCBS, 2010).</w:t>
            </w:r>
          </w:p>
        </w:tc>
        <w:tc>
          <w:tcPr>
            <w:tcW w:w="1747" w:type="dxa"/>
            <w:tcBorders/>
            <w:vAlign w:val="center"/>
          </w:tcPr>
          <w:p>
            <w:pPr>
              <w:pStyle w:val="TableContents"/>
              <w:ind w:hanging="0" w:start="0" w:end="0"/>
              <w:rPr/>
            </w:pPr>
            <w:r>
              <w:rPr/>
              <w:t>Adegboye (2020)</w:t>
            </w:r>
          </w:p>
        </w:tc>
      </w:tr>
      <w:tr>
        <w:trPr/>
        <w:tc>
          <w:tcPr>
            <w:tcW w:w="1849" w:type="dxa"/>
            <w:tcBorders/>
            <w:vAlign w:val="center"/>
          </w:tcPr>
          <w:p>
            <w:pPr>
              <w:pStyle w:val="TableContents"/>
              <w:ind w:hanging="0" w:start="0" w:end="0"/>
              <w:rPr/>
            </w:pPr>
            <w:r>
              <w:rPr>
                <w:rStyle w:val="Strong"/>
              </w:rPr>
              <w:t>Merit-Based Appointments</w:t>
            </w:r>
          </w:p>
        </w:tc>
        <w:tc>
          <w:tcPr>
            <w:tcW w:w="2067" w:type="dxa"/>
            <w:tcBorders/>
            <w:vAlign w:val="center"/>
          </w:tcPr>
          <w:p>
            <w:pPr>
              <w:pStyle w:val="TableContents"/>
              <w:ind w:hanging="0" w:start="0" w:end="0"/>
              <w:rPr/>
            </w:pPr>
            <w:r>
              <w:rPr/>
              <w:t xml:space="preserve">Enforce </w:t>
            </w:r>
            <w:r>
              <w:rPr>
                <w:rStyle w:val="Strong"/>
              </w:rPr>
              <w:t>qualification criteria</w:t>
            </w:r>
            <w:r>
              <w:rPr/>
              <w:t xml:space="preserve"> for executives.</w:t>
            </w:r>
          </w:p>
        </w:tc>
        <w:tc>
          <w:tcPr>
            <w:tcW w:w="2336" w:type="dxa"/>
            <w:tcBorders/>
            <w:vAlign w:val="center"/>
          </w:tcPr>
          <w:p>
            <w:pPr>
              <w:pStyle w:val="TableContents"/>
              <w:ind w:hanging="0" w:start="0" w:end="0"/>
              <w:rPr/>
            </w:pPr>
            <w:r>
              <w:rPr/>
              <w:t xml:space="preserve">Improves risk assessment, enhances </w:t>
            </w:r>
            <w:r>
              <w:rPr>
                <w:rStyle w:val="Strong"/>
              </w:rPr>
              <w:t>practice indices</w:t>
            </w:r>
            <w:r>
              <w:rPr/>
              <w:t>.</w:t>
            </w:r>
          </w:p>
        </w:tc>
        <w:tc>
          <w:tcPr>
            <w:tcW w:w="1973" w:type="dxa"/>
            <w:tcBorders/>
            <w:vAlign w:val="center"/>
          </w:tcPr>
          <w:p>
            <w:pPr>
              <w:pStyle w:val="TableContents"/>
              <w:ind w:hanging="0" w:start="0" w:end="0"/>
              <w:rPr/>
            </w:pPr>
            <w:r>
              <w:rPr/>
              <w:t>OECD: Competency standards (OECD, 2023).</w:t>
            </w:r>
          </w:p>
        </w:tc>
        <w:tc>
          <w:tcPr>
            <w:tcW w:w="1747" w:type="dxa"/>
            <w:tcBorders/>
            <w:vAlign w:val="center"/>
          </w:tcPr>
          <w:p>
            <w:pPr>
              <w:pStyle w:val="TableContents"/>
              <w:ind w:hanging="0" w:start="0" w:end="0"/>
              <w:rPr/>
            </w:pPr>
            <w:r>
              <w:rPr/>
              <w:t>Nwoko et al. (2022)</w:t>
            </w:r>
          </w:p>
        </w:tc>
      </w:tr>
      <w:tr>
        <w:trPr/>
        <w:tc>
          <w:tcPr>
            <w:tcW w:w="1849" w:type="dxa"/>
            <w:tcBorders/>
            <w:vAlign w:val="center"/>
          </w:tcPr>
          <w:p>
            <w:pPr>
              <w:pStyle w:val="TableContents"/>
              <w:ind w:hanging="0" w:start="0" w:end="0"/>
              <w:rPr/>
            </w:pPr>
            <w:r>
              <w:rPr>
                <w:rStyle w:val="Strong"/>
              </w:rPr>
              <w:t>Harmonized Regulations</w:t>
            </w:r>
          </w:p>
        </w:tc>
        <w:tc>
          <w:tcPr>
            <w:tcW w:w="2067" w:type="dxa"/>
            <w:tcBorders/>
            <w:vAlign w:val="center"/>
          </w:tcPr>
          <w:p>
            <w:pPr>
              <w:pStyle w:val="TableContents"/>
              <w:ind w:hanging="0" w:start="0" w:end="0"/>
              <w:rPr/>
            </w:pPr>
            <w:r>
              <w:rPr/>
              <w:t xml:space="preserve">Unify codes like CAMA/NCCG for </w:t>
            </w:r>
            <w:r>
              <w:rPr>
                <w:rStyle w:val="Strong"/>
              </w:rPr>
              <w:t>regulatory clarity</w:t>
            </w:r>
            <w:r>
              <w:rPr/>
              <w:t>.</w:t>
            </w:r>
          </w:p>
        </w:tc>
        <w:tc>
          <w:tcPr>
            <w:tcW w:w="2336" w:type="dxa"/>
            <w:tcBorders/>
            <w:vAlign w:val="center"/>
          </w:tcPr>
          <w:p>
            <w:pPr>
              <w:pStyle w:val="TableContents"/>
              <w:ind w:hanging="0" w:start="0" w:end="0"/>
              <w:rPr/>
            </w:pPr>
            <w:r>
              <w:rPr/>
              <w:t xml:space="preserve">Minimizes selective </w:t>
            </w:r>
            <w:r>
              <w:rPr>
                <w:rStyle w:val="Strong"/>
              </w:rPr>
              <w:t>compliance</w:t>
            </w:r>
            <w:r>
              <w:rPr/>
              <w:t xml:space="preserve">, boosts </w:t>
            </w:r>
            <w:r>
              <w:rPr>
                <w:rStyle w:val="Strong"/>
              </w:rPr>
              <w:t>disclosure</w:t>
            </w:r>
            <w:r>
              <w:rPr/>
              <w:t>.</w:t>
            </w:r>
          </w:p>
        </w:tc>
        <w:tc>
          <w:tcPr>
            <w:tcW w:w="1973" w:type="dxa"/>
            <w:tcBorders/>
            <w:vAlign w:val="center"/>
          </w:tcPr>
          <w:p>
            <w:pPr>
              <w:pStyle w:val="TableContents"/>
              <w:ind w:hanging="0" w:start="0" w:end="0"/>
              <w:rPr/>
            </w:pPr>
            <w:r>
              <w:rPr/>
              <w:t>EU integrated frameworks (EU, 2019).</w:t>
            </w:r>
          </w:p>
        </w:tc>
        <w:tc>
          <w:tcPr>
            <w:tcW w:w="1747" w:type="dxa"/>
            <w:tcBorders/>
            <w:vAlign w:val="center"/>
          </w:tcPr>
          <w:p>
            <w:pPr>
              <w:pStyle w:val="TableContents"/>
              <w:ind w:hanging="0" w:start="0" w:end="0"/>
              <w:rPr/>
            </w:pPr>
            <w:r>
              <w:rPr/>
              <w:t>Abdulmalik &amp; Ahmad (2020)</w:t>
            </w:r>
          </w:p>
        </w:tc>
      </w:tr>
      <w:tr>
        <w:trPr/>
        <w:tc>
          <w:tcPr>
            <w:tcW w:w="1849" w:type="dxa"/>
            <w:tcBorders/>
            <w:vAlign w:val="center"/>
          </w:tcPr>
          <w:p>
            <w:pPr>
              <w:pStyle w:val="TableContents"/>
              <w:ind w:hanging="0" w:start="0" w:end="0"/>
              <w:rPr/>
            </w:pPr>
            <w:r>
              <w:rPr>
                <w:rStyle w:val="Strong"/>
              </w:rPr>
              <w:t>Enhanced Data Validation</w:t>
            </w:r>
          </w:p>
        </w:tc>
        <w:tc>
          <w:tcPr>
            <w:tcW w:w="2067" w:type="dxa"/>
            <w:tcBorders/>
            <w:vAlign w:val="center"/>
          </w:tcPr>
          <w:p>
            <w:pPr>
              <w:pStyle w:val="TableContents"/>
              <w:ind w:hanging="0" w:start="0" w:end="0"/>
              <w:rPr/>
            </w:pPr>
            <w:r>
              <w:rPr/>
              <w:t>Mandate cross-audits for NPL reporting.</w:t>
            </w:r>
          </w:p>
        </w:tc>
        <w:tc>
          <w:tcPr>
            <w:tcW w:w="2336" w:type="dxa"/>
            <w:tcBorders/>
            <w:vAlign w:val="center"/>
          </w:tcPr>
          <w:p>
            <w:pPr>
              <w:pStyle w:val="TableContents"/>
              <w:ind w:hanging="0" w:start="0" w:end="0"/>
              <w:rPr/>
            </w:pPr>
            <w:r>
              <w:rPr/>
              <w:t xml:space="preserve">Improves reliability, supports </w:t>
            </w:r>
            <w:r>
              <w:rPr>
                <w:rStyle w:val="Strong"/>
              </w:rPr>
              <w:t>audit committee independence</w:t>
            </w:r>
            <w:r>
              <w:rPr/>
              <w:t>.</w:t>
            </w:r>
          </w:p>
        </w:tc>
        <w:tc>
          <w:tcPr>
            <w:tcW w:w="1973" w:type="dxa"/>
            <w:tcBorders/>
            <w:vAlign w:val="center"/>
          </w:tcPr>
          <w:p>
            <w:pPr>
              <w:pStyle w:val="TableContents"/>
              <w:ind w:hanging="0" w:start="0" w:end="0"/>
              <w:rPr/>
            </w:pPr>
            <w:r>
              <w:rPr/>
              <w:t>IFRS 9: Loan classification (IASB, 2014).</w:t>
            </w:r>
          </w:p>
        </w:tc>
        <w:tc>
          <w:tcPr>
            <w:tcW w:w="1747" w:type="dxa"/>
            <w:tcBorders/>
            <w:vAlign w:val="center"/>
          </w:tcPr>
          <w:p>
            <w:pPr>
              <w:pStyle w:val="TableContents"/>
              <w:rPr/>
            </w:pPr>
            <w:r>
              <w:rPr/>
              <w:t>Olojede et al. (2020), Ojo &amp; Ojo (2024)</w:t>
            </w:r>
          </w:p>
        </w:tc>
      </w:tr>
    </w:tbl>
    <w:p>
      <w:pPr>
        <w:pStyle w:val="BodyText"/>
        <w:spacing w:lineRule="auto" w:line="480"/>
        <w:ind w:hanging="0" w:start="0" w:end="0"/>
        <w:rPr>
          <w:rFonts w:ascii="Times New Roman" w:hAnsi="Times New Roman" w:cs="Arial"/>
        </w:rPr>
      </w:pPr>
      <w:r>
        <w:rPr>
          <w:rStyle w:val="Strong"/>
          <w:rFonts w:cs="Arial" w:ascii="Times New Roman" w:hAnsi="Times New Roman"/>
        </w:rPr>
        <w:t>Note</w:t>
      </w:r>
      <w:r>
        <w:rPr>
          <w:rFonts w:cs="Arial" w:ascii="Times New Roman" w:hAnsi="Times New Roman"/>
        </w:rPr>
        <w:t xml:space="preserve">: Adapted from Adegboye (2020), Nwoko et al. (2022), and Afolabi and Afolabi (2024). Reforms address </w:t>
      </w:r>
      <w:r>
        <w:rPr>
          <w:rStyle w:val="Strong"/>
          <w:rFonts w:cs="Arial" w:ascii="Times New Roman" w:hAnsi="Times New Roman"/>
        </w:rPr>
        <w:t>disclosure, practice, compliance, and audit committee independence.</w:t>
      </w:r>
    </w:p>
    <w:p>
      <w:pPr>
        <w:pStyle w:val="BodyText"/>
        <w:spacing w:lineRule="auto" w:line="480"/>
        <w:ind w:hanging="0" w:start="0" w:end="0"/>
        <w:rPr>
          <w:rFonts w:ascii="Times New Roman" w:hAnsi="Times New Roman" w:cs="Arial"/>
        </w:rPr>
      </w:pPr>
      <w:r>
        <w:rPr>
          <w:rStyle w:val="Strong"/>
          <w:rFonts w:cs="Arial" w:ascii="Times New Roman" w:hAnsi="Times New Roman"/>
        </w:rPr>
        <w:t>2.8.6 Ties to Corporate Governance Indices</w:t>
      </w:r>
    </w:p>
    <w:p>
      <w:pPr>
        <w:pStyle w:val="BodyText"/>
        <w:spacing w:lineRule="auto" w:line="480"/>
        <w:ind w:hanging="0" w:start="0" w:end="0"/>
        <w:rPr>
          <w:rFonts w:ascii="Times New Roman" w:hAnsi="Times New Roman" w:cs="Arial"/>
        </w:rPr>
      </w:pPr>
      <w:r>
        <w:rPr>
          <w:rFonts w:cs="Arial" w:ascii="Times New Roman" w:hAnsi="Times New Roman"/>
        </w:rPr>
        <w:t xml:space="preserve">NPLs in Nigeria’s </w:t>
      </w:r>
      <w:r>
        <w:rPr>
          <w:rStyle w:val="Strong"/>
          <w:rFonts w:cs="Arial" w:ascii="Times New Roman" w:hAnsi="Times New Roman"/>
        </w:rPr>
        <w:t>deposit money banking</w:t>
      </w:r>
      <w:r>
        <w:rPr>
          <w:rFonts w:cs="Arial" w:ascii="Times New Roman" w:hAnsi="Times New Roman"/>
        </w:rPr>
        <w:t xml:space="preserve"> sector undermine the core </w:t>
      </w:r>
      <w:r>
        <w:rPr>
          <w:rStyle w:val="Strong"/>
          <w:rFonts w:cs="Arial" w:ascii="Times New Roman" w:hAnsi="Times New Roman"/>
        </w:rPr>
        <w:t>indices of disclosure, practice, and compliance</w:t>
      </w:r>
      <w:r>
        <w:rPr>
          <w:rFonts w:cs="Arial" w:ascii="Times New Roman" w:hAnsi="Times New Roman"/>
        </w:rPr>
        <w:t xml:space="preserve">. Weak oversight erodes </w:t>
      </w:r>
      <w:r>
        <w:rPr>
          <w:rStyle w:val="Strong"/>
          <w:rFonts w:cs="Arial" w:ascii="Times New Roman" w:hAnsi="Times New Roman"/>
        </w:rPr>
        <w:t>disclosure</w:t>
      </w:r>
      <w:r>
        <w:rPr>
          <w:rFonts w:cs="Arial" w:ascii="Times New Roman" w:hAnsi="Times New Roman"/>
        </w:rPr>
        <w:t xml:space="preserve"> by allowing misreporting, as in Oceanic Bank (Sanusi, 2009). </w:t>
      </w:r>
      <w:r>
        <w:rPr>
          <w:rStyle w:val="Strong"/>
          <w:rFonts w:cs="Arial" w:ascii="Times New Roman" w:hAnsi="Times New Roman"/>
        </w:rPr>
        <w:t>Compliance</w:t>
      </w:r>
      <w:r>
        <w:rPr>
          <w:rFonts w:cs="Arial" w:ascii="Times New Roman" w:hAnsi="Times New Roman"/>
        </w:rPr>
        <w:t xml:space="preserve"> is compromised by </w:t>
      </w:r>
      <w:r>
        <w:rPr>
          <w:rStyle w:val="Strong"/>
          <w:rFonts w:cs="Arial" w:ascii="Times New Roman" w:hAnsi="Times New Roman"/>
        </w:rPr>
        <w:t>unqualified management</w:t>
      </w:r>
      <w:r>
        <w:rPr>
          <w:rFonts w:cs="Arial" w:ascii="Times New Roman" w:hAnsi="Times New Roman"/>
        </w:rPr>
        <w:t xml:space="preserve">, enabling insider abuses (Nwoko et al., 2022). </w:t>
      </w:r>
      <w:r>
        <w:rPr>
          <w:rStyle w:val="Strong"/>
          <w:rFonts w:cs="Arial" w:ascii="Times New Roman" w:hAnsi="Times New Roman"/>
        </w:rPr>
        <w:t>Practice indices</w:t>
      </w:r>
      <w:r>
        <w:rPr>
          <w:rFonts w:cs="Arial" w:ascii="Times New Roman" w:hAnsi="Times New Roman"/>
        </w:rPr>
        <w:t xml:space="preserve"> suffer from lax lending, leading to instability (Owolabi, 2013). Risk management is directly weakened, driving NPL spikes (Adegboye, 2020). </w:t>
      </w:r>
      <w:r>
        <w:rPr>
          <w:rStyle w:val="Strong"/>
          <w:rFonts w:cs="Arial" w:ascii="Times New Roman" w:hAnsi="Times New Roman"/>
        </w:rPr>
        <w:t>Audit committee independence</w:t>
      </w:r>
      <w:r>
        <w:rPr>
          <w:rFonts w:cs="Arial" w:ascii="Times New Roman" w:hAnsi="Times New Roman"/>
        </w:rPr>
        <w:t xml:space="preserve"> is undermined by opaque data, as noted by Ojo and Ojo (2024), necessitating integrated reforms.</w:t>
      </w:r>
    </w:p>
    <w:p>
      <w:pPr>
        <w:pStyle w:val="BodyText"/>
        <w:spacing w:lineRule="auto" w:line="480"/>
        <w:ind w:hanging="0" w:start="0" w:end="0"/>
        <w:rPr>
          <w:rFonts w:ascii="Times New Roman" w:hAnsi="Times New Roman" w:cs="Arial"/>
        </w:rPr>
      </w:pPr>
      <w:r>
        <w:rPr>
          <w:rFonts w:cs="Arial" w:ascii="Times New Roman" w:hAnsi="Times New Roman"/>
        </w:rPr>
        <w:t xml:space="preserve">NPLs serve as a critical measure of default risk in Nigeria’s </w:t>
      </w:r>
      <w:r>
        <w:rPr>
          <w:rStyle w:val="Strong"/>
          <w:rFonts w:cs="Arial" w:ascii="Times New Roman" w:hAnsi="Times New Roman"/>
        </w:rPr>
        <w:t>deposit money banking</w:t>
      </w:r>
      <w:r>
        <w:rPr>
          <w:rFonts w:cs="Arial" w:ascii="Times New Roman" w:hAnsi="Times New Roman"/>
        </w:rPr>
        <w:t xml:space="preserve"> sector, driven by governance deficiencies like weak oversight, </w:t>
      </w:r>
      <w:r>
        <w:rPr>
          <w:rStyle w:val="Strong"/>
          <w:rFonts w:cs="Arial" w:ascii="Times New Roman" w:hAnsi="Times New Roman"/>
        </w:rPr>
        <w:t>unqualified management</w:t>
      </w:r>
      <w:r>
        <w:rPr>
          <w:rFonts w:cs="Arial" w:ascii="Times New Roman" w:hAnsi="Times New Roman"/>
        </w:rPr>
        <w:t xml:space="preserve">, and </w:t>
      </w:r>
      <w:r>
        <w:rPr>
          <w:rStyle w:val="Strong"/>
          <w:rFonts w:cs="Arial" w:ascii="Times New Roman" w:hAnsi="Times New Roman"/>
        </w:rPr>
        <w:t>regulatory multiplicity</w:t>
      </w:r>
      <w:r>
        <w:rPr>
          <w:rFonts w:cs="Arial" w:ascii="Times New Roman" w:hAnsi="Times New Roman"/>
        </w:rPr>
        <w:t xml:space="preserve">, with peaks at 37% in 2009 and 20% in 2017 (Fernando et al., </w:t>
      </w:r>
      <w:r>
        <w:rPr>
          <w:rStyle w:val="Strong"/>
          <w:rFonts w:cs="Arial" w:ascii="Times New Roman" w:hAnsi="Times New Roman"/>
        </w:rPr>
        <w:t>2019</w:t>
      </w:r>
      <w:r>
        <w:rPr>
          <w:rFonts w:cs="Arial" w:ascii="Times New Roman" w:hAnsi="Times New Roman"/>
        </w:rPr>
        <w:t xml:space="preserve">; Natufe &amp; Evbayiro-Osagie, 2023; Adegboye, 2020; Nwosu, 2020). </w:t>
      </w:r>
      <w:r>
        <w:rPr>
          <w:rStyle w:val="Strong"/>
          <w:rFonts w:cs="Arial" w:ascii="Times New Roman" w:hAnsi="Times New Roman"/>
        </w:rPr>
        <w:t>Recent 2024 data shows 5.62% in April, highlighting persistence (CBN, 2024).</w:t>
      </w:r>
      <w:r>
        <w:rPr>
          <w:rFonts w:cs="Arial" w:ascii="Times New Roman" w:hAnsi="Times New Roman"/>
        </w:rPr>
        <w:t xml:space="preserve"> Data reliability issues, stemming from opaque reporting, necessitate cross-validation to ensure accurate NPL measurement (Olojede et al., 2020). The 2009 crisis highlights how these failures lead to systemic instability, underscoring the need for reforms aligned with global standards to enhance governance and reduce default risk. This section supports OB1 and H1 by linking </w:t>
      </w:r>
      <w:r>
        <w:rPr>
          <w:rStyle w:val="Strong"/>
          <w:rFonts w:cs="Arial" w:ascii="Times New Roman" w:hAnsi="Times New Roman"/>
        </w:rPr>
        <w:t>practice indices</w:t>
      </w:r>
      <w:r>
        <w:rPr>
          <w:rFonts w:cs="Arial" w:ascii="Times New Roman" w:hAnsi="Times New Roman"/>
        </w:rPr>
        <w:t xml:space="preserve"> to NPL reduction and OB2 and H2 by emphasizing </w:t>
      </w:r>
      <w:r>
        <w:rPr>
          <w:rStyle w:val="Strong"/>
          <w:rFonts w:cs="Arial" w:ascii="Times New Roman" w:hAnsi="Times New Roman"/>
        </w:rPr>
        <w:t>audit committee independence</w:t>
      </w:r>
      <w:r>
        <w:rPr>
          <w:rFonts w:cs="Arial" w:ascii="Times New Roman" w:hAnsi="Times New Roman"/>
        </w:rPr>
        <w:t xml:space="preserve">, setting the stage for further analysis of governance reforms in Nigeria’s </w:t>
      </w:r>
      <w:r>
        <w:rPr>
          <w:rStyle w:val="Strong"/>
          <w:rFonts w:cs="Arial" w:ascii="Times New Roman" w:hAnsi="Times New Roman"/>
        </w:rPr>
        <w:t>deposit money banking</w:t>
      </w:r>
      <w:r>
        <w:rPr>
          <w:rFonts w:cs="Arial" w:ascii="Times New Roman" w:hAnsi="Times New Roman"/>
        </w:rPr>
        <w:t xml:space="preserve"> sector. </w:t>
      </w:r>
      <w:r>
        <w:rPr>
          <w:rStyle w:val="Strong"/>
          <w:rFonts w:cs="Arial" w:ascii="Times New Roman" w:hAnsi="Times New Roman"/>
        </w:rPr>
        <w:t>Recent studies by Afolabi and Afolabi (2024) reinforce the role of NPLs in highlighting disclosure deficiencies.</w:t>
      </w:r>
    </w:p>
    <w:p>
      <w:pPr>
        <w:pStyle w:val="Normal"/>
        <w:rPr>
          <w:rFonts w:ascii="Times New Roman" w:hAnsi="Times New Roman"/>
        </w:rPr>
      </w:pPr>
      <w:r>
        <w:rPr>
          <w:rFonts w:cs="Arial" w:ascii="Times New Roman" w:hAnsi="Times New Roman"/>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BodyText"/>
        <w:spacing w:before="0" w:after="0"/>
        <w:rPr>
          <w:rFonts w:ascii="Arial" w:hAnsi="Arial" w:cs="Arial"/>
        </w:rPr>
      </w:pPr>
      <w:r>
        <w:rPr>
          <w:rFonts w:cs="Arial" w:ascii="Arial" w:hAnsi="Arial"/>
        </w:rPr>
        <w:t xml:space="preserve">Non-performing loans (NPLs), defined as loans overdue by 90 days or more as a percentage of total loans, serve as a critical measure of default risk in Nigeria’s </w:t>
      </w:r>
      <w:r>
        <w:rPr>
          <w:rStyle w:val="Strong"/>
          <w:rFonts w:cs="Arial" w:ascii="Arial" w:hAnsi="Arial"/>
        </w:rPr>
        <w:t>deposit money banking</w:t>
      </w:r>
      <w:r>
        <w:rPr>
          <w:rFonts w:cs="Arial" w:ascii="Arial" w:hAnsi="Arial"/>
        </w:rPr>
        <w:t xml:space="preserve"> sector, reflecting governance deficiencies that undermine financial stability and contribute to systemic crises, with 425 bank failures recorded since 1988 (Udo, 2020). NPLs deplete bank capital, erode liquidity, and signal weak </w:t>
      </w:r>
      <w:r>
        <w:rPr>
          <w:rStyle w:val="Strong"/>
          <w:rFonts w:cs="Arial" w:ascii="Arial" w:hAnsi="Arial"/>
        </w:rPr>
        <w:t>practice indices</w:t>
      </w:r>
      <w:r>
        <w:rPr>
          <w:rFonts w:cs="Arial" w:ascii="Arial" w:hAnsi="Arial"/>
        </w:rPr>
        <w:t xml:space="preserve">, as evidenced by peaks of 37% in 2009 and 20% in 2017, far exceeding the CBN’s 5% threshold, as seen in cases like Oceanic Bank (Nwosu, 2020; Adegboye, 2020). </w:t>
      </w:r>
      <w:r>
        <w:rPr>
          <w:rStyle w:val="Strong"/>
          <w:rFonts w:cs="Arial" w:ascii="Arial" w:hAnsi="Arial"/>
        </w:rPr>
        <w:t>Recent 2024 data indicates persistent challenges, with NPL ratios at 5.62% in April, driven by economic pressures like inflation and asset reclassifications (CBN, 2024).</w:t>
      </w:r>
      <w:r>
        <w:rPr>
          <w:rFonts w:cs="Arial" w:ascii="Arial" w:hAnsi="Arial"/>
        </w:rPr>
        <w:t xml:space="preserve"> These spikes, driven by governance failures such as insider lending and inadequate oversight, highlight the urgent need for reforms to mitigate default risk. This section discusses NPLs as a measure of default risk, citing global and Nigerian studies, examines governance deficiencies as key NPL drivers, and addresses data reliability issues and the need for cross-validation, aligning with the research’s objectives to address governance challenges impacting financial stability. </w:t>
      </w:r>
      <w:r>
        <w:rPr>
          <w:rStyle w:val="Strong"/>
          <w:rFonts w:cs="Arial" w:ascii="Arial" w:hAnsi="Arial"/>
        </w:rPr>
        <w:t>To expand, Ojo and Ojo (2024) link NPLs to audit committee independence and practice index deficiencies, emphasizing their role in disclosure and compliance.</w:t>
      </w:r>
    </w:p>
    <w:p>
      <w:pPr>
        <w:pStyle w:val="BodyText"/>
        <w:spacing w:lineRule="auto" w:line="480"/>
        <w:ind w:hanging="0" w:start="0" w:end="0"/>
        <w:rPr>
          <w:rFonts w:ascii="Arial" w:hAnsi="Arial" w:cs="Arial"/>
        </w:rPr>
      </w:pPr>
      <w:r>
        <w:rPr>
          <w:rStyle w:val="Strong"/>
          <w:rFonts w:cs="Arial" w:ascii="Arial" w:hAnsi="Arial"/>
        </w:rPr>
        <w:t>2.9.1 NPLs as a Measure of Default Risk</w:t>
      </w:r>
    </w:p>
    <w:p>
      <w:pPr>
        <w:pStyle w:val="BodyText"/>
        <w:spacing w:lineRule="auto" w:line="480"/>
        <w:ind w:hanging="0" w:start="0" w:end="0"/>
        <w:rPr>
          <w:rFonts w:ascii="Arial" w:hAnsi="Arial" w:cs="Arial"/>
        </w:rPr>
      </w:pPr>
      <w:r>
        <w:rPr>
          <w:rFonts w:cs="Arial" w:ascii="Arial" w:hAnsi="Arial"/>
        </w:rPr>
        <w:t xml:space="preserve">NPLs are a widely recognized indicator of default risk in banking, capturing loan recovery failures that increase insolvency risks and threaten financial stability (Fernando et al., </w:t>
      </w:r>
      <w:r>
        <w:rPr>
          <w:rStyle w:val="Strong"/>
          <w:rFonts w:cs="Arial" w:ascii="Arial" w:hAnsi="Arial"/>
        </w:rPr>
        <w:t>2019</w:t>
      </w:r>
      <w:r>
        <w:rPr>
          <w:rFonts w:cs="Arial" w:ascii="Arial" w:hAnsi="Arial"/>
        </w:rPr>
        <w:t>). Globally, Fernando et al. (</w:t>
      </w:r>
      <w:r>
        <w:rPr>
          <w:rStyle w:val="Strong"/>
          <w:rFonts w:cs="Arial" w:ascii="Arial" w:hAnsi="Arial"/>
        </w:rPr>
        <w:t>2019</w:t>
      </w:r>
      <w:r>
        <w:rPr>
          <w:rFonts w:cs="Arial" w:ascii="Arial" w:hAnsi="Arial"/>
        </w:rPr>
        <w:t>) argue that NPLs reflect credit risk stemming from poor lending practices and weak governance, with higher NPL ratios correlating with bank distress, particularly in emerging markets. In Nigeria, Natufe and Evbayiro-Osagie (2023) validate NPLs as a robust measure, aligning with the CBN’s 5% threshold, as they directly signal governance lapses such as inadequate risk assessment and insider abuses. For instance, the 2009 banking crisis, where NPLs reached 37%, underscored how governance failures led to systemic instability, requiring a $3.9 billion CBN intervention (Sanusi, 2009). NPLs’ prominence in emerging market research makes them a suitable metric for assessing default risk in Nigeria, though Fernando et al. (</w:t>
      </w:r>
      <w:r>
        <w:rPr>
          <w:rStyle w:val="Strong"/>
          <w:rFonts w:cs="Arial" w:ascii="Arial" w:hAnsi="Arial"/>
        </w:rPr>
        <w:t>2019</w:t>
      </w:r>
      <w:r>
        <w:rPr>
          <w:rFonts w:cs="Arial" w:ascii="Arial" w:hAnsi="Arial"/>
        </w:rPr>
        <w:t xml:space="preserve">) note their limitation in overlooking liquidity or operational risks, necessitating a comprehensive risk analysis. Natufe and Evbayiro-Osagie (2023) emphasize that NPLs’ sensitivity to governance quality makes them a critical focus for reform, particularly in contexts like Nigeria, where systemic weaknesses persist. </w:t>
      </w:r>
      <w:r>
        <w:rPr>
          <w:rStyle w:val="Strong"/>
          <w:rFonts w:cs="Arial" w:ascii="Arial" w:hAnsi="Arial"/>
        </w:rPr>
        <w:t>Recent studies by Afolabi and Afolabi (2024) add that NPLs reflect deficiencies in practice indices and disclosure, as weak audit oversight allows misclassification of loans.</w:t>
      </w:r>
      <w:r>
        <w:rPr>
          <w:rFonts w:cs="Arial" w:ascii="Arial" w:hAnsi="Arial"/>
        </w:rPr>
        <w:t xml:space="preserve"> </w:t>
      </w:r>
      <w:r>
        <w:rPr>
          <w:rStyle w:val="Strong"/>
          <w:rFonts w:cs="Arial" w:ascii="Arial" w:hAnsi="Arial"/>
        </w:rPr>
        <w:t>As of April 2024, NPL ratios at 5.62% highlight ongoing governance challenges (CBN, 2024).</w:t>
      </w:r>
    </w:p>
    <w:p>
      <w:pPr>
        <w:pStyle w:val="BodyText"/>
        <w:spacing w:lineRule="auto" w:line="480"/>
        <w:ind w:hanging="0" w:start="0" w:end="0"/>
        <w:rPr>
          <w:rFonts w:ascii="Arial" w:hAnsi="Arial" w:cs="Arial"/>
        </w:rPr>
      </w:pPr>
      <w:r>
        <w:rPr>
          <w:rStyle w:val="Strong"/>
          <w:rFonts w:cs="Arial" w:ascii="Arial" w:hAnsi="Arial"/>
        </w:rPr>
        <w:t>2.9.2 Governance Deficiencies as Drivers of NPLs</w:t>
      </w:r>
    </w:p>
    <w:p>
      <w:pPr>
        <w:pStyle w:val="BodyText"/>
        <w:spacing w:lineRule="auto" w:line="480"/>
        <w:ind w:hanging="0" w:start="0" w:end="0"/>
        <w:rPr>
          <w:rFonts w:ascii="Arial" w:hAnsi="Arial" w:cs="Arial"/>
        </w:rPr>
      </w:pPr>
      <w:r>
        <w:rPr>
          <w:rFonts w:cs="Arial" w:ascii="Arial" w:hAnsi="Arial"/>
        </w:rPr>
        <w:t xml:space="preserve">Governance deficiencies, including weak board oversight, </w:t>
      </w:r>
      <w:r>
        <w:rPr>
          <w:rStyle w:val="Strong"/>
          <w:rFonts w:cs="Arial" w:ascii="Arial" w:hAnsi="Arial"/>
        </w:rPr>
        <w:t>unqualified management</w:t>
      </w:r>
      <w:r>
        <w:rPr>
          <w:rFonts w:cs="Arial" w:ascii="Arial" w:hAnsi="Arial"/>
        </w:rPr>
        <w:t xml:space="preserve">, and inadequate </w:t>
      </w:r>
      <w:r>
        <w:rPr>
          <w:rStyle w:val="Strong"/>
          <w:rFonts w:cs="Arial" w:ascii="Arial" w:hAnsi="Arial"/>
        </w:rPr>
        <w:t>practice indices</w:t>
      </w:r>
      <w:r>
        <w:rPr>
          <w:rFonts w:cs="Arial" w:ascii="Arial" w:hAnsi="Arial"/>
        </w:rPr>
        <w:t xml:space="preserve">, are primary drivers of NPLs in Nigeria’s </w:t>
      </w:r>
      <w:r>
        <w:rPr>
          <w:rStyle w:val="Strong"/>
          <w:rFonts w:cs="Arial" w:ascii="Arial" w:hAnsi="Arial"/>
        </w:rPr>
        <w:t>deposit money banking</w:t>
      </w:r>
      <w:r>
        <w:rPr>
          <w:rFonts w:cs="Arial" w:ascii="Arial" w:hAnsi="Arial"/>
        </w:rPr>
        <w:t xml:space="preserve"> sector, as evidenced by the significant spikes in 2009 (37%) and 2017 (20%) (Nwosu, 2020; Adegboye, 2020). Adegboye (2020) highlights that lax lending practices, often enabled by </w:t>
      </w:r>
      <w:r>
        <w:rPr>
          <w:rStyle w:val="Strong"/>
          <w:rFonts w:cs="Arial" w:ascii="Arial" w:hAnsi="Arial"/>
        </w:rPr>
        <w:t>unqualified executives</w:t>
      </w:r>
      <w:r>
        <w:rPr>
          <w:rFonts w:cs="Arial" w:ascii="Arial" w:hAnsi="Arial"/>
        </w:rPr>
        <w:t xml:space="preserve"> and </w:t>
      </w:r>
      <w:r>
        <w:rPr>
          <w:rStyle w:val="Strong"/>
          <w:rFonts w:cs="Arial" w:ascii="Arial" w:hAnsi="Arial"/>
        </w:rPr>
        <w:t>politically motivated appointments</w:t>
      </w:r>
      <w:r>
        <w:rPr>
          <w:rFonts w:cs="Arial" w:ascii="Arial" w:hAnsi="Arial"/>
        </w:rPr>
        <w:t xml:space="preserve">, result in poor credit assessments, as seen in banks like Intercontinental and Bank PHB, where mismanagement fueled financial distress (Owolabi, 2013). The 2009 crisis, driven by insider lending, exemplifies this, with Oceanic Bank’s NPLs, 75% of which were tied to family-controlled entities, reflecting weak board and </w:t>
      </w:r>
      <w:r>
        <w:rPr>
          <w:rStyle w:val="Strong"/>
          <w:rFonts w:cs="Arial" w:ascii="Arial" w:hAnsi="Arial"/>
        </w:rPr>
        <w:t>audit committee</w:t>
      </w:r>
      <w:r>
        <w:rPr>
          <w:rFonts w:cs="Arial" w:ascii="Arial" w:hAnsi="Arial"/>
        </w:rPr>
        <w:t xml:space="preserve"> oversight (Sanusi, 2009). Nwosu (2020) argues that concentrated ownership and the absence of independent nomination committees in 61% of </w:t>
      </w:r>
      <w:r>
        <w:rPr>
          <w:rStyle w:val="Strong"/>
          <w:rFonts w:cs="Arial" w:ascii="Arial" w:hAnsi="Arial"/>
        </w:rPr>
        <w:t>deposit money banks</w:t>
      </w:r>
      <w:r>
        <w:rPr>
          <w:rFonts w:cs="Arial" w:ascii="Arial" w:hAnsi="Arial"/>
        </w:rPr>
        <w:t xml:space="preserve"> allow self-interested management to dominate, undermining </w:t>
      </w:r>
      <w:r>
        <w:rPr>
          <w:rStyle w:val="Strong"/>
          <w:rFonts w:cs="Arial" w:ascii="Arial" w:hAnsi="Arial"/>
        </w:rPr>
        <w:t>practice indices</w:t>
      </w:r>
      <w:r>
        <w:rPr>
          <w:rFonts w:cs="Arial" w:ascii="Arial" w:hAnsi="Arial"/>
        </w:rPr>
        <w:t xml:space="preserve"> and driving NPLs (Ogbechie, 2016). </w:t>
      </w:r>
      <w:r>
        <w:rPr>
          <w:rStyle w:val="Strong"/>
          <w:rFonts w:cs="Arial" w:ascii="Arial" w:hAnsi="Arial"/>
        </w:rPr>
        <w:t>Regulatory multiplicity</w:t>
      </w:r>
      <w:r>
        <w:rPr>
          <w:rFonts w:cs="Arial" w:ascii="Arial" w:hAnsi="Arial"/>
        </w:rPr>
        <w:t xml:space="preserve">, with conflicting codes like CAMA 2020 and NCCG 2018, further exacerbates these issues by enabling selective </w:t>
      </w:r>
      <w:r>
        <w:rPr>
          <w:rStyle w:val="Strong"/>
          <w:rFonts w:cs="Arial" w:ascii="Arial" w:hAnsi="Arial"/>
        </w:rPr>
        <w:t>compliance</w:t>
      </w:r>
      <w:r>
        <w:rPr>
          <w:rFonts w:cs="Arial" w:ascii="Arial" w:hAnsi="Arial"/>
        </w:rPr>
        <w:t xml:space="preserve">, as banks exploit ambiguities to conceal financial distress (Abdulmalik &amp; Ahmad, 2020). These governance failures, rooted in historical legacies of cronyism and weak </w:t>
      </w:r>
      <w:r>
        <w:rPr>
          <w:rStyle w:val="Strong"/>
          <w:rFonts w:cs="Arial" w:ascii="Arial" w:hAnsi="Arial"/>
        </w:rPr>
        <w:t>enforcement consistency</w:t>
      </w:r>
      <w:r>
        <w:rPr>
          <w:rFonts w:cs="Arial" w:ascii="Arial" w:hAnsi="Arial"/>
        </w:rPr>
        <w:t xml:space="preserve">, directly contribute to NPL spikes, eroding capital and triggering systemic instability, as seen in mass deposit withdrawals during the 2009 crisis (Sanusi, 2009). </w:t>
      </w:r>
      <w:r>
        <w:rPr>
          <w:rStyle w:val="Strong"/>
          <w:rFonts w:cs="Arial" w:ascii="Arial" w:hAnsi="Arial"/>
        </w:rPr>
        <w:t>Ojo and Ojo (2024) expand this by linking NPL drivers to audit committee independence, noting that weak oversight allows fraud concealment, undermining disclosure and practice indices.</w:t>
      </w:r>
    </w:p>
    <w:p>
      <w:pPr>
        <w:pStyle w:val="BodyText"/>
        <w:spacing w:lineRule="auto" w:line="480"/>
        <w:ind w:hanging="0" w:start="0" w:end="0"/>
        <w:rPr>
          <w:rFonts w:ascii="Arial" w:hAnsi="Arial" w:cs="Arial"/>
        </w:rPr>
      </w:pPr>
      <w:r>
        <w:rPr>
          <w:rStyle w:val="Strong"/>
          <w:rFonts w:cs="Arial" w:ascii="Arial" w:hAnsi="Arial"/>
        </w:rPr>
        <w:t>Table 2.11: Key Governance Deficiencies Driving NPLs in Nigerian Deposit Money Banks</w:t>
      </w:r>
    </w:p>
    <w:tbl>
      <w:tblPr>
        <w:tblW w:w="9972" w:type="dxa"/>
        <w:jc w:val="start"/>
        <w:tblInd w:w="0" w:type="dxa"/>
        <w:tblLayout w:type="fixed"/>
        <w:tblCellMar>
          <w:top w:w="28" w:type="dxa"/>
          <w:start w:w="28" w:type="dxa"/>
          <w:bottom w:w="28" w:type="dxa"/>
          <w:end w:w="28" w:type="dxa"/>
        </w:tblCellMar>
      </w:tblPr>
      <w:tblGrid>
        <w:gridCol w:w="1732"/>
        <w:gridCol w:w="2002"/>
        <w:gridCol w:w="2259"/>
        <w:gridCol w:w="2191"/>
        <w:gridCol w:w="1788"/>
      </w:tblGrid>
      <w:tr>
        <w:trPr>
          <w:tblHeader w:val="true"/>
        </w:trPr>
        <w:tc>
          <w:tcPr>
            <w:tcW w:w="1732" w:type="dxa"/>
            <w:tcBorders/>
            <w:vAlign w:val="center"/>
          </w:tcPr>
          <w:p>
            <w:pPr>
              <w:pStyle w:val="TableHeading"/>
              <w:rPr/>
            </w:pPr>
            <w:r>
              <w:rPr>
                <w:rStyle w:val="Strong"/>
                <w:b/>
                <w:bCs/>
              </w:rPr>
              <w:t>Deficiency</w:t>
            </w:r>
          </w:p>
        </w:tc>
        <w:tc>
          <w:tcPr>
            <w:tcW w:w="2002" w:type="dxa"/>
            <w:tcBorders/>
            <w:vAlign w:val="center"/>
          </w:tcPr>
          <w:p>
            <w:pPr>
              <w:pStyle w:val="TableHeading"/>
              <w:rPr/>
            </w:pPr>
            <w:r>
              <w:rPr>
                <w:rStyle w:val="Strong"/>
                <w:b/>
                <w:bCs/>
              </w:rPr>
              <w:t>Description</w:t>
            </w:r>
          </w:p>
        </w:tc>
        <w:tc>
          <w:tcPr>
            <w:tcW w:w="2259" w:type="dxa"/>
            <w:tcBorders/>
            <w:vAlign w:val="center"/>
          </w:tcPr>
          <w:p>
            <w:pPr>
              <w:pStyle w:val="TableHeading"/>
              <w:rPr/>
            </w:pPr>
            <w:r>
              <w:rPr>
                <w:rStyle w:val="Strong"/>
                <w:b/>
                <w:bCs/>
              </w:rPr>
              <w:t>Example</w:t>
            </w:r>
          </w:p>
        </w:tc>
        <w:tc>
          <w:tcPr>
            <w:tcW w:w="2191" w:type="dxa"/>
            <w:tcBorders/>
            <w:vAlign w:val="center"/>
          </w:tcPr>
          <w:p>
            <w:pPr>
              <w:pStyle w:val="TableHeading"/>
              <w:rPr/>
            </w:pPr>
            <w:r>
              <w:rPr>
                <w:rStyle w:val="Strong"/>
                <w:b/>
                <w:bCs/>
              </w:rPr>
              <w:t>Impact on CG Indices</w:t>
            </w:r>
          </w:p>
        </w:tc>
        <w:tc>
          <w:tcPr>
            <w:tcW w:w="1788" w:type="dxa"/>
            <w:tcBorders/>
            <w:vAlign w:val="center"/>
          </w:tcPr>
          <w:p>
            <w:pPr>
              <w:pStyle w:val="TableHeading"/>
              <w:ind w:hanging="0" w:start="0" w:end="0"/>
              <w:rPr/>
            </w:pPr>
            <w:r>
              <w:rPr>
                <w:rStyle w:val="Strong"/>
                <w:b/>
                <w:bCs/>
              </w:rPr>
              <w:t>Source</w:t>
            </w:r>
          </w:p>
        </w:tc>
      </w:tr>
      <w:tr>
        <w:trPr/>
        <w:tc>
          <w:tcPr>
            <w:tcW w:w="1732" w:type="dxa"/>
            <w:tcBorders/>
            <w:vAlign w:val="center"/>
          </w:tcPr>
          <w:p>
            <w:pPr>
              <w:pStyle w:val="TableContents"/>
              <w:ind w:hanging="0" w:start="0" w:end="0"/>
              <w:rPr/>
            </w:pPr>
            <w:r>
              <w:rPr>
                <w:rStyle w:val="Strong"/>
              </w:rPr>
              <w:t>Weak Board Oversight</w:t>
            </w:r>
          </w:p>
        </w:tc>
        <w:tc>
          <w:tcPr>
            <w:tcW w:w="2002" w:type="dxa"/>
            <w:tcBorders/>
            <w:vAlign w:val="center"/>
          </w:tcPr>
          <w:p>
            <w:pPr>
              <w:pStyle w:val="TableContents"/>
              <w:ind w:hanging="0" w:start="0" w:end="0"/>
              <w:rPr/>
            </w:pPr>
            <w:r>
              <w:rPr/>
              <w:t>Boards fail to monitor lending due to cronyism.</w:t>
            </w:r>
          </w:p>
        </w:tc>
        <w:tc>
          <w:tcPr>
            <w:tcW w:w="2259" w:type="dxa"/>
            <w:tcBorders/>
            <w:vAlign w:val="center"/>
          </w:tcPr>
          <w:p>
            <w:pPr>
              <w:pStyle w:val="TableContents"/>
              <w:ind w:hanging="0" w:start="0" w:end="0"/>
              <w:rPr/>
            </w:pPr>
            <w:r>
              <w:rPr/>
              <w:t>Oceanic Bank’s insider loans (75% of NPLs).</w:t>
            </w:r>
          </w:p>
        </w:tc>
        <w:tc>
          <w:tcPr>
            <w:tcW w:w="2191" w:type="dxa"/>
            <w:tcBorders/>
            <w:vAlign w:val="center"/>
          </w:tcPr>
          <w:p>
            <w:pPr>
              <w:pStyle w:val="TableContents"/>
              <w:ind w:hanging="0" w:start="0" w:end="0"/>
              <w:rPr/>
            </w:pPr>
            <w:r>
              <w:rPr/>
              <w:t xml:space="preserve">Undermines </w:t>
            </w:r>
            <w:r>
              <w:rPr>
                <w:rStyle w:val="Strong"/>
              </w:rPr>
              <w:t>compliance</w:t>
            </w:r>
            <w:r>
              <w:rPr/>
              <w:t xml:space="preserve"> and risk management.</w:t>
            </w:r>
          </w:p>
        </w:tc>
        <w:tc>
          <w:tcPr>
            <w:tcW w:w="1788" w:type="dxa"/>
            <w:tcBorders/>
            <w:vAlign w:val="center"/>
          </w:tcPr>
          <w:p>
            <w:pPr>
              <w:pStyle w:val="TableContents"/>
              <w:ind w:hanging="0" w:start="0" w:end="0"/>
              <w:rPr/>
            </w:pPr>
            <w:r>
              <w:rPr/>
              <w:t>Sanusi (2009), Ogbechie (2016)</w:t>
            </w:r>
          </w:p>
        </w:tc>
      </w:tr>
      <w:tr>
        <w:trPr/>
        <w:tc>
          <w:tcPr>
            <w:tcW w:w="1732" w:type="dxa"/>
            <w:tcBorders/>
            <w:vAlign w:val="center"/>
          </w:tcPr>
          <w:p>
            <w:pPr>
              <w:pStyle w:val="TableContents"/>
              <w:ind w:hanging="0" w:start="0" w:end="0"/>
              <w:rPr/>
            </w:pPr>
            <w:r>
              <w:rPr>
                <w:rStyle w:val="Strong"/>
              </w:rPr>
              <w:t>Unqualified Management</w:t>
            </w:r>
          </w:p>
        </w:tc>
        <w:tc>
          <w:tcPr>
            <w:tcW w:w="2002" w:type="dxa"/>
            <w:tcBorders/>
            <w:vAlign w:val="center"/>
          </w:tcPr>
          <w:p>
            <w:pPr>
              <w:pStyle w:val="TableContents"/>
              <w:ind w:hanging="0" w:start="0" w:end="0"/>
              <w:rPr/>
            </w:pPr>
            <w:r>
              <w:rPr>
                <w:rStyle w:val="Strong"/>
              </w:rPr>
              <w:t>Politically motivated appointments</w:t>
            </w:r>
            <w:r>
              <w:rPr/>
              <w:t xml:space="preserve"> lack expertise.</w:t>
            </w:r>
          </w:p>
        </w:tc>
        <w:tc>
          <w:tcPr>
            <w:tcW w:w="2259" w:type="dxa"/>
            <w:tcBorders/>
            <w:vAlign w:val="center"/>
          </w:tcPr>
          <w:p>
            <w:pPr>
              <w:pStyle w:val="TableContents"/>
              <w:ind w:hanging="0" w:start="0" w:end="0"/>
              <w:rPr/>
            </w:pPr>
            <w:r>
              <w:rPr/>
              <w:t>Intercontinental Bank’s poor risk controls.</w:t>
            </w:r>
          </w:p>
        </w:tc>
        <w:tc>
          <w:tcPr>
            <w:tcW w:w="2191" w:type="dxa"/>
            <w:tcBorders/>
            <w:vAlign w:val="center"/>
          </w:tcPr>
          <w:p>
            <w:pPr>
              <w:pStyle w:val="TableContents"/>
              <w:ind w:hanging="0" w:start="0" w:end="0"/>
              <w:rPr/>
            </w:pPr>
            <w:r>
              <w:rPr/>
              <w:t xml:space="preserve">Weakens </w:t>
            </w:r>
            <w:r>
              <w:rPr>
                <w:rStyle w:val="Strong"/>
              </w:rPr>
              <w:t>practice indices</w:t>
            </w:r>
            <w:r>
              <w:rPr/>
              <w:t xml:space="preserve">, erodes </w:t>
            </w:r>
            <w:r>
              <w:rPr>
                <w:rStyle w:val="Strong"/>
              </w:rPr>
              <w:t>disclosure</w:t>
            </w:r>
            <w:r>
              <w:rPr/>
              <w:t>.</w:t>
            </w:r>
          </w:p>
        </w:tc>
        <w:tc>
          <w:tcPr>
            <w:tcW w:w="1788" w:type="dxa"/>
            <w:tcBorders/>
            <w:vAlign w:val="center"/>
          </w:tcPr>
          <w:p>
            <w:pPr>
              <w:pStyle w:val="TableContents"/>
              <w:ind w:hanging="0" w:start="0" w:end="0"/>
              <w:rPr/>
            </w:pPr>
            <w:r>
              <w:rPr/>
              <w:t>Nwoko et al. (2022), Owolabi (2013)</w:t>
            </w:r>
          </w:p>
        </w:tc>
      </w:tr>
      <w:tr>
        <w:trPr/>
        <w:tc>
          <w:tcPr>
            <w:tcW w:w="1732" w:type="dxa"/>
            <w:tcBorders/>
            <w:vAlign w:val="center"/>
          </w:tcPr>
          <w:p>
            <w:pPr>
              <w:pStyle w:val="TableContents"/>
              <w:ind w:hanging="0" w:start="0" w:end="0"/>
              <w:rPr/>
            </w:pPr>
            <w:r>
              <w:rPr>
                <w:rStyle w:val="Strong"/>
              </w:rPr>
              <w:t>Regulatory Multiplicity</w:t>
            </w:r>
          </w:p>
        </w:tc>
        <w:tc>
          <w:tcPr>
            <w:tcW w:w="2002" w:type="dxa"/>
            <w:tcBorders/>
            <w:vAlign w:val="center"/>
          </w:tcPr>
          <w:p>
            <w:pPr>
              <w:pStyle w:val="TableContents"/>
              <w:ind w:hanging="0" w:start="0" w:end="0"/>
              <w:rPr/>
            </w:pPr>
            <w:r>
              <w:rPr/>
              <w:t xml:space="preserve">Conflicting codes enable selective </w:t>
            </w:r>
            <w:r>
              <w:rPr>
                <w:rStyle w:val="Strong"/>
              </w:rPr>
              <w:t>compliance</w:t>
            </w:r>
            <w:r>
              <w:rPr/>
              <w:t>.</w:t>
            </w:r>
          </w:p>
        </w:tc>
        <w:tc>
          <w:tcPr>
            <w:tcW w:w="2259" w:type="dxa"/>
            <w:tcBorders/>
            <w:vAlign w:val="center"/>
          </w:tcPr>
          <w:p>
            <w:pPr>
              <w:pStyle w:val="TableContents"/>
              <w:ind w:hanging="0" w:start="0" w:end="0"/>
              <w:rPr/>
            </w:pPr>
            <w:r>
              <w:rPr/>
              <w:t>Banks exploit CAMA/NCCG gaps to hide NPLs.</w:t>
            </w:r>
          </w:p>
        </w:tc>
        <w:tc>
          <w:tcPr>
            <w:tcW w:w="2191" w:type="dxa"/>
            <w:tcBorders/>
            <w:vAlign w:val="center"/>
          </w:tcPr>
          <w:p>
            <w:pPr>
              <w:pStyle w:val="TableContents"/>
              <w:ind w:hanging="0" w:start="0" w:end="0"/>
              <w:rPr/>
            </w:pPr>
            <w:r>
              <w:rPr/>
              <w:t xml:space="preserve">Reduces </w:t>
            </w:r>
            <w:r>
              <w:rPr>
                <w:rStyle w:val="Strong"/>
              </w:rPr>
              <w:t>compliance</w:t>
            </w:r>
            <w:r>
              <w:rPr/>
              <w:t xml:space="preserve">, affects </w:t>
            </w:r>
            <w:r>
              <w:rPr>
                <w:rStyle w:val="Strong"/>
              </w:rPr>
              <w:t>audit committee independence</w:t>
            </w:r>
            <w:r>
              <w:rPr/>
              <w:t>.</w:t>
            </w:r>
          </w:p>
        </w:tc>
        <w:tc>
          <w:tcPr>
            <w:tcW w:w="1788" w:type="dxa"/>
            <w:tcBorders/>
            <w:vAlign w:val="center"/>
          </w:tcPr>
          <w:p>
            <w:pPr>
              <w:pStyle w:val="TableContents"/>
              <w:ind w:hanging="0" w:start="0" w:end="0"/>
              <w:rPr/>
            </w:pPr>
            <w:r>
              <w:rPr/>
              <w:t>Abdulmalik &amp; Ahmad (2020), Ojo &amp; Ojo (2024)</w:t>
            </w:r>
          </w:p>
        </w:tc>
      </w:tr>
      <w:tr>
        <w:trPr/>
        <w:tc>
          <w:tcPr>
            <w:tcW w:w="1732" w:type="dxa"/>
            <w:tcBorders/>
            <w:vAlign w:val="center"/>
          </w:tcPr>
          <w:p>
            <w:pPr>
              <w:pStyle w:val="TableContents"/>
              <w:ind w:hanging="0" w:start="0" w:end="0"/>
              <w:rPr/>
            </w:pPr>
            <w:r>
              <w:rPr>
                <w:rStyle w:val="Strong"/>
              </w:rPr>
              <w:t>Absent Nomination Committees</w:t>
            </w:r>
          </w:p>
        </w:tc>
        <w:tc>
          <w:tcPr>
            <w:tcW w:w="2002" w:type="dxa"/>
            <w:tcBorders/>
            <w:vAlign w:val="center"/>
          </w:tcPr>
          <w:p>
            <w:pPr>
              <w:pStyle w:val="TableContents"/>
              <w:ind w:hanging="0" w:start="0" w:end="0"/>
              <w:rPr/>
            </w:pPr>
            <w:r>
              <w:rPr/>
              <w:t>61% of banks lack independent committees.</w:t>
            </w:r>
          </w:p>
        </w:tc>
        <w:tc>
          <w:tcPr>
            <w:tcW w:w="2259" w:type="dxa"/>
            <w:tcBorders/>
            <w:vAlign w:val="center"/>
          </w:tcPr>
          <w:p>
            <w:pPr>
              <w:pStyle w:val="TableContents"/>
              <w:ind w:hanging="0" w:start="0" w:end="0"/>
              <w:rPr/>
            </w:pPr>
            <w:r>
              <w:rPr/>
              <w:t xml:space="preserve">Bank PHB’s mismanagement from </w:t>
            </w:r>
            <w:r>
              <w:rPr>
                <w:rStyle w:val="Strong"/>
              </w:rPr>
              <w:t>unqualified appointees</w:t>
            </w:r>
            <w:r>
              <w:rPr/>
              <w:t>.</w:t>
            </w:r>
          </w:p>
        </w:tc>
        <w:tc>
          <w:tcPr>
            <w:tcW w:w="2191" w:type="dxa"/>
            <w:tcBorders/>
            <w:vAlign w:val="center"/>
          </w:tcPr>
          <w:p>
            <w:pPr>
              <w:pStyle w:val="TableContents"/>
              <w:ind w:hanging="0" w:start="0" w:end="0"/>
              <w:rPr/>
            </w:pPr>
            <w:r>
              <w:rPr/>
              <w:t xml:space="preserve">Compromises </w:t>
            </w:r>
            <w:r>
              <w:rPr>
                <w:rStyle w:val="Strong"/>
              </w:rPr>
              <w:t>practice indices</w:t>
            </w:r>
            <w:r>
              <w:rPr/>
              <w:t xml:space="preserve"> and risk management.</w:t>
            </w:r>
          </w:p>
        </w:tc>
        <w:tc>
          <w:tcPr>
            <w:tcW w:w="1788" w:type="dxa"/>
            <w:tcBorders/>
            <w:vAlign w:val="center"/>
          </w:tcPr>
          <w:p>
            <w:pPr>
              <w:pStyle w:val="TableContents"/>
              <w:rPr/>
            </w:pPr>
            <w:r>
              <w:rPr/>
              <w:t>Adegboye (2020), Afolabi &amp; Afolabi (2024)</w:t>
            </w:r>
          </w:p>
        </w:tc>
      </w:tr>
    </w:tbl>
    <w:p>
      <w:pPr>
        <w:pStyle w:val="BodyText"/>
        <w:spacing w:lineRule="auto" w:line="480"/>
        <w:ind w:hanging="0" w:start="0" w:end="0"/>
        <w:rPr>
          <w:rFonts w:ascii="Arial" w:hAnsi="Arial" w:cs="Arial"/>
        </w:rPr>
      </w:pPr>
      <w:r>
        <w:rPr>
          <w:rStyle w:val="Strong"/>
          <w:rFonts w:cs="Arial" w:ascii="Arial" w:hAnsi="Arial"/>
        </w:rPr>
        <w:t>Note</w:t>
      </w:r>
      <w:r>
        <w:rPr>
          <w:rFonts w:cs="Arial" w:ascii="Arial" w:hAnsi="Arial"/>
        </w:rPr>
        <w:t xml:space="preserve">: Adapted from Sanusi (2009), Nwoko et al. (2022), and Afolabi and Afolabi (2024). Impacts highlight ties to </w:t>
      </w:r>
      <w:r>
        <w:rPr>
          <w:rStyle w:val="Strong"/>
          <w:rFonts w:cs="Arial" w:ascii="Arial" w:hAnsi="Arial"/>
        </w:rPr>
        <w:t>disclosure, practice, compliance, and audit committee independence.</w:t>
      </w:r>
    </w:p>
    <w:p>
      <w:pPr>
        <w:pStyle w:val="BodyText"/>
        <w:spacing w:lineRule="auto" w:line="480"/>
        <w:ind w:hanging="0" w:start="0" w:end="0"/>
        <w:rPr>
          <w:rFonts w:ascii="Arial" w:hAnsi="Arial" w:cs="Arial"/>
        </w:rPr>
      </w:pPr>
      <w:r>
        <w:rPr>
          <w:rStyle w:val="Strong"/>
          <w:rFonts w:cs="Arial" w:ascii="Arial" w:hAnsi="Arial"/>
        </w:rPr>
        <w:t>2.9.3 Data Reliability Issues and Cross-Validation Strategies</w:t>
      </w:r>
    </w:p>
    <w:p>
      <w:pPr>
        <w:pStyle w:val="BodyText"/>
        <w:spacing w:lineRule="auto" w:line="480"/>
        <w:ind w:hanging="0" w:start="0" w:end="0"/>
        <w:rPr>
          <w:rFonts w:ascii="Arial" w:hAnsi="Arial" w:cs="Arial"/>
        </w:rPr>
      </w:pPr>
      <w:r>
        <w:rPr>
          <w:rFonts w:cs="Arial" w:ascii="Arial" w:hAnsi="Arial"/>
        </w:rPr>
        <w:t xml:space="preserve">The reliability of NPL data in Nigeria is a significant concern due to opaque financial reporting and weak governance structures, which obscure the true extent of default risk. Olojede et al. (2020) note that inadequate </w:t>
      </w:r>
      <w:r>
        <w:rPr>
          <w:rStyle w:val="Strong"/>
          <w:rFonts w:cs="Arial" w:ascii="Arial" w:hAnsi="Arial"/>
        </w:rPr>
        <w:t>disclosure</w:t>
      </w:r>
      <w:r>
        <w:rPr>
          <w:rFonts w:cs="Arial" w:ascii="Arial" w:hAnsi="Arial"/>
        </w:rPr>
        <w:t xml:space="preserve"> practices, compounded by </w:t>
      </w:r>
      <w:r>
        <w:rPr>
          <w:rStyle w:val="Strong"/>
          <w:rFonts w:cs="Arial" w:ascii="Arial" w:hAnsi="Arial"/>
        </w:rPr>
        <w:t>audit committee</w:t>
      </w:r>
      <w:r>
        <w:rPr>
          <w:rFonts w:cs="Arial" w:ascii="Arial" w:hAnsi="Arial"/>
        </w:rPr>
        <w:t xml:space="preserve"> capture and external auditor conflicts, lead to financial misstatements, as seen in the 2009 crisis where </w:t>
      </w:r>
      <w:r>
        <w:rPr>
          <w:rStyle w:val="Strong"/>
          <w:rFonts w:cs="Arial" w:ascii="Arial" w:hAnsi="Arial"/>
        </w:rPr>
        <w:t>deposit money banks</w:t>
      </w:r>
      <w:r>
        <w:rPr>
          <w:rFonts w:cs="Arial" w:ascii="Arial" w:hAnsi="Arial"/>
        </w:rPr>
        <w:t xml:space="preserve"> like Oceanic falsified loan portfolios to delay stakeholder awareness of distress. This opacity undermines data accuracy, posing a challenge to using NPLs as a reliable metric. </w:t>
      </w:r>
      <w:r>
        <w:rPr>
          <w:rStyle w:val="Strong"/>
          <w:rFonts w:cs="Arial" w:ascii="Arial" w:hAnsi="Arial"/>
        </w:rPr>
        <w:t>To address this, the research employs a rigorous cross-validation strategy, triangulating questionnaire responses with secondary data from CBN reports, NDIC records, and audited bank financials for 2009–2024 for RQ1 and 2024 for RQ2–RQ4, as recommended by Olojede et al. (2020).</w:t>
      </w:r>
      <w:r>
        <w:rPr>
          <w:rFonts w:cs="Arial" w:ascii="Arial" w:hAnsi="Arial"/>
        </w:rPr>
        <w:t xml:space="preserve"> This multi-source approach ensures that NPL data reflects actual governance impacts, mitigating the risk of manipulation. Additionally, control variables, such as bank size, GDP growth, and loan portfolio diversity, are incorporated into the analysis to isolate the effects of </w:t>
      </w:r>
      <w:r>
        <w:rPr>
          <w:rStyle w:val="Strong"/>
          <w:rFonts w:cs="Arial" w:ascii="Arial" w:hAnsi="Arial"/>
        </w:rPr>
        <w:t>corporate governance indices</w:t>
      </w:r>
      <w:r>
        <w:rPr>
          <w:rFonts w:cs="Arial" w:ascii="Arial" w:hAnsi="Arial"/>
        </w:rPr>
        <w:t xml:space="preserve"> on NPLs, enhancing data robustness (Natufe &amp; Evbayiro-Osagie, 2023). The questionnaire is designed to directly link </w:t>
      </w:r>
      <w:r>
        <w:rPr>
          <w:rStyle w:val="Strong"/>
          <w:rFonts w:cs="Arial" w:ascii="Arial" w:hAnsi="Arial"/>
        </w:rPr>
        <w:t>corporate governance indices</w:t>
      </w:r>
      <w:r>
        <w:rPr>
          <w:rFonts w:cs="Arial" w:ascii="Arial" w:hAnsi="Arial"/>
        </w:rPr>
        <w:t xml:space="preserve"> to NPL outcomes, with items assessing how board oversight, </w:t>
      </w:r>
      <w:r>
        <w:rPr>
          <w:rStyle w:val="Strong"/>
          <w:rFonts w:cs="Arial" w:ascii="Arial" w:hAnsi="Arial"/>
        </w:rPr>
        <w:t>audit committee independence, management qualifications</w:t>
      </w:r>
      <w:r>
        <w:rPr>
          <w:rFonts w:cs="Arial" w:ascii="Arial" w:hAnsi="Arial"/>
        </w:rPr>
        <w:t xml:space="preserve">, and </w:t>
      </w:r>
      <w:r>
        <w:rPr>
          <w:rStyle w:val="Strong"/>
          <w:rFonts w:cs="Arial" w:ascii="Arial" w:hAnsi="Arial"/>
        </w:rPr>
        <w:t>regulatory clarity</w:t>
      </w:r>
      <w:r>
        <w:rPr>
          <w:rFonts w:cs="Arial" w:ascii="Arial" w:hAnsi="Arial"/>
        </w:rPr>
        <w:t xml:space="preserve"> influence loan portfolio quality. For example, questions evaluate the extent to which robust </w:t>
      </w:r>
      <w:r>
        <w:rPr>
          <w:rStyle w:val="Strong"/>
          <w:rFonts w:cs="Arial" w:ascii="Arial" w:hAnsi="Arial"/>
        </w:rPr>
        <w:t>practice indices</w:t>
      </w:r>
      <w:r>
        <w:rPr>
          <w:rFonts w:cs="Arial" w:ascii="Arial" w:hAnsi="Arial"/>
        </w:rPr>
        <w:t xml:space="preserve"> reduce NPLs or how </w:t>
      </w:r>
      <w:r>
        <w:rPr>
          <w:rStyle w:val="Strong"/>
          <w:rFonts w:cs="Arial" w:ascii="Arial" w:hAnsi="Arial"/>
        </w:rPr>
        <w:t>regulatory multiplicity</w:t>
      </w:r>
      <w:r>
        <w:rPr>
          <w:rFonts w:cs="Arial" w:ascii="Arial" w:hAnsi="Arial"/>
        </w:rPr>
        <w:t xml:space="preserve"> exacerbates lending risks, ensuring that the data collected is relevant to the research objectives. </w:t>
      </w:r>
      <w:r>
        <w:rPr>
          <w:rStyle w:val="Strong"/>
          <w:rFonts w:cs="Arial" w:ascii="Arial" w:hAnsi="Arial"/>
        </w:rPr>
        <w:t>Qualitatively, interviews with high-level banking officials complement the quantitative focus on NPLs by exploring stakeholder perceptions of how governance failures drive loan defaults, aligning with Sanusi (2009) and Olojede et al. (2020).</w:t>
      </w:r>
      <w:r>
        <w:rPr>
          <w:rFonts w:cs="Arial" w:ascii="Arial" w:hAnsi="Arial"/>
        </w:rPr>
        <w:t xml:space="preserve"> This qualitative depth enriches the understanding of NPLs as a governance outcome, providing context-specific insights into Nigeria’s </w:t>
      </w:r>
      <w:r>
        <w:rPr>
          <w:rStyle w:val="Strong"/>
          <w:rFonts w:cs="Arial" w:ascii="Arial" w:hAnsi="Arial"/>
        </w:rPr>
        <w:t>deposit money banking</w:t>
      </w:r>
      <w:r>
        <w:rPr>
          <w:rFonts w:cs="Arial" w:ascii="Arial" w:hAnsi="Arial"/>
        </w:rPr>
        <w:t xml:space="preserve"> sector, where historical legacies and </w:t>
      </w:r>
      <w:r>
        <w:rPr>
          <w:rStyle w:val="Strong"/>
          <w:rFonts w:cs="Arial" w:ascii="Arial" w:hAnsi="Arial"/>
        </w:rPr>
        <w:t>regulatory multiplicity</w:t>
      </w:r>
      <w:r>
        <w:rPr>
          <w:rFonts w:cs="Arial" w:ascii="Arial" w:hAnsi="Arial"/>
        </w:rPr>
        <w:t xml:space="preserve"> exacerbate default risk (Abdulmalik &amp; Ahmad, 2020). </w:t>
      </w:r>
      <w:r>
        <w:rPr>
          <w:rStyle w:val="Strong"/>
          <w:rFonts w:cs="Arial" w:ascii="Arial" w:hAnsi="Arial"/>
        </w:rPr>
        <w:t>By integrating quantitative and qualitative data, the research ensures that NPLs are not only measured statistically but also understood through the lens of stakeholder experiences, enhancing the validity of findings and their relevance to proposed reforms.</w:t>
      </w:r>
      <w:r>
        <w:rPr>
          <w:rFonts w:cs="Arial" w:ascii="Arial" w:hAnsi="Arial"/>
        </w:rPr>
        <w:t xml:space="preserve"> </w:t>
      </w:r>
      <w:r>
        <w:rPr>
          <w:rStyle w:val="Strong"/>
          <w:rFonts w:cs="Arial" w:ascii="Arial" w:hAnsi="Arial"/>
        </w:rPr>
        <w:t>Afolabi and Afolabi (2024) add that cross-validation is key to addressing disclosure issues in practice indices, particularly in verifying audit-reported NPLs.</w:t>
      </w:r>
      <w:r>
        <w:rPr>
          <w:rFonts w:cs="Arial" w:ascii="Arial" w:hAnsi="Arial"/>
        </w:rPr>
        <w:t xml:space="preserve"> </w:t>
      </w:r>
      <w:r>
        <w:rPr>
          <w:rStyle w:val="Strong"/>
          <w:rFonts w:cs="Arial" w:ascii="Arial" w:hAnsi="Arial"/>
        </w:rPr>
        <w:t>In 2024, NPLs at 5.62% in April highlight ongoing opacity (CBN, 2024).</w:t>
      </w:r>
    </w:p>
    <w:p>
      <w:pPr>
        <w:pStyle w:val="BodyText"/>
        <w:spacing w:lineRule="auto" w:line="480"/>
        <w:ind w:hanging="0" w:start="0" w:end="0"/>
        <w:rPr>
          <w:rFonts w:ascii="Arial" w:hAnsi="Arial" w:cs="Arial"/>
        </w:rPr>
      </w:pPr>
      <w:r>
        <w:rPr>
          <w:rStyle w:val="Strong"/>
          <w:rFonts w:cs="Arial" w:ascii="Arial" w:hAnsi="Arial"/>
        </w:rPr>
        <w:t>2.9.4 Consequences for the Economy and Systemic Stability</w:t>
      </w:r>
    </w:p>
    <w:p>
      <w:pPr>
        <w:pStyle w:val="BodyText"/>
        <w:spacing w:lineRule="auto" w:line="480"/>
        <w:ind w:hanging="0" w:start="0" w:end="0"/>
        <w:rPr>
          <w:rFonts w:ascii="Arial" w:hAnsi="Arial" w:cs="Arial"/>
        </w:rPr>
      </w:pPr>
      <w:r>
        <w:rPr>
          <w:rFonts w:cs="Arial" w:ascii="Arial" w:hAnsi="Arial"/>
        </w:rPr>
        <w:t xml:space="preserve">High NPLs, driven by governance deficiencies, pose a significant threat to Nigeria’s </w:t>
      </w:r>
      <w:r>
        <w:rPr>
          <w:rStyle w:val="Strong"/>
          <w:rFonts w:cs="Arial" w:ascii="Arial" w:hAnsi="Arial"/>
        </w:rPr>
        <w:t>deposit money banking</w:t>
      </w:r>
      <w:r>
        <w:rPr>
          <w:rFonts w:cs="Arial" w:ascii="Arial" w:hAnsi="Arial"/>
        </w:rPr>
        <w:t xml:space="preserve"> sector and broader economy, where banks are engines of growth (King &amp; Levine, 1993). The 2009 crisis, with its $3.9 billion bailout, illustrates how NPLs, fueled by insider lending and weak </w:t>
      </w:r>
      <w:r>
        <w:rPr>
          <w:rStyle w:val="Strong"/>
          <w:rFonts w:cs="Arial" w:ascii="Arial" w:hAnsi="Arial"/>
        </w:rPr>
        <w:t>practice indices</w:t>
      </w:r>
      <w:r>
        <w:rPr>
          <w:rFonts w:cs="Arial" w:ascii="Arial" w:hAnsi="Arial"/>
        </w:rPr>
        <w:t>, lead to systemic instability, eroding capital and triggering deposit withdrawals (Sanusi, 2009). Fernando et al. (</w:t>
      </w:r>
      <w:r>
        <w:rPr>
          <w:rStyle w:val="Strong"/>
          <w:rFonts w:cs="Arial" w:ascii="Arial" w:hAnsi="Arial"/>
        </w:rPr>
        <w:t>2019</w:t>
      </w:r>
      <w:r>
        <w:rPr>
          <w:rFonts w:cs="Arial" w:ascii="Arial" w:hAnsi="Arial"/>
        </w:rPr>
        <w:t xml:space="preserve">) note that concentrated ownership, prevalent in Nigeria, correlates with higher default risk, as managers misuse funds, exacerbating NPLs. Reforms like independent risk committees, stringent </w:t>
      </w:r>
      <w:r>
        <w:rPr>
          <w:rStyle w:val="Strong"/>
          <w:rFonts w:cs="Arial" w:ascii="Arial" w:hAnsi="Arial"/>
        </w:rPr>
        <w:t>qualification criteria</w:t>
      </w:r>
      <w:r>
        <w:rPr>
          <w:rFonts w:cs="Arial" w:ascii="Arial" w:hAnsi="Arial"/>
        </w:rPr>
        <w:t xml:space="preserve"> for management, and </w:t>
      </w:r>
      <w:r>
        <w:rPr>
          <w:rStyle w:val="Strong"/>
          <w:rFonts w:cs="Arial" w:ascii="Arial" w:hAnsi="Arial"/>
        </w:rPr>
        <w:t>harmonized regulations</w:t>
      </w:r>
      <w:r>
        <w:rPr>
          <w:rFonts w:cs="Arial" w:ascii="Arial" w:hAnsi="Arial"/>
        </w:rPr>
        <w:t xml:space="preserve">, as advocated by Adegboye (2020) and aligned with Basel III standards (BCBS, 2010), could mitigate NPLs by enhancing oversight and </w:t>
      </w:r>
      <w:r>
        <w:rPr>
          <w:rStyle w:val="Strong"/>
          <w:rFonts w:cs="Arial" w:ascii="Arial" w:hAnsi="Arial"/>
        </w:rPr>
        <w:t>disclosure</w:t>
      </w:r>
      <w:r>
        <w:rPr>
          <w:rFonts w:cs="Arial" w:ascii="Arial" w:hAnsi="Arial"/>
        </w:rPr>
        <w:t xml:space="preserve">. Addressing data reliability through cross-validation and robust auditing, per Olojede et al. (2020), is essential to ensure accurate risk assessment. These reforms align with research objective OB1 and hypothesis H1, emphasizing robust </w:t>
      </w:r>
      <w:r>
        <w:rPr>
          <w:rStyle w:val="Strong"/>
          <w:rFonts w:cs="Arial" w:ascii="Arial" w:hAnsi="Arial"/>
        </w:rPr>
        <w:t>practice indices</w:t>
      </w:r>
      <w:r>
        <w:rPr>
          <w:rFonts w:cs="Arial" w:ascii="Arial" w:hAnsi="Arial"/>
        </w:rPr>
        <w:t xml:space="preserve"> to reduce NPLs, and OB2 and H2 by emphasizing </w:t>
      </w:r>
      <w:r>
        <w:rPr>
          <w:rStyle w:val="Strong"/>
          <w:rFonts w:cs="Arial" w:ascii="Arial" w:hAnsi="Arial"/>
        </w:rPr>
        <w:t>audit committee independence</w:t>
      </w:r>
      <w:r>
        <w:rPr>
          <w:rFonts w:cs="Arial" w:ascii="Arial" w:hAnsi="Arial"/>
        </w:rPr>
        <w:t xml:space="preserve">, setting the stage for further analysis of governance reforms in Nigeria’s </w:t>
      </w:r>
      <w:r>
        <w:rPr>
          <w:rStyle w:val="Strong"/>
          <w:rFonts w:cs="Arial" w:ascii="Arial" w:hAnsi="Arial"/>
        </w:rPr>
        <w:t>deposit money banking</w:t>
      </w:r>
      <w:r>
        <w:rPr>
          <w:rFonts w:cs="Arial" w:ascii="Arial" w:hAnsi="Arial"/>
        </w:rPr>
        <w:t xml:space="preserve"> sector (Ozili, 2020). </w:t>
      </w:r>
      <w:r>
        <w:rPr>
          <w:rStyle w:val="Strong"/>
          <w:rFonts w:cs="Arial" w:ascii="Arial" w:hAnsi="Arial"/>
        </w:rPr>
        <w:t>This approach ensures robust analysis and meaningful contributions to corporate governance literature for Nigeria’s post-2004 consolidation banking sector (Ozili, 2020). Ojo and Ojo (2024) further link NPLs to audit committee independence and practice indices, noting that improved disclosure can enhance compliance.</w:t>
      </w:r>
      <w:r>
        <w:rPr>
          <w:rFonts w:cs="Arial" w:ascii="Arial" w:hAnsi="Arial"/>
        </w:rPr>
        <w:t xml:space="preserve"> </w:t>
      </w:r>
      <w:r>
        <w:rPr>
          <w:rStyle w:val="Strong"/>
          <w:rFonts w:cs="Arial" w:ascii="Arial" w:hAnsi="Arial"/>
        </w:rPr>
        <w:t>In 2024, with NPLs at 5.62% amid recapitalization, high ratios could hinder 3.4% GDP growth (IMF, 2024).</w:t>
      </w:r>
    </w:p>
    <w:p>
      <w:pPr>
        <w:pStyle w:val="BodyText"/>
        <w:spacing w:lineRule="auto" w:line="480"/>
        <w:ind w:hanging="0" w:start="0" w:end="0"/>
        <w:rPr>
          <w:rFonts w:ascii="Arial" w:hAnsi="Arial" w:cs="Arial"/>
        </w:rPr>
      </w:pPr>
      <w:r>
        <w:rPr>
          <w:rStyle w:val="Strong"/>
          <w:rFonts w:cs="Arial" w:ascii="Arial" w:hAnsi="Arial"/>
        </w:rPr>
        <w:t>2.9.5 Proposed Reforms to Mitigate NPLs</w:t>
      </w:r>
    </w:p>
    <w:p>
      <w:pPr>
        <w:pStyle w:val="BodyText"/>
        <w:spacing w:lineRule="auto" w:line="480"/>
        <w:ind w:hanging="0" w:start="0" w:end="0"/>
        <w:rPr>
          <w:rFonts w:ascii="Arial" w:hAnsi="Arial" w:cs="Arial"/>
        </w:rPr>
      </w:pPr>
      <w:r>
        <w:rPr>
          <w:rFonts w:cs="Arial" w:ascii="Arial" w:hAnsi="Arial"/>
        </w:rPr>
        <w:t xml:space="preserve">Reforms to address NPL drivers include independent risk committees, </w:t>
      </w:r>
      <w:r>
        <w:rPr>
          <w:rStyle w:val="Strong"/>
          <w:rFonts w:cs="Arial" w:ascii="Arial" w:hAnsi="Arial"/>
        </w:rPr>
        <w:t>merit-based appointments</w:t>
      </w:r>
      <w:r>
        <w:rPr>
          <w:rFonts w:cs="Arial" w:ascii="Arial" w:hAnsi="Arial"/>
        </w:rPr>
        <w:t xml:space="preserve">, and </w:t>
      </w:r>
      <w:r>
        <w:rPr>
          <w:rStyle w:val="Strong"/>
          <w:rFonts w:cs="Arial" w:ascii="Arial" w:hAnsi="Arial"/>
        </w:rPr>
        <w:t>harmonized regulations</w:t>
      </w:r>
      <w:r>
        <w:rPr>
          <w:rFonts w:cs="Arial" w:ascii="Arial" w:hAnsi="Arial"/>
        </w:rPr>
        <w:t xml:space="preserve">. These align with Basel III and OECD standards, enhancing </w:t>
      </w:r>
      <w:r>
        <w:rPr>
          <w:rStyle w:val="Strong"/>
          <w:rFonts w:cs="Arial" w:ascii="Arial" w:hAnsi="Arial"/>
        </w:rPr>
        <w:t>disclosure and compliance</w:t>
      </w:r>
      <w:r>
        <w:rPr>
          <w:rFonts w:cs="Arial" w:ascii="Arial" w:hAnsi="Arial"/>
        </w:rPr>
        <w:t xml:space="preserve"> (BCBS, 2010; OECD, 2023).</w:t>
      </w:r>
    </w:p>
    <w:p>
      <w:pPr>
        <w:pStyle w:val="BodyText"/>
        <w:spacing w:lineRule="auto" w:line="480"/>
        <w:ind w:hanging="0" w:start="0" w:end="0"/>
        <w:rPr>
          <w:rFonts w:ascii="Arial" w:hAnsi="Arial" w:cs="Arial"/>
        </w:rPr>
      </w:pPr>
      <w:r>
        <w:rPr>
          <w:rStyle w:val="Strong"/>
          <w:rFonts w:cs="Arial" w:ascii="Arial" w:hAnsi="Arial"/>
        </w:rPr>
        <w:t>Table 2.12: Proposed Reforms to Mitigate NPLs Through Governance Enhancements</w:t>
      </w:r>
    </w:p>
    <w:tbl>
      <w:tblPr>
        <w:tblW w:w="9972" w:type="dxa"/>
        <w:jc w:val="start"/>
        <w:tblInd w:w="0" w:type="dxa"/>
        <w:tblLayout w:type="fixed"/>
        <w:tblCellMar>
          <w:top w:w="28" w:type="dxa"/>
          <w:start w:w="28" w:type="dxa"/>
          <w:bottom w:w="28" w:type="dxa"/>
          <w:end w:w="28" w:type="dxa"/>
        </w:tblCellMar>
      </w:tblPr>
      <w:tblGrid>
        <w:gridCol w:w="1849"/>
        <w:gridCol w:w="2067"/>
        <w:gridCol w:w="2336"/>
        <w:gridCol w:w="1973"/>
        <w:gridCol w:w="1747"/>
      </w:tblGrid>
      <w:tr>
        <w:trPr>
          <w:tblHeader w:val="true"/>
        </w:trPr>
        <w:tc>
          <w:tcPr>
            <w:tcW w:w="1849" w:type="dxa"/>
            <w:tcBorders/>
            <w:vAlign w:val="center"/>
          </w:tcPr>
          <w:p>
            <w:pPr>
              <w:pStyle w:val="TableHeading"/>
              <w:rPr/>
            </w:pPr>
            <w:r>
              <w:rPr>
                <w:rStyle w:val="Strong"/>
                <w:b/>
                <w:bCs/>
              </w:rPr>
              <w:t>Reform</w:t>
            </w:r>
          </w:p>
        </w:tc>
        <w:tc>
          <w:tcPr>
            <w:tcW w:w="2067" w:type="dxa"/>
            <w:tcBorders/>
            <w:vAlign w:val="center"/>
          </w:tcPr>
          <w:p>
            <w:pPr>
              <w:pStyle w:val="TableHeading"/>
              <w:rPr/>
            </w:pPr>
            <w:r>
              <w:rPr>
                <w:rStyle w:val="Strong"/>
                <w:b/>
                <w:bCs/>
              </w:rPr>
              <w:t>Description</w:t>
            </w:r>
          </w:p>
        </w:tc>
        <w:tc>
          <w:tcPr>
            <w:tcW w:w="2336" w:type="dxa"/>
            <w:tcBorders/>
            <w:vAlign w:val="center"/>
          </w:tcPr>
          <w:p>
            <w:pPr>
              <w:pStyle w:val="TableHeading"/>
              <w:rPr/>
            </w:pPr>
            <w:r>
              <w:rPr>
                <w:rStyle w:val="Strong"/>
                <w:b/>
                <w:bCs/>
              </w:rPr>
              <w:t>Expected Impact</w:t>
            </w:r>
          </w:p>
        </w:tc>
        <w:tc>
          <w:tcPr>
            <w:tcW w:w="1973" w:type="dxa"/>
            <w:tcBorders/>
            <w:vAlign w:val="center"/>
          </w:tcPr>
          <w:p>
            <w:pPr>
              <w:pStyle w:val="TableHeading"/>
              <w:rPr/>
            </w:pPr>
            <w:r>
              <w:rPr>
                <w:rStyle w:val="Strong"/>
                <w:b/>
                <w:bCs/>
              </w:rPr>
              <w:t>Global Benchmark</w:t>
            </w:r>
          </w:p>
        </w:tc>
        <w:tc>
          <w:tcPr>
            <w:tcW w:w="1747" w:type="dxa"/>
            <w:tcBorders/>
            <w:vAlign w:val="center"/>
          </w:tcPr>
          <w:p>
            <w:pPr>
              <w:pStyle w:val="TableHeading"/>
              <w:ind w:hanging="0" w:start="0" w:end="0"/>
              <w:rPr/>
            </w:pPr>
            <w:r>
              <w:rPr>
                <w:rStyle w:val="Strong"/>
                <w:b/>
                <w:bCs/>
              </w:rPr>
              <w:t>Source</w:t>
            </w:r>
          </w:p>
        </w:tc>
      </w:tr>
      <w:tr>
        <w:trPr/>
        <w:tc>
          <w:tcPr>
            <w:tcW w:w="1849" w:type="dxa"/>
            <w:tcBorders/>
            <w:vAlign w:val="center"/>
          </w:tcPr>
          <w:p>
            <w:pPr>
              <w:pStyle w:val="TableContents"/>
              <w:ind w:hanging="0" w:start="0" w:end="0"/>
              <w:rPr/>
            </w:pPr>
            <w:r>
              <w:rPr>
                <w:rStyle w:val="Strong"/>
              </w:rPr>
              <w:t>Independent Risk Committees</w:t>
            </w:r>
          </w:p>
        </w:tc>
        <w:tc>
          <w:tcPr>
            <w:tcW w:w="2067" w:type="dxa"/>
            <w:tcBorders/>
            <w:vAlign w:val="center"/>
          </w:tcPr>
          <w:p>
            <w:pPr>
              <w:pStyle w:val="TableContents"/>
              <w:ind w:hanging="0" w:start="0" w:end="0"/>
              <w:rPr/>
            </w:pPr>
            <w:r>
              <w:rPr/>
              <w:t>Mandate committees for loan oversight.</w:t>
            </w:r>
          </w:p>
        </w:tc>
        <w:tc>
          <w:tcPr>
            <w:tcW w:w="2336" w:type="dxa"/>
            <w:tcBorders/>
            <w:vAlign w:val="center"/>
          </w:tcPr>
          <w:p>
            <w:pPr>
              <w:pStyle w:val="TableContents"/>
              <w:ind w:hanging="0" w:start="0" w:end="0"/>
              <w:rPr/>
            </w:pPr>
            <w:r>
              <w:rPr/>
              <w:t>Reduces lax lending, lowers NPLs.</w:t>
            </w:r>
          </w:p>
        </w:tc>
        <w:tc>
          <w:tcPr>
            <w:tcW w:w="1973" w:type="dxa"/>
            <w:tcBorders/>
            <w:vAlign w:val="center"/>
          </w:tcPr>
          <w:p>
            <w:pPr>
              <w:pStyle w:val="TableContents"/>
              <w:ind w:hanging="0" w:start="0" w:end="0"/>
              <w:rPr/>
            </w:pPr>
            <w:r>
              <w:rPr/>
              <w:t>Basel III: Risk committee mandates (BCBS, 2010).</w:t>
            </w:r>
          </w:p>
        </w:tc>
        <w:tc>
          <w:tcPr>
            <w:tcW w:w="1747" w:type="dxa"/>
            <w:tcBorders/>
            <w:vAlign w:val="center"/>
          </w:tcPr>
          <w:p>
            <w:pPr>
              <w:pStyle w:val="TableContents"/>
              <w:ind w:hanging="0" w:start="0" w:end="0"/>
              <w:rPr/>
            </w:pPr>
            <w:r>
              <w:rPr/>
              <w:t>Adegboye (2020)</w:t>
            </w:r>
          </w:p>
        </w:tc>
      </w:tr>
      <w:tr>
        <w:trPr/>
        <w:tc>
          <w:tcPr>
            <w:tcW w:w="1849" w:type="dxa"/>
            <w:tcBorders/>
            <w:vAlign w:val="center"/>
          </w:tcPr>
          <w:p>
            <w:pPr>
              <w:pStyle w:val="TableContents"/>
              <w:ind w:hanging="0" w:start="0" w:end="0"/>
              <w:rPr/>
            </w:pPr>
            <w:r>
              <w:rPr>
                <w:rStyle w:val="Strong"/>
              </w:rPr>
              <w:t>Merit-Based Appointments</w:t>
            </w:r>
          </w:p>
        </w:tc>
        <w:tc>
          <w:tcPr>
            <w:tcW w:w="2067" w:type="dxa"/>
            <w:tcBorders/>
            <w:vAlign w:val="center"/>
          </w:tcPr>
          <w:p>
            <w:pPr>
              <w:pStyle w:val="TableContents"/>
              <w:ind w:hanging="0" w:start="0" w:end="0"/>
              <w:rPr/>
            </w:pPr>
            <w:r>
              <w:rPr/>
              <w:t xml:space="preserve">Enforce </w:t>
            </w:r>
            <w:r>
              <w:rPr>
                <w:rStyle w:val="Strong"/>
              </w:rPr>
              <w:t>qualification criteria</w:t>
            </w:r>
            <w:r>
              <w:rPr/>
              <w:t xml:space="preserve"> for executives.</w:t>
            </w:r>
          </w:p>
        </w:tc>
        <w:tc>
          <w:tcPr>
            <w:tcW w:w="2336" w:type="dxa"/>
            <w:tcBorders/>
            <w:vAlign w:val="center"/>
          </w:tcPr>
          <w:p>
            <w:pPr>
              <w:pStyle w:val="TableContents"/>
              <w:ind w:hanging="0" w:start="0" w:end="0"/>
              <w:rPr/>
            </w:pPr>
            <w:r>
              <w:rPr/>
              <w:t xml:space="preserve">Improves risk assessment, enhances </w:t>
            </w:r>
            <w:r>
              <w:rPr>
                <w:rStyle w:val="Strong"/>
              </w:rPr>
              <w:t>practice indices</w:t>
            </w:r>
            <w:r>
              <w:rPr/>
              <w:t>.</w:t>
            </w:r>
          </w:p>
        </w:tc>
        <w:tc>
          <w:tcPr>
            <w:tcW w:w="1973" w:type="dxa"/>
            <w:tcBorders/>
            <w:vAlign w:val="center"/>
          </w:tcPr>
          <w:p>
            <w:pPr>
              <w:pStyle w:val="TableContents"/>
              <w:ind w:hanging="0" w:start="0" w:end="0"/>
              <w:rPr/>
            </w:pPr>
            <w:r>
              <w:rPr/>
              <w:t>OECD: Competency standards (OECD, 2023).</w:t>
            </w:r>
          </w:p>
        </w:tc>
        <w:tc>
          <w:tcPr>
            <w:tcW w:w="1747" w:type="dxa"/>
            <w:tcBorders/>
            <w:vAlign w:val="center"/>
          </w:tcPr>
          <w:p>
            <w:pPr>
              <w:pStyle w:val="TableContents"/>
              <w:ind w:hanging="0" w:start="0" w:end="0"/>
              <w:rPr/>
            </w:pPr>
            <w:r>
              <w:rPr/>
              <w:t>Nwoko et al. (2022)</w:t>
            </w:r>
          </w:p>
        </w:tc>
      </w:tr>
      <w:tr>
        <w:trPr/>
        <w:tc>
          <w:tcPr>
            <w:tcW w:w="1849" w:type="dxa"/>
            <w:tcBorders/>
            <w:vAlign w:val="center"/>
          </w:tcPr>
          <w:p>
            <w:pPr>
              <w:pStyle w:val="TableContents"/>
              <w:ind w:hanging="0" w:start="0" w:end="0"/>
              <w:rPr/>
            </w:pPr>
            <w:r>
              <w:rPr>
                <w:rStyle w:val="Strong"/>
              </w:rPr>
              <w:t>Harmonized Regulations</w:t>
            </w:r>
          </w:p>
        </w:tc>
        <w:tc>
          <w:tcPr>
            <w:tcW w:w="2067" w:type="dxa"/>
            <w:tcBorders/>
            <w:vAlign w:val="center"/>
          </w:tcPr>
          <w:p>
            <w:pPr>
              <w:pStyle w:val="TableContents"/>
              <w:ind w:hanging="0" w:start="0" w:end="0"/>
              <w:rPr/>
            </w:pPr>
            <w:r>
              <w:rPr/>
              <w:t xml:space="preserve">Unify codes like CAMA/NCCG for </w:t>
            </w:r>
            <w:r>
              <w:rPr>
                <w:rStyle w:val="Strong"/>
              </w:rPr>
              <w:t>regulatory clarity</w:t>
            </w:r>
            <w:r>
              <w:rPr/>
              <w:t>.</w:t>
            </w:r>
          </w:p>
        </w:tc>
        <w:tc>
          <w:tcPr>
            <w:tcW w:w="2336" w:type="dxa"/>
            <w:tcBorders/>
            <w:vAlign w:val="center"/>
          </w:tcPr>
          <w:p>
            <w:pPr>
              <w:pStyle w:val="TableContents"/>
              <w:ind w:hanging="0" w:start="0" w:end="0"/>
              <w:rPr/>
            </w:pPr>
            <w:r>
              <w:rPr/>
              <w:t xml:space="preserve">Minimizes selective </w:t>
            </w:r>
            <w:r>
              <w:rPr>
                <w:rStyle w:val="Strong"/>
              </w:rPr>
              <w:t>compliance</w:t>
            </w:r>
            <w:r>
              <w:rPr/>
              <w:t xml:space="preserve">, boosts </w:t>
            </w:r>
            <w:r>
              <w:rPr>
                <w:rStyle w:val="Strong"/>
              </w:rPr>
              <w:t>disclosure</w:t>
            </w:r>
            <w:r>
              <w:rPr/>
              <w:t>.</w:t>
            </w:r>
          </w:p>
        </w:tc>
        <w:tc>
          <w:tcPr>
            <w:tcW w:w="1973" w:type="dxa"/>
            <w:tcBorders/>
            <w:vAlign w:val="center"/>
          </w:tcPr>
          <w:p>
            <w:pPr>
              <w:pStyle w:val="TableContents"/>
              <w:ind w:hanging="0" w:start="0" w:end="0"/>
              <w:rPr/>
            </w:pPr>
            <w:r>
              <w:rPr/>
              <w:t>EU integrated frameworks (EU, 2019).</w:t>
            </w:r>
          </w:p>
        </w:tc>
        <w:tc>
          <w:tcPr>
            <w:tcW w:w="1747" w:type="dxa"/>
            <w:tcBorders/>
            <w:vAlign w:val="center"/>
          </w:tcPr>
          <w:p>
            <w:pPr>
              <w:pStyle w:val="TableContents"/>
              <w:ind w:hanging="0" w:start="0" w:end="0"/>
              <w:rPr/>
            </w:pPr>
            <w:r>
              <w:rPr/>
              <w:t>Abdulmalik &amp; Ahmad (2020)</w:t>
            </w:r>
          </w:p>
        </w:tc>
      </w:tr>
      <w:tr>
        <w:trPr/>
        <w:tc>
          <w:tcPr>
            <w:tcW w:w="1849" w:type="dxa"/>
            <w:tcBorders/>
            <w:vAlign w:val="center"/>
          </w:tcPr>
          <w:p>
            <w:pPr>
              <w:pStyle w:val="TableContents"/>
              <w:ind w:hanging="0" w:start="0" w:end="0"/>
              <w:rPr/>
            </w:pPr>
            <w:r>
              <w:rPr>
                <w:rStyle w:val="Strong"/>
              </w:rPr>
              <w:t>Enhanced Data Validation</w:t>
            </w:r>
          </w:p>
        </w:tc>
        <w:tc>
          <w:tcPr>
            <w:tcW w:w="2067" w:type="dxa"/>
            <w:tcBorders/>
            <w:vAlign w:val="center"/>
          </w:tcPr>
          <w:p>
            <w:pPr>
              <w:pStyle w:val="TableContents"/>
              <w:ind w:hanging="0" w:start="0" w:end="0"/>
              <w:rPr/>
            </w:pPr>
            <w:r>
              <w:rPr/>
              <w:t>Mandate cross-audits for NPL reporting.</w:t>
            </w:r>
          </w:p>
        </w:tc>
        <w:tc>
          <w:tcPr>
            <w:tcW w:w="2336" w:type="dxa"/>
            <w:tcBorders/>
            <w:vAlign w:val="center"/>
          </w:tcPr>
          <w:p>
            <w:pPr>
              <w:pStyle w:val="TableContents"/>
              <w:ind w:hanging="0" w:start="0" w:end="0"/>
              <w:rPr/>
            </w:pPr>
            <w:r>
              <w:rPr/>
              <w:t xml:space="preserve">Improves reliability, supports </w:t>
            </w:r>
            <w:r>
              <w:rPr>
                <w:rStyle w:val="Strong"/>
              </w:rPr>
              <w:t>audit committee independence</w:t>
            </w:r>
            <w:r>
              <w:rPr/>
              <w:t>.</w:t>
            </w:r>
          </w:p>
        </w:tc>
        <w:tc>
          <w:tcPr>
            <w:tcW w:w="1973" w:type="dxa"/>
            <w:tcBorders/>
            <w:vAlign w:val="center"/>
          </w:tcPr>
          <w:p>
            <w:pPr>
              <w:pStyle w:val="TableContents"/>
              <w:ind w:hanging="0" w:start="0" w:end="0"/>
              <w:rPr/>
            </w:pPr>
            <w:r>
              <w:rPr/>
              <w:t>IFRS 9: Loan classification (IASB, 2014).</w:t>
            </w:r>
          </w:p>
        </w:tc>
        <w:tc>
          <w:tcPr>
            <w:tcW w:w="1747" w:type="dxa"/>
            <w:tcBorders/>
            <w:vAlign w:val="center"/>
          </w:tcPr>
          <w:p>
            <w:pPr>
              <w:pStyle w:val="TableContents"/>
              <w:rPr/>
            </w:pPr>
            <w:r>
              <w:rPr/>
              <w:t>Olojede et al. (2020), Ojo &amp; Ojo (2024)</w:t>
            </w:r>
          </w:p>
        </w:tc>
      </w:tr>
    </w:tbl>
    <w:p>
      <w:pPr>
        <w:pStyle w:val="BodyText"/>
        <w:spacing w:lineRule="auto" w:line="480"/>
        <w:ind w:hanging="0" w:start="0" w:end="0"/>
        <w:rPr>
          <w:rFonts w:ascii="Arial" w:hAnsi="Arial" w:cs="Arial"/>
        </w:rPr>
      </w:pPr>
      <w:r>
        <w:rPr>
          <w:rStyle w:val="Strong"/>
          <w:rFonts w:cs="Arial" w:ascii="Arial" w:hAnsi="Arial"/>
        </w:rPr>
        <w:t>Note</w:t>
      </w:r>
      <w:r>
        <w:rPr>
          <w:rFonts w:cs="Arial" w:ascii="Arial" w:hAnsi="Arial"/>
        </w:rPr>
        <w:t xml:space="preserve">: Adapted from Adegboye (2020), Nwoko et al. (2022), and Afolabi and Afolabi (2024). Reforms address </w:t>
      </w:r>
      <w:r>
        <w:rPr>
          <w:rStyle w:val="Strong"/>
          <w:rFonts w:cs="Arial" w:ascii="Arial" w:hAnsi="Arial"/>
        </w:rPr>
        <w:t>disclosure, practice, compliance, and audit committee independence.</w:t>
      </w:r>
    </w:p>
    <w:p>
      <w:pPr>
        <w:pStyle w:val="BodyText"/>
        <w:spacing w:lineRule="auto" w:line="480"/>
        <w:ind w:hanging="0" w:start="0" w:end="0"/>
        <w:rPr>
          <w:rFonts w:ascii="Arial" w:hAnsi="Arial" w:cs="Arial"/>
        </w:rPr>
      </w:pPr>
      <w:r>
        <w:rPr>
          <w:rStyle w:val="Strong"/>
          <w:rFonts w:cs="Arial" w:ascii="Arial" w:hAnsi="Arial"/>
        </w:rPr>
        <w:t>2.9.6 Ties to Corporate Governance Indices</w:t>
      </w:r>
    </w:p>
    <w:p>
      <w:pPr>
        <w:pStyle w:val="BodyText"/>
        <w:spacing w:lineRule="auto" w:line="480"/>
        <w:ind w:hanging="0" w:start="0" w:end="0"/>
        <w:rPr>
          <w:rFonts w:ascii="Arial" w:hAnsi="Arial" w:cs="Arial"/>
        </w:rPr>
      </w:pPr>
      <w:r>
        <w:rPr>
          <w:rFonts w:cs="Arial" w:ascii="Arial" w:hAnsi="Arial"/>
        </w:rPr>
        <w:t xml:space="preserve">NPLs in Nigeria’s </w:t>
      </w:r>
      <w:r>
        <w:rPr>
          <w:rStyle w:val="Strong"/>
          <w:rFonts w:cs="Arial" w:ascii="Arial" w:hAnsi="Arial"/>
        </w:rPr>
        <w:t>deposit money banking</w:t>
      </w:r>
      <w:r>
        <w:rPr>
          <w:rFonts w:cs="Arial" w:ascii="Arial" w:hAnsi="Arial"/>
        </w:rPr>
        <w:t xml:space="preserve"> sector undermine the core </w:t>
      </w:r>
      <w:r>
        <w:rPr>
          <w:rStyle w:val="Strong"/>
          <w:rFonts w:cs="Arial" w:ascii="Arial" w:hAnsi="Arial"/>
        </w:rPr>
        <w:t>indices of disclosure, practice, and compliance</w:t>
      </w:r>
      <w:r>
        <w:rPr>
          <w:rFonts w:cs="Arial" w:ascii="Arial" w:hAnsi="Arial"/>
        </w:rPr>
        <w:t xml:space="preserve">. Weak oversight erodes </w:t>
      </w:r>
      <w:r>
        <w:rPr>
          <w:rStyle w:val="Strong"/>
          <w:rFonts w:cs="Arial" w:ascii="Arial" w:hAnsi="Arial"/>
        </w:rPr>
        <w:t>disclosure</w:t>
      </w:r>
      <w:r>
        <w:rPr>
          <w:rFonts w:cs="Arial" w:ascii="Arial" w:hAnsi="Arial"/>
        </w:rPr>
        <w:t xml:space="preserve"> by allowing misreporting, as in Oceanic Bank (Sanusi, 2009). </w:t>
      </w:r>
      <w:r>
        <w:rPr>
          <w:rStyle w:val="Strong"/>
          <w:rFonts w:cs="Arial" w:ascii="Arial" w:hAnsi="Arial"/>
        </w:rPr>
        <w:t>Compliance</w:t>
      </w:r>
      <w:r>
        <w:rPr>
          <w:rFonts w:cs="Arial" w:ascii="Arial" w:hAnsi="Arial"/>
        </w:rPr>
        <w:t xml:space="preserve"> is compromised by </w:t>
      </w:r>
      <w:r>
        <w:rPr>
          <w:rStyle w:val="Strong"/>
          <w:rFonts w:cs="Arial" w:ascii="Arial" w:hAnsi="Arial"/>
        </w:rPr>
        <w:t>unqualified management</w:t>
      </w:r>
      <w:r>
        <w:rPr>
          <w:rFonts w:cs="Arial" w:ascii="Arial" w:hAnsi="Arial"/>
        </w:rPr>
        <w:t xml:space="preserve">, enabling insider abuses (Nwoko et al., 2022). </w:t>
      </w:r>
      <w:r>
        <w:rPr>
          <w:rStyle w:val="Strong"/>
          <w:rFonts w:cs="Arial" w:ascii="Arial" w:hAnsi="Arial"/>
        </w:rPr>
        <w:t>Practice indices</w:t>
      </w:r>
      <w:r>
        <w:rPr>
          <w:rFonts w:cs="Arial" w:ascii="Arial" w:hAnsi="Arial"/>
        </w:rPr>
        <w:t xml:space="preserve"> suffer from lax lending, leading to instability (Owolabi, 2013). Risk management is directly weakened, driving NPL spikes (Adegboye, 2020). </w:t>
      </w:r>
      <w:r>
        <w:rPr>
          <w:rStyle w:val="Strong"/>
          <w:rFonts w:cs="Arial" w:ascii="Arial" w:hAnsi="Arial"/>
        </w:rPr>
        <w:t>Audit committee independence</w:t>
      </w:r>
      <w:r>
        <w:rPr>
          <w:rFonts w:cs="Arial" w:ascii="Arial" w:hAnsi="Arial"/>
        </w:rPr>
        <w:t xml:space="preserve"> is undermined by opaque data, as noted by Ojo and Ojo (2024), necessitating integrated reforms.</w:t>
      </w:r>
    </w:p>
    <w:p>
      <w:pPr>
        <w:pStyle w:val="BodyText"/>
        <w:spacing w:lineRule="auto" w:line="480"/>
        <w:ind w:hanging="0" w:start="0" w:end="0"/>
        <w:rPr>
          <w:rFonts w:ascii="Arial" w:hAnsi="Arial" w:cs="Arial"/>
        </w:rPr>
      </w:pPr>
      <w:r>
        <w:rPr>
          <w:rStyle w:val="Strong"/>
          <w:rFonts w:cs="Arial" w:ascii="Arial" w:hAnsi="Arial"/>
        </w:rPr>
        <w:t>NPLs serve as a critical measure of default risk in Nigeria’s deposit money banking sector, driven by governance deficiencies like weak oversight, unqualified management, and regulatory multiplicity, with peaks at 37% in 2009 and 20% in 2017 (Fernando et al., 2019; Natufe &amp; Evbayiro-Osagie, 2023; Adegboye, 2020; Nwosu, 2020). Recent 2024 data shows 5.62% in April, highlighting persistence (CBN, 2024).</w:t>
      </w:r>
      <w:r>
        <w:rPr>
          <w:rFonts w:cs="Arial" w:ascii="Arial" w:hAnsi="Arial"/>
        </w:rPr>
        <w:t xml:space="preserve"> Data reliability issues, stemming from opaque reporting, necessitate cross-validation to ensure accurate NPL measurement (Olojede et al., 2020). The 2009 crisis highlights how these failures lead to systemic instability, underscoring the need for reforms aligned with global standards to enhance governance and reduce default risk. This section supports OB1 and H1 by linking </w:t>
      </w:r>
      <w:r>
        <w:rPr>
          <w:rStyle w:val="Strong"/>
          <w:rFonts w:cs="Arial" w:ascii="Arial" w:hAnsi="Arial"/>
        </w:rPr>
        <w:t>practice indices</w:t>
      </w:r>
      <w:r>
        <w:rPr>
          <w:rFonts w:cs="Arial" w:ascii="Arial" w:hAnsi="Arial"/>
        </w:rPr>
        <w:t xml:space="preserve"> to NPL reduction, OB2 and H2 by emphasizing </w:t>
      </w:r>
      <w:r>
        <w:rPr>
          <w:rStyle w:val="Strong"/>
          <w:rFonts w:cs="Arial" w:ascii="Arial" w:hAnsi="Arial"/>
        </w:rPr>
        <w:t>audit committee independence</w:t>
      </w:r>
      <w:r>
        <w:rPr>
          <w:rFonts w:cs="Arial" w:ascii="Arial" w:hAnsi="Arial"/>
        </w:rPr>
        <w:t xml:space="preserve">, OB3 and H3 by focusing on </w:t>
      </w:r>
      <w:r>
        <w:rPr>
          <w:rStyle w:val="Strong"/>
          <w:rFonts w:cs="Arial" w:ascii="Arial" w:hAnsi="Arial"/>
        </w:rPr>
        <w:t>management qualifications</w:t>
      </w:r>
      <w:r>
        <w:rPr>
          <w:rFonts w:cs="Arial" w:ascii="Arial" w:hAnsi="Arial"/>
        </w:rPr>
        <w:t xml:space="preserve">, and OB4 and H4 by addressing </w:t>
      </w:r>
      <w:r>
        <w:rPr>
          <w:rStyle w:val="Strong"/>
          <w:rFonts w:cs="Arial" w:ascii="Arial" w:hAnsi="Arial"/>
        </w:rPr>
        <w:t>regulatory clarity</w:t>
      </w:r>
      <w:r>
        <w:rPr>
          <w:rFonts w:cs="Arial" w:ascii="Arial" w:hAnsi="Arial"/>
        </w:rPr>
        <w:t xml:space="preserve">, setting the stage for further analysis of governance reforms in Nigeria’s </w:t>
      </w:r>
      <w:r>
        <w:rPr>
          <w:rStyle w:val="Strong"/>
          <w:rFonts w:cs="Arial" w:ascii="Arial" w:hAnsi="Arial"/>
        </w:rPr>
        <w:t>deposit money banking</w:t>
      </w:r>
      <w:r>
        <w:rPr>
          <w:rFonts w:cs="Arial" w:ascii="Arial" w:hAnsi="Arial"/>
        </w:rPr>
        <w:t xml:space="preserve"> sector. </w:t>
      </w:r>
      <w:r>
        <w:rPr>
          <w:rStyle w:val="Strong"/>
          <w:rFonts w:cs="Arial" w:ascii="Arial" w:hAnsi="Arial"/>
        </w:rPr>
        <w:t>Recent studies by Afolabi and Afolabi (2024) reinforce the role of NPLs in highlighting disclosure deficiencies.</w:t>
      </w:r>
    </w:p>
    <w:p>
      <w:pPr>
        <w:pStyle w:val="Normal"/>
        <w:spacing w:before="0" w:after="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BodyText"/>
        <w:spacing w:before="0" w:after="0"/>
        <w:rPr/>
      </w:pPr>
      <w:r>
        <w:rPr>
          <w:rStyle w:val="Strong"/>
        </w:rPr>
        <w:t>2.10: Conclusion</w:t>
      </w:r>
    </w:p>
    <w:p>
      <w:pPr>
        <w:pStyle w:val="BodyText"/>
        <w:spacing w:lineRule="auto" w:line="480"/>
        <w:ind w:hanging="0" w:start="0" w:end="0"/>
        <w:rPr/>
      </w:pPr>
      <w:r>
        <w:rPr/>
        <w:t xml:space="preserve">The literature review comprehensively establishes that corporate governance failures in Nigeria’s </w:t>
      </w:r>
      <w:r>
        <w:rPr>
          <w:rStyle w:val="Strong"/>
        </w:rPr>
        <w:t>deposit money banking</w:t>
      </w:r>
      <w:r>
        <w:rPr/>
        <w:t xml:space="preserve"> sector, compounded by </w:t>
      </w:r>
      <w:r>
        <w:rPr>
          <w:rStyle w:val="Strong"/>
        </w:rPr>
        <w:t>regulatory multiplicity</w:t>
      </w:r>
      <w:r>
        <w:rPr/>
        <w:t xml:space="preserve">, are central drivers of elevated NPL ratios and systemic instability, as evidenced by 425 bank failures since 1988 and NPL peaks of 37% in 2009 and 20% in 2017 (Udo, 2020; Nwosu, 2020; Adegboye, 2020). This review has synthesized global and Nigerian studies to highlight how historical legacies, fragmented regulatory frameworks, weak board oversight, </w:t>
      </w:r>
      <w:r>
        <w:rPr>
          <w:rStyle w:val="Strong"/>
        </w:rPr>
        <w:t>audit committee</w:t>
      </w:r>
      <w:r>
        <w:rPr/>
        <w:t xml:space="preserve"> deficiencies, </w:t>
      </w:r>
      <w:r>
        <w:rPr>
          <w:rStyle w:val="Strong"/>
        </w:rPr>
        <w:t>unqualified management</w:t>
      </w:r>
      <w:r>
        <w:rPr/>
        <w:t xml:space="preserve">, </w:t>
      </w:r>
      <w:r>
        <w:rPr>
          <w:rStyle w:val="Strong"/>
        </w:rPr>
        <w:t>practice index</w:t>
      </w:r>
      <w:r>
        <w:rPr/>
        <w:t xml:space="preserve"> failures, and inadequate whistleblowing mechanisms contribute to default risk, undermining financial stability critical for Nigeria’s economic growth (Sanusi, 2009; Abdulmalik &amp; Ahmad, 2020; Osemeke &amp; Adegbite, 2016). By addressing these governance challenges, the review underscores the need for context-specific reforms to align Nigeria’s </w:t>
      </w:r>
      <w:r>
        <w:rPr>
          <w:rStyle w:val="Strong"/>
        </w:rPr>
        <w:t>deposit money banking</w:t>
      </w:r>
      <w:r>
        <w:rPr/>
        <w:t xml:space="preserve"> sector with global standards like OECD principles and Basel III frameworks (OECD, 2023; BCBS, 2010). This conclusion recaps the literature’s support for the research’s focus on governance failures, </w:t>
      </w:r>
      <w:r>
        <w:rPr>
          <w:rStyle w:val="Strong"/>
        </w:rPr>
        <w:t>regulatory multiplicity</w:t>
      </w:r>
      <w:r>
        <w:rPr/>
        <w:t xml:space="preserve">, and NPLs, and previews how the review informs the methodology and hypotheses testing, setting the stage for empirical analysis. </w:t>
      </w:r>
      <w:r>
        <w:rPr>
          <w:rStyle w:val="Strong"/>
        </w:rPr>
        <w:t>Recent studies by Afolabi and Afolabi (2024) and Ojo and Ojo (2024) reinforce the need for integrated approaches to audit committee independence, management qualifications, and practice indices in bank operations.</w:t>
      </w:r>
    </w:p>
    <w:p>
      <w:pPr>
        <w:pStyle w:val="BodyText"/>
        <w:spacing w:lineRule="auto" w:line="480"/>
        <w:ind w:hanging="0" w:start="0" w:end="0"/>
        <w:rPr/>
      </w:pPr>
      <w:r>
        <w:rPr>
          <w:rStyle w:val="Strong"/>
        </w:rPr>
        <w:t>2.10.1 Key Governance Failures and Their Ties to CG Indices</w:t>
      </w:r>
    </w:p>
    <w:p>
      <w:pPr>
        <w:pStyle w:val="BodyText"/>
        <w:spacing w:lineRule="auto" w:line="480"/>
        <w:ind w:hanging="0" w:start="0" w:end="0"/>
        <w:rPr/>
      </w:pPr>
      <w:r>
        <w:rPr/>
        <w:t xml:space="preserve">The literature consistently demonstrates that Nigeria’s governance failures stem from historical legacies, including pre-colonial customary systems disrupted by the colonial Companies Ordinance of 1912 and perpetuated by post-independence </w:t>
      </w:r>
      <w:r>
        <w:rPr>
          <w:rStyle w:val="Strong"/>
        </w:rPr>
        <w:t>regulatory multiplicity</w:t>
      </w:r>
      <w:r>
        <w:rPr/>
        <w:t xml:space="preserve">, such as CAMA 2020 and NCCG 2018 (Elias, 2024; Agamah, 2024; Adegbite et al., 2012). These legacies foster weak </w:t>
      </w:r>
      <w:r>
        <w:rPr>
          <w:rStyle w:val="Strong"/>
        </w:rPr>
        <w:t>compliance</w:t>
      </w:r>
      <w:r>
        <w:rPr/>
        <w:t xml:space="preserve"> and </w:t>
      </w:r>
      <w:r>
        <w:rPr>
          <w:rStyle w:val="Strong"/>
        </w:rPr>
        <w:t>politically motivated appointments</w:t>
      </w:r>
      <w:r>
        <w:rPr/>
        <w:t xml:space="preserve">, as seen in cases like Oceanic Bank, where insider lending drove 75% of NPLs (Sanusi, 2009; Chinweoda et al., 2020). </w:t>
      </w:r>
      <w:r>
        <w:rPr>
          <w:rStyle w:val="Strong"/>
        </w:rPr>
        <w:t>Regulatory multiplicity</w:t>
      </w:r>
      <w:r>
        <w:rPr/>
        <w:t xml:space="preserve">, characterized by conflicting codes (e.g., CAMA 2020, NCCG 2018, CBN Guidelines 2023, SEC Code 2011), creates ambiguity, enabling banks to evade </w:t>
      </w:r>
      <w:r>
        <w:rPr>
          <w:rStyle w:val="Strong"/>
        </w:rPr>
        <w:t>compliance</w:t>
      </w:r>
      <w:r>
        <w:rPr/>
        <w:t xml:space="preserve"> and exacerbating NPLs (Abdulmalik &amp; Ahmad, 2020; Osemeke &amp; Adegbite, 2016). Board inefficiencies, with 61% of </w:t>
      </w:r>
      <w:r>
        <w:rPr>
          <w:rStyle w:val="Strong"/>
        </w:rPr>
        <w:t>deposit money banks</w:t>
      </w:r>
      <w:r>
        <w:rPr/>
        <w:t xml:space="preserve"> lacking independent nomination committees, and </w:t>
      </w:r>
      <w:r>
        <w:rPr>
          <w:rStyle w:val="Strong"/>
        </w:rPr>
        <w:t>audit committee</w:t>
      </w:r>
      <w:r>
        <w:rPr/>
        <w:t xml:space="preserve"> capture by shareholders undermine oversight and financial reporting integrity, further driving default risk (Ogbechie, 2016; Adegbite, 2014; Olojede et al., 2020). </w:t>
      </w:r>
      <w:r>
        <w:rPr>
          <w:rStyle w:val="Strong"/>
        </w:rPr>
        <w:t>Unqualified management</w:t>
      </w:r>
      <w:r>
        <w:rPr/>
        <w:t xml:space="preserve">, rooted in cronyism, and weak </w:t>
      </w:r>
      <w:r>
        <w:rPr>
          <w:rStyle w:val="Strong"/>
        </w:rPr>
        <w:t>practice indices</w:t>
      </w:r>
      <w:r>
        <w:rPr/>
        <w:t xml:space="preserve">, coupled with inadequate whistleblowing mechanisms, have fueled financial misreporting and fraud concealment, as seen in the 2009 crisis (Nwoko et al., 2022; Adegboye, 2020; Olojede et al., 2020). Global literature, including OECD (2023) and Aguilera and Cuervo-Cazurra (2004), emphasizes </w:t>
      </w:r>
      <w:r>
        <w:rPr>
          <w:rStyle w:val="Strong"/>
        </w:rPr>
        <w:t>regulatory harmonization</w:t>
      </w:r>
      <w:r>
        <w:rPr/>
        <w:t xml:space="preserve"> and robust </w:t>
      </w:r>
      <w:r>
        <w:rPr>
          <w:rStyle w:val="Strong"/>
        </w:rPr>
        <w:t>enforcement consistency</w:t>
      </w:r>
      <w:r>
        <w:rPr/>
        <w:t xml:space="preserve">, while Basel III and EU frameworks highlight the efficacy of independent risk and whistleblowing systems, offering lessons for Nigeria (BCBS, 2010; EU, 2019). The scarcity of recent, Nigeria-specific studies on post-consolidation governance failures, particularly from </w:t>
      </w:r>
      <w:r>
        <w:rPr>
          <w:rStyle w:val="Strong"/>
        </w:rPr>
        <w:t>2009 to 2024</w:t>
      </w:r>
      <w:r>
        <w:rPr/>
        <w:t xml:space="preserve">, underscores the need for this research’s focus on </w:t>
      </w:r>
      <w:r>
        <w:rPr>
          <w:rStyle w:val="Strong"/>
        </w:rPr>
        <w:t>practice indices, audit committee independence, management qualifications, and regulatory clarity</w:t>
      </w:r>
      <w:r>
        <w:rPr/>
        <w:t xml:space="preserve"> (Osita et al., 2019; Tsamenyi et al., 2007). </w:t>
      </w:r>
      <w:r>
        <w:rPr>
          <w:rStyle w:val="Strong"/>
        </w:rPr>
        <w:t>To add depth, Afolabi and Afolabi (2024) and Ojo and Ojo (2024) illustrate how these failures interconnect with audit committee weaknesses, perpetuating deficiencies in disclosure and practice indices.</w:t>
      </w:r>
    </w:p>
    <w:p>
      <w:pPr>
        <w:pStyle w:val="BodyText"/>
        <w:spacing w:lineRule="auto" w:line="480"/>
        <w:ind w:hanging="0" w:start="0" w:end="0"/>
        <w:rPr/>
      </w:pPr>
      <w:r>
        <w:rPr>
          <w:rStyle w:val="Strong"/>
        </w:rPr>
        <w:t>Table 2.16: Summary of Key Governance Failures and Their Links to CG Indices</w:t>
      </w:r>
    </w:p>
    <w:tbl>
      <w:tblPr>
        <w:tblW w:w="9972" w:type="dxa"/>
        <w:jc w:val="start"/>
        <w:tblInd w:w="0" w:type="dxa"/>
        <w:tblLayout w:type="fixed"/>
        <w:tblCellMar>
          <w:top w:w="28" w:type="dxa"/>
          <w:start w:w="28" w:type="dxa"/>
          <w:bottom w:w="28" w:type="dxa"/>
          <w:end w:w="28" w:type="dxa"/>
        </w:tblCellMar>
      </w:tblPr>
      <w:tblGrid>
        <w:gridCol w:w="1865"/>
        <w:gridCol w:w="2294"/>
        <w:gridCol w:w="1962"/>
        <w:gridCol w:w="2091"/>
        <w:gridCol w:w="1760"/>
      </w:tblGrid>
      <w:tr>
        <w:trPr>
          <w:tblHeader w:val="true"/>
        </w:trPr>
        <w:tc>
          <w:tcPr>
            <w:tcW w:w="1865" w:type="dxa"/>
            <w:tcBorders/>
            <w:vAlign w:val="center"/>
          </w:tcPr>
          <w:p>
            <w:pPr>
              <w:pStyle w:val="TableHeading"/>
              <w:rPr/>
            </w:pPr>
            <w:r>
              <w:rPr>
                <w:rStyle w:val="Strong"/>
                <w:b/>
                <w:bCs/>
              </w:rPr>
              <w:t>Governance Failure</w:t>
            </w:r>
          </w:p>
        </w:tc>
        <w:tc>
          <w:tcPr>
            <w:tcW w:w="2294" w:type="dxa"/>
            <w:tcBorders/>
            <w:vAlign w:val="center"/>
          </w:tcPr>
          <w:p>
            <w:pPr>
              <w:pStyle w:val="TableHeading"/>
              <w:rPr/>
            </w:pPr>
            <w:r>
              <w:rPr>
                <w:rStyle w:val="Strong"/>
                <w:b/>
                <w:bCs/>
              </w:rPr>
              <w:t>Description</w:t>
            </w:r>
          </w:p>
        </w:tc>
        <w:tc>
          <w:tcPr>
            <w:tcW w:w="1962" w:type="dxa"/>
            <w:tcBorders/>
            <w:vAlign w:val="center"/>
          </w:tcPr>
          <w:p>
            <w:pPr>
              <w:pStyle w:val="TableHeading"/>
              <w:rPr/>
            </w:pPr>
            <w:r>
              <w:rPr>
                <w:rStyle w:val="Strong"/>
                <w:b/>
                <w:bCs/>
              </w:rPr>
              <w:t>Example from Literature</w:t>
            </w:r>
          </w:p>
        </w:tc>
        <w:tc>
          <w:tcPr>
            <w:tcW w:w="2091" w:type="dxa"/>
            <w:tcBorders/>
            <w:vAlign w:val="center"/>
          </w:tcPr>
          <w:p>
            <w:pPr>
              <w:pStyle w:val="TableHeading"/>
              <w:rPr/>
            </w:pPr>
            <w:r>
              <w:rPr>
                <w:rStyle w:val="Strong"/>
                <w:b/>
                <w:bCs/>
              </w:rPr>
              <w:t>Link to CG Indices</w:t>
            </w:r>
          </w:p>
        </w:tc>
        <w:tc>
          <w:tcPr>
            <w:tcW w:w="1760" w:type="dxa"/>
            <w:tcBorders/>
            <w:vAlign w:val="center"/>
          </w:tcPr>
          <w:p>
            <w:pPr>
              <w:pStyle w:val="TableHeading"/>
              <w:ind w:hanging="0" w:start="0" w:end="0"/>
              <w:rPr/>
            </w:pPr>
            <w:r>
              <w:rPr>
                <w:rStyle w:val="Strong"/>
                <w:b/>
                <w:bCs/>
              </w:rPr>
              <w:t>Source</w:t>
            </w:r>
          </w:p>
        </w:tc>
      </w:tr>
      <w:tr>
        <w:trPr/>
        <w:tc>
          <w:tcPr>
            <w:tcW w:w="1865" w:type="dxa"/>
            <w:tcBorders/>
            <w:vAlign w:val="center"/>
          </w:tcPr>
          <w:p>
            <w:pPr>
              <w:pStyle w:val="TableContents"/>
              <w:ind w:hanging="0" w:start="0" w:end="0"/>
              <w:rPr/>
            </w:pPr>
            <w:r>
              <w:rPr>
                <w:rStyle w:val="Strong"/>
              </w:rPr>
              <w:t>Historical Legacies</w:t>
            </w:r>
          </w:p>
        </w:tc>
        <w:tc>
          <w:tcPr>
            <w:tcW w:w="2294" w:type="dxa"/>
            <w:tcBorders/>
            <w:vAlign w:val="center"/>
          </w:tcPr>
          <w:p>
            <w:pPr>
              <w:pStyle w:val="TableContents"/>
              <w:ind w:hanging="0" w:start="0" w:end="0"/>
              <w:rPr/>
            </w:pPr>
            <w:r>
              <w:rPr/>
              <w:t>Colonial disruptions and post-independence fragmentation.</w:t>
            </w:r>
          </w:p>
        </w:tc>
        <w:tc>
          <w:tcPr>
            <w:tcW w:w="1962" w:type="dxa"/>
            <w:tcBorders/>
            <w:vAlign w:val="center"/>
          </w:tcPr>
          <w:p>
            <w:pPr>
              <w:pStyle w:val="TableContents"/>
              <w:ind w:hanging="0" w:start="0" w:end="0"/>
              <w:rPr/>
            </w:pPr>
            <w:r>
              <w:rPr/>
              <w:t>Companies Ordinance 1912 leading to cronyism.</w:t>
            </w:r>
          </w:p>
        </w:tc>
        <w:tc>
          <w:tcPr>
            <w:tcW w:w="2091" w:type="dxa"/>
            <w:tcBorders/>
            <w:vAlign w:val="center"/>
          </w:tcPr>
          <w:p>
            <w:pPr>
              <w:pStyle w:val="TableContents"/>
              <w:ind w:hanging="0" w:start="0" w:end="0"/>
              <w:rPr/>
            </w:pPr>
            <w:r>
              <w:rPr/>
              <w:t xml:space="preserve">Undermines </w:t>
            </w:r>
            <w:r>
              <w:rPr>
                <w:rStyle w:val="Strong"/>
              </w:rPr>
              <w:t>disclosure</w:t>
            </w:r>
            <w:r>
              <w:rPr/>
              <w:t xml:space="preserve">; weakens </w:t>
            </w:r>
            <w:r>
              <w:rPr>
                <w:rStyle w:val="Strong"/>
              </w:rPr>
              <w:t>compliance</w:t>
            </w:r>
            <w:r>
              <w:rPr/>
              <w:t xml:space="preserve"> via patronage.</w:t>
            </w:r>
          </w:p>
        </w:tc>
        <w:tc>
          <w:tcPr>
            <w:tcW w:w="1760" w:type="dxa"/>
            <w:tcBorders/>
            <w:vAlign w:val="center"/>
          </w:tcPr>
          <w:p>
            <w:pPr>
              <w:pStyle w:val="TableContents"/>
              <w:ind w:hanging="0" w:start="0" w:end="0"/>
              <w:rPr/>
            </w:pPr>
            <w:r>
              <w:rPr/>
              <w:t>Elias (2024), Agamah (2024)</w:t>
            </w:r>
          </w:p>
        </w:tc>
      </w:tr>
      <w:tr>
        <w:trPr/>
        <w:tc>
          <w:tcPr>
            <w:tcW w:w="1865" w:type="dxa"/>
            <w:tcBorders/>
            <w:vAlign w:val="center"/>
          </w:tcPr>
          <w:p>
            <w:pPr>
              <w:pStyle w:val="TableContents"/>
              <w:ind w:hanging="0" w:start="0" w:end="0"/>
              <w:rPr/>
            </w:pPr>
            <w:r>
              <w:rPr>
                <w:rStyle w:val="Strong"/>
              </w:rPr>
              <w:t>Regulatory Multiplicity</w:t>
            </w:r>
          </w:p>
        </w:tc>
        <w:tc>
          <w:tcPr>
            <w:tcW w:w="2294" w:type="dxa"/>
            <w:tcBorders/>
            <w:vAlign w:val="center"/>
          </w:tcPr>
          <w:p>
            <w:pPr>
              <w:pStyle w:val="TableContents"/>
              <w:ind w:hanging="0" w:start="0" w:end="0"/>
              <w:rPr/>
            </w:pPr>
            <w:r>
              <w:rPr/>
              <w:t>Conflicting codes (CAMA 2020, NCCG 2018, etc.).</w:t>
            </w:r>
          </w:p>
        </w:tc>
        <w:tc>
          <w:tcPr>
            <w:tcW w:w="1962" w:type="dxa"/>
            <w:tcBorders/>
            <w:vAlign w:val="center"/>
          </w:tcPr>
          <w:p>
            <w:pPr>
              <w:pStyle w:val="TableContents"/>
              <w:ind w:hanging="0" w:start="0" w:end="0"/>
              <w:rPr/>
            </w:pPr>
            <w:r>
              <w:rPr/>
              <w:t xml:space="preserve">Selective </w:t>
            </w:r>
            <w:r>
              <w:rPr>
                <w:rStyle w:val="Strong"/>
              </w:rPr>
              <w:t>compliance</w:t>
            </w:r>
            <w:r>
              <w:rPr/>
              <w:t xml:space="preserve"> enabling fraud concealment.</w:t>
            </w:r>
          </w:p>
        </w:tc>
        <w:tc>
          <w:tcPr>
            <w:tcW w:w="2091" w:type="dxa"/>
            <w:tcBorders/>
            <w:vAlign w:val="center"/>
          </w:tcPr>
          <w:p>
            <w:pPr>
              <w:pStyle w:val="TableContents"/>
              <w:ind w:hanging="0" w:start="0" w:end="0"/>
              <w:rPr/>
            </w:pPr>
            <w:r>
              <w:rPr/>
              <w:t xml:space="preserve">Erodes </w:t>
            </w:r>
            <w:r>
              <w:rPr>
                <w:rStyle w:val="Strong"/>
              </w:rPr>
              <w:t>practice indices</w:t>
            </w:r>
            <w:r>
              <w:rPr/>
              <w:t xml:space="preserve">; affects </w:t>
            </w:r>
            <w:r>
              <w:rPr>
                <w:rStyle w:val="Strong"/>
              </w:rPr>
              <w:t>disclosure</w:t>
            </w:r>
            <w:r>
              <w:rPr/>
              <w:t xml:space="preserve"> (compliance costs).</w:t>
            </w:r>
          </w:p>
        </w:tc>
        <w:tc>
          <w:tcPr>
            <w:tcW w:w="1760" w:type="dxa"/>
            <w:tcBorders/>
            <w:vAlign w:val="center"/>
          </w:tcPr>
          <w:p>
            <w:pPr>
              <w:pStyle w:val="TableContents"/>
              <w:ind w:hanging="0" w:start="0" w:end="0"/>
              <w:rPr/>
            </w:pPr>
            <w:r>
              <w:rPr/>
              <w:t>Abdulmalik &amp; Ahmad (2020), Osemeke &amp; Adegbite (2016)</w:t>
            </w:r>
          </w:p>
        </w:tc>
      </w:tr>
      <w:tr>
        <w:trPr/>
        <w:tc>
          <w:tcPr>
            <w:tcW w:w="1865" w:type="dxa"/>
            <w:tcBorders/>
            <w:vAlign w:val="center"/>
          </w:tcPr>
          <w:p>
            <w:pPr>
              <w:pStyle w:val="TableContents"/>
              <w:ind w:hanging="0" w:start="0" w:end="0"/>
              <w:rPr/>
            </w:pPr>
            <w:r>
              <w:rPr>
                <w:rStyle w:val="Strong"/>
              </w:rPr>
              <w:t>Board Inefficiencies</w:t>
            </w:r>
          </w:p>
        </w:tc>
        <w:tc>
          <w:tcPr>
            <w:tcW w:w="2294" w:type="dxa"/>
            <w:tcBorders/>
            <w:vAlign w:val="center"/>
          </w:tcPr>
          <w:p>
            <w:pPr>
              <w:pStyle w:val="TableContents"/>
              <w:ind w:hanging="0" w:start="0" w:end="0"/>
              <w:rPr/>
            </w:pPr>
            <w:r>
              <w:rPr/>
              <w:t>61% lack nomination committees; cronyism dominates.</w:t>
            </w:r>
          </w:p>
        </w:tc>
        <w:tc>
          <w:tcPr>
            <w:tcW w:w="1962" w:type="dxa"/>
            <w:tcBorders/>
            <w:vAlign w:val="center"/>
          </w:tcPr>
          <w:p>
            <w:pPr>
              <w:pStyle w:val="TableContents"/>
              <w:ind w:hanging="0" w:start="0" w:end="0"/>
              <w:rPr/>
            </w:pPr>
            <w:r>
              <w:rPr/>
              <w:t>Oceanic Bank’s insider loans (75% NPLs).</w:t>
            </w:r>
          </w:p>
        </w:tc>
        <w:tc>
          <w:tcPr>
            <w:tcW w:w="2091" w:type="dxa"/>
            <w:tcBorders/>
            <w:vAlign w:val="center"/>
          </w:tcPr>
          <w:p>
            <w:pPr>
              <w:pStyle w:val="TableContents"/>
              <w:ind w:hanging="0" w:start="0" w:end="0"/>
              <w:rPr/>
            </w:pPr>
            <w:r>
              <w:rPr/>
              <w:t xml:space="preserve">Compromises </w:t>
            </w:r>
            <w:r>
              <w:rPr>
                <w:rStyle w:val="Strong"/>
              </w:rPr>
              <w:t>audit committee independence</w:t>
            </w:r>
            <w:r>
              <w:rPr/>
              <w:t xml:space="preserve">; reduces </w:t>
            </w:r>
            <w:r>
              <w:rPr>
                <w:rStyle w:val="Strong"/>
              </w:rPr>
              <w:t>compliance</w:t>
            </w:r>
            <w:r>
              <w:rPr/>
              <w:t>.</w:t>
            </w:r>
          </w:p>
        </w:tc>
        <w:tc>
          <w:tcPr>
            <w:tcW w:w="1760" w:type="dxa"/>
            <w:tcBorders/>
            <w:vAlign w:val="center"/>
          </w:tcPr>
          <w:p>
            <w:pPr>
              <w:pStyle w:val="TableContents"/>
              <w:ind w:hanging="0" w:start="0" w:end="0"/>
              <w:rPr/>
            </w:pPr>
            <w:r>
              <w:rPr/>
              <w:t>Ogbechie (2016), Sanusi (2009)</w:t>
            </w:r>
          </w:p>
        </w:tc>
      </w:tr>
      <w:tr>
        <w:trPr/>
        <w:tc>
          <w:tcPr>
            <w:tcW w:w="1865" w:type="dxa"/>
            <w:tcBorders/>
            <w:vAlign w:val="center"/>
          </w:tcPr>
          <w:p>
            <w:pPr>
              <w:pStyle w:val="TableContents"/>
              <w:ind w:hanging="0" w:start="0" w:end="0"/>
              <w:rPr/>
            </w:pPr>
            <w:r>
              <w:rPr>
                <w:rStyle w:val="Strong"/>
              </w:rPr>
              <w:t>Audit Committee Deficiencies</w:t>
            </w:r>
          </w:p>
        </w:tc>
        <w:tc>
          <w:tcPr>
            <w:tcW w:w="2294" w:type="dxa"/>
            <w:tcBorders/>
            <w:vAlign w:val="center"/>
          </w:tcPr>
          <w:p>
            <w:pPr>
              <w:pStyle w:val="TableContents"/>
              <w:ind w:hanging="0" w:start="0" w:end="0"/>
              <w:rPr/>
            </w:pPr>
            <w:r>
              <w:rPr/>
              <w:t>Shareholder capture, lack of expertise.</w:t>
            </w:r>
          </w:p>
        </w:tc>
        <w:tc>
          <w:tcPr>
            <w:tcW w:w="1962" w:type="dxa"/>
            <w:tcBorders/>
            <w:vAlign w:val="center"/>
          </w:tcPr>
          <w:p>
            <w:pPr>
              <w:pStyle w:val="TableContents"/>
              <w:ind w:hanging="0" w:start="0" w:end="0"/>
              <w:rPr/>
            </w:pPr>
            <w:r>
              <w:rPr/>
              <w:t>2009 crisis falsified statements.</w:t>
            </w:r>
          </w:p>
        </w:tc>
        <w:tc>
          <w:tcPr>
            <w:tcW w:w="2091" w:type="dxa"/>
            <w:tcBorders/>
            <w:vAlign w:val="center"/>
          </w:tcPr>
          <w:p>
            <w:pPr>
              <w:pStyle w:val="TableContents"/>
              <w:ind w:hanging="0" w:start="0" w:end="0"/>
              <w:rPr/>
            </w:pPr>
            <w:r>
              <w:rPr/>
              <w:t xml:space="preserve">Weakens </w:t>
            </w:r>
            <w:r>
              <w:rPr>
                <w:rStyle w:val="Strong"/>
              </w:rPr>
              <w:t>disclosure</w:t>
            </w:r>
            <w:r>
              <w:rPr/>
              <w:t xml:space="preserve"> and financial reporting.</w:t>
            </w:r>
          </w:p>
        </w:tc>
        <w:tc>
          <w:tcPr>
            <w:tcW w:w="1760" w:type="dxa"/>
            <w:tcBorders/>
            <w:vAlign w:val="center"/>
          </w:tcPr>
          <w:p>
            <w:pPr>
              <w:pStyle w:val="TableContents"/>
              <w:ind w:hanging="0" w:start="0" w:end="0"/>
              <w:rPr/>
            </w:pPr>
            <w:r>
              <w:rPr/>
              <w:t>Adegbite (2014), Olojede et al. (2020)</w:t>
            </w:r>
          </w:p>
        </w:tc>
      </w:tr>
      <w:tr>
        <w:trPr/>
        <w:tc>
          <w:tcPr>
            <w:tcW w:w="1865" w:type="dxa"/>
            <w:tcBorders/>
            <w:vAlign w:val="center"/>
          </w:tcPr>
          <w:p>
            <w:pPr>
              <w:pStyle w:val="TableContents"/>
              <w:ind w:hanging="0" w:start="0" w:end="0"/>
              <w:rPr/>
            </w:pPr>
            <w:r>
              <w:rPr>
                <w:rStyle w:val="Strong"/>
              </w:rPr>
              <w:t>Unqualified Management</w:t>
            </w:r>
          </w:p>
        </w:tc>
        <w:tc>
          <w:tcPr>
            <w:tcW w:w="2294" w:type="dxa"/>
            <w:tcBorders/>
            <w:vAlign w:val="center"/>
          </w:tcPr>
          <w:p>
            <w:pPr>
              <w:pStyle w:val="TableContents"/>
              <w:ind w:hanging="0" w:start="0" w:end="0"/>
              <w:rPr/>
            </w:pPr>
            <w:r>
              <w:rPr>
                <w:rStyle w:val="Strong"/>
              </w:rPr>
              <w:t>Politically motivated appointments</w:t>
            </w:r>
            <w:r>
              <w:rPr/>
              <w:t xml:space="preserve"> lacking expertise.</w:t>
            </w:r>
          </w:p>
        </w:tc>
        <w:tc>
          <w:tcPr>
            <w:tcW w:w="1962" w:type="dxa"/>
            <w:tcBorders/>
            <w:vAlign w:val="center"/>
          </w:tcPr>
          <w:p>
            <w:pPr>
              <w:pStyle w:val="TableContents"/>
              <w:ind w:hanging="0" w:start="0" w:end="0"/>
              <w:rPr/>
            </w:pPr>
            <w:r>
              <w:rPr/>
              <w:t>Intercontinental Bank collapse.</w:t>
            </w:r>
          </w:p>
        </w:tc>
        <w:tc>
          <w:tcPr>
            <w:tcW w:w="2091" w:type="dxa"/>
            <w:tcBorders/>
            <w:vAlign w:val="center"/>
          </w:tcPr>
          <w:p>
            <w:pPr>
              <w:pStyle w:val="TableContents"/>
              <w:ind w:hanging="0" w:start="0" w:end="0"/>
              <w:rPr/>
            </w:pPr>
            <w:r>
              <w:rPr/>
              <w:t xml:space="preserve">Undermines </w:t>
            </w:r>
            <w:r>
              <w:rPr>
                <w:rStyle w:val="Strong"/>
              </w:rPr>
              <w:t>practice indices</w:t>
            </w:r>
            <w:r>
              <w:rPr/>
              <w:t xml:space="preserve"> and ethical </w:t>
            </w:r>
            <w:r>
              <w:rPr>
                <w:rStyle w:val="Strong"/>
              </w:rPr>
              <w:t>disclosure</w:t>
            </w:r>
            <w:r>
              <w:rPr/>
              <w:t>.</w:t>
            </w:r>
          </w:p>
        </w:tc>
        <w:tc>
          <w:tcPr>
            <w:tcW w:w="1760" w:type="dxa"/>
            <w:tcBorders/>
            <w:vAlign w:val="center"/>
          </w:tcPr>
          <w:p>
            <w:pPr>
              <w:pStyle w:val="TableContents"/>
              <w:ind w:hanging="0" w:start="0" w:end="0"/>
              <w:rPr/>
            </w:pPr>
            <w:r>
              <w:rPr/>
              <w:t>Nwoko et al. (2022), Owolabi (2013)</w:t>
            </w:r>
          </w:p>
        </w:tc>
      </w:tr>
      <w:tr>
        <w:trPr/>
        <w:tc>
          <w:tcPr>
            <w:tcW w:w="1865" w:type="dxa"/>
            <w:tcBorders/>
            <w:vAlign w:val="center"/>
          </w:tcPr>
          <w:p>
            <w:pPr>
              <w:pStyle w:val="TableContents"/>
              <w:ind w:hanging="0" w:start="0" w:end="0"/>
              <w:rPr/>
            </w:pPr>
            <w:r>
              <w:rPr>
                <w:rStyle w:val="Strong"/>
              </w:rPr>
              <w:t>Practice Index Failures</w:t>
            </w:r>
          </w:p>
        </w:tc>
        <w:tc>
          <w:tcPr>
            <w:tcW w:w="2294" w:type="dxa"/>
            <w:tcBorders/>
            <w:vAlign w:val="center"/>
          </w:tcPr>
          <w:p>
            <w:pPr>
              <w:pStyle w:val="TableContents"/>
              <w:ind w:hanging="0" w:start="0" w:end="0"/>
              <w:rPr/>
            </w:pPr>
            <w:r>
              <w:rPr/>
              <w:t>Lax lending, absent risk committees.</w:t>
            </w:r>
          </w:p>
        </w:tc>
        <w:tc>
          <w:tcPr>
            <w:tcW w:w="1962" w:type="dxa"/>
            <w:tcBorders/>
            <w:vAlign w:val="center"/>
          </w:tcPr>
          <w:p>
            <w:pPr>
              <w:pStyle w:val="TableContents"/>
              <w:ind w:hanging="0" w:start="0" w:end="0"/>
              <w:rPr/>
            </w:pPr>
            <w:r>
              <w:rPr/>
              <w:t>NPLs at 20% in 2017.</w:t>
            </w:r>
          </w:p>
        </w:tc>
        <w:tc>
          <w:tcPr>
            <w:tcW w:w="2091" w:type="dxa"/>
            <w:tcBorders/>
            <w:vAlign w:val="center"/>
          </w:tcPr>
          <w:p>
            <w:pPr>
              <w:pStyle w:val="TableContents"/>
              <w:ind w:hanging="0" w:start="0" w:end="0"/>
              <w:rPr/>
            </w:pPr>
            <w:r>
              <w:rPr/>
              <w:t xml:space="preserve">Directly erodes </w:t>
            </w:r>
            <w:r>
              <w:rPr>
                <w:rStyle w:val="Strong"/>
              </w:rPr>
              <w:t>practice indices</w:t>
            </w:r>
            <w:r>
              <w:rPr/>
              <w:t>; affects overall stability.</w:t>
            </w:r>
          </w:p>
        </w:tc>
        <w:tc>
          <w:tcPr>
            <w:tcW w:w="1760" w:type="dxa"/>
            <w:tcBorders/>
            <w:vAlign w:val="center"/>
          </w:tcPr>
          <w:p>
            <w:pPr>
              <w:pStyle w:val="TableContents"/>
              <w:ind w:hanging="0" w:start="0" w:end="0"/>
              <w:rPr/>
            </w:pPr>
            <w:r>
              <w:rPr/>
              <w:t>Adegboye (2020), Afolabi &amp; Afolabi (2024)</w:t>
            </w:r>
          </w:p>
        </w:tc>
      </w:tr>
      <w:tr>
        <w:trPr/>
        <w:tc>
          <w:tcPr>
            <w:tcW w:w="1865" w:type="dxa"/>
            <w:tcBorders/>
            <w:vAlign w:val="center"/>
          </w:tcPr>
          <w:p>
            <w:pPr>
              <w:pStyle w:val="TableContents"/>
              <w:ind w:hanging="0" w:start="0" w:end="0"/>
              <w:rPr/>
            </w:pPr>
            <w:r>
              <w:rPr>
                <w:rStyle w:val="Strong"/>
              </w:rPr>
              <w:t>Inadequate Whistleblowing</w:t>
            </w:r>
          </w:p>
        </w:tc>
        <w:tc>
          <w:tcPr>
            <w:tcW w:w="2294" w:type="dxa"/>
            <w:tcBorders/>
            <w:vAlign w:val="center"/>
          </w:tcPr>
          <w:p>
            <w:pPr>
              <w:pStyle w:val="TableContents"/>
              <w:ind w:hanging="0" w:start="0" w:end="0"/>
              <w:rPr/>
            </w:pPr>
            <w:r>
              <w:rPr/>
              <w:t>No protected channels, suppressed reporting.</w:t>
            </w:r>
          </w:p>
        </w:tc>
        <w:tc>
          <w:tcPr>
            <w:tcW w:w="1962" w:type="dxa"/>
            <w:tcBorders/>
            <w:vAlign w:val="center"/>
          </w:tcPr>
          <w:p>
            <w:pPr>
              <w:pStyle w:val="TableContents"/>
              <w:ind w:hanging="0" w:start="0" w:end="0"/>
              <w:rPr/>
            </w:pPr>
            <w:r>
              <w:rPr/>
              <w:t>Oceanic Bank fraud concealment.</w:t>
            </w:r>
          </w:p>
        </w:tc>
        <w:tc>
          <w:tcPr>
            <w:tcW w:w="2091" w:type="dxa"/>
            <w:tcBorders/>
            <w:vAlign w:val="center"/>
          </w:tcPr>
          <w:p>
            <w:pPr>
              <w:pStyle w:val="TableContents"/>
              <w:ind w:hanging="0" w:start="0" w:end="0"/>
              <w:rPr/>
            </w:pPr>
            <w:r>
              <w:rPr/>
              <w:t xml:space="preserve">Reduces </w:t>
            </w:r>
            <w:r>
              <w:rPr>
                <w:rStyle w:val="Strong"/>
              </w:rPr>
              <w:t>disclosure</w:t>
            </w:r>
            <w:r>
              <w:rPr/>
              <w:t xml:space="preserve">, exacerbates </w:t>
            </w:r>
            <w:r>
              <w:rPr>
                <w:rStyle w:val="Strong"/>
              </w:rPr>
              <w:t>compliance</w:t>
            </w:r>
            <w:r>
              <w:rPr/>
              <w:t xml:space="preserve"> gaps.</w:t>
            </w:r>
          </w:p>
        </w:tc>
        <w:tc>
          <w:tcPr>
            <w:tcW w:w="1760" w:type="dxa"/>
            <w:tcBorders/>
            <w:vAlign w:val="center"/>
          </w:tcPr>
          <w:p>
            <w:pPr>
              <w:pStyle w:val="TableContents"/>
              <w:rPr/>
            </w:pPr>
            <w:r>
              <w:rPr/>
              <w:t>Olojede et al. (2020), Ojo &amp; Ojo (2024)</w:t>
            </w:r>
          </w:p>
        </w:tc>
      </w:tr>
    </w:tbl>
    <w:p>
      <w:pPr>
        <w:pStyle w:val="BodyText"/>
        <w:spacing w:lineRule="auto" w:line="480"/>
        <w:ind w:hanging="0" w:start="0" w:end="0"/>
        <w:rPr/>
      </w:pPr>
      <w:r>
        <w:rPr>
          <w:rStyle w:val="Strong"/>
        </w:rPr>
        <w:t>Note</w:t>
      </w:r>
      <w:r>
        <w:rPr/>
        <w:t xml:space="preserve">: Adapted from Sanusi (2009), Adegbite (2014), and Afolabi and Afolabi (2024). The table illustrates interconnections across </w:t>
      </w:r>
      <w:r>
        <w:rPr>
          <w:rStyle w:val="Strong"/>
        </w:rPr>
        <w:t>indices</w:t>
      </w:r>
      <w:r>
        <w:rPr/>
        <w:t xml:space="preserve">, showing how failures in one area amplify others, such as board inefficiencies weakening </w:t>
      </w:r>
      <w:r>
        <w:rPr>
          <w:rStyle w:val="Strong"/>
        </w:rPr>
        <w:t>audit committee independence</w:t>
      </w:r>
      <w:r>
        <w:rPr/>
        <w:t xml:space="preserve"> and </w:t>
      </w:r>
      <w:r>
        <w:rPr>
          <w:rStyle w:val="Strong"/>
        </w:rPr>
        <w:t>practice indices</w:t>
      </w:r>
      <w:r>
        <w:rPr/>
        <w:t>.</w:t>
      </w:r>
    </w:p>
    <w:p>
      <w:pPr>
        <w:pStyle w:val="BodyText"/>
        <w:spacing w:lineRule="auto" w:line="480"/>
        <w:ind w:hanging="0" w:start="0" w:end="0"/>
        <w:rPr/>
      </w:pPr>
      <w:r>
        <w:rPr>
          <w:rStyle w:val="Strong"/>
        </w:rPr>
        <w:t>2.10.2 Theoretical and Empirical Insights from the Literature</w:t>
      </w:r>
    </w:p>
    <w:p>
      <w:pPr>
        <w:pStyle w:val="BodyText"/>
        <w:spacing w:lineRule="auto" w:line="480"/>
        <w:ind w:hanging="0" w:start="0" w:end="0"/>
        <w:rPr/>
      </w:pPr>
      <w:r>
        <w:rPr/>
        <w:t xml:space="preserve">The review's synthesis reveals a robust theoretical foundation, drawing on agency theory (Jensen &amp; Meckling, 1976) to explain how board and </w:t>
      </w:r>
      <w:r>
        <w:rPr>
          <w:rStyle w:val="Strong"/>
        </w:rPr>
        <w:t>audit committee</w:t>
      </w:r>
      <w:r>
        <w:rPr/>
        <w:t xml:space="preserve"> deficiencies create principal-agent conflicts, leading to insider abuses and NPL spikes, and stewardship theory (Donaldson &amp; Davis, 1991) to highlight the missed opportunities for ethical leadership in </w:t>
      </w:r>
      <w:r>
        <w:rPr>
          <w:rStyle w:val="Strong"/>
        </w:rPr>
        <w:t>practice indices</w:t>
      </w:r>
      <w:r>
        <w:rPr/>
        <w:t xml:space="preserve">. Empirically, studies like Adegboye (2020) and Olojede et al. (2020) provide evidence of NPL drivers, while global benchmarks (OECD, 2023; BCBS, 2010) contrast Nigeria's gaps, emphasizing </w:t>
      </w:r>
      <w:r>
        <w:rPr>
          <w:rStyle w:val="Strong"/>
        </w:rPr>
        <w:t>regulatory harmonization</w:t>
      </w:r>
      <w:r>
        <w:rPr/>
        <w:t xml:space="preserve">’s role in enhancing </w:t>
      </w:r>
      <w:r>
        <w:rPr>
          <w:rStyle w:val="Strong"/>
        </w:rPr>
        <w:t>disclosure and compliance</w:t>
      </w:r>
      <w:r>
        <w:rPr/>
        <w:t xml:space="preserve">. </w:t>
      </w:r>
      <w:r>
        <w:rPr>
          <w:rStyle w:val="Strong"/>
        </w:rPr>
        <w:t>Recent contributions by Afolabi and Afolabi (2024) and Ojo and Ojo (2024) bridge these, showing how unqualified management and weak whistleblowing intersect with audit committee failures, perpetuating practice index deficiencies.</w:t>
      </w:r>
    </w:p>
    <w:p>
      <w:pPr>
        <w:pStyle w:val="BodyText"/>
        <w:spacing w:lineRule="auto" w:line="480"/>
        <w:ind w:hanging="0" w:start="0" w:end="0"/>
        <w:rPr/>
      </w:pPr>
      <w:r>
        <w:rPr>
          <w:rStyle w:val="Strong"/>
        </w:rPr>
        <w:t>2.10.3 Implications for Methodology and Hypotheses Testing</w:t>
      </w:r>
    </w:p>
    <w:p>
      <w:pPr>
        <w:pStyle w:val="BodyText"/>
        <w:spacing w:lineRule="auto" w:line="480"/>
        <w:ind w:hanging="0" w:start="0" w:end="0"/>
        <w:rPr/>
      </w:pPr>
      <w:r>
        <w:rPr/>
        <w:t xml:space="preserve">This research informs the research’s methodology by justifying a mixed-method approach, combining quantitative regression analysis of NPL ratios with qualitative stakeholder interviews, as advocated by Creswell and Plano Clark (2018), to ensure empirical rigor and contextual depth. </w:t>
      </w:r>
      <w:r>
        <w:rPr>
          <w:rStyle w:val="Strong"/>
        </w:rPr>
        <w:t>The methodology addresses data reliability concerns, highlighted by Olojede et al. (2020), through cross-validation using CBN, Nigeria Deposit Insurance Corporation (NDIC), and audited bank reports for 2009–2024 for RQ1 and 2024 for RQ2–RQ4, incorporating control variables like bank size, capital adequacy, and macroeconomic factors to isolate governance effects (Natufe &amp; Evbayiro-Osagie, 2023).</w:t>
      </w:r>
      <w:r>
        <w:rPr/>
        <w:t xml:space="preserve"> The research directly supports hypotheses H1–H4, which test the relationships between robust </w:t>
      </w:r>
      <w:r>
        <w:rPr>
          <w:rStyle w:val="Strong"/>
        </w:rPr>
        <w:t>corporate governance indices (H1), audit committee independence (H2), management qualifications (H3), and regulatory clarity (H4)</w:t>
      </w:r>
      <w:r>
        <w:rPr/>
        <w:t xml:space="preserve"> with reduced NPL ratios. Specifically, H1 is informed by literature on board oversight and </w:t>
      </w:r>
      <w:r>
        <w:rPr>
          <w:rStyle w:val="Strong"/>
        </w:rPr>
        <w:t>practice index</w:t>
      </w:r>
      <w:r>
        <w:rPr/>
        <w:t xml:space="preserve"> failures (Adegboye, 2020; Sanusi, 2014), H2 by </w:t>
      </w:r>
      <w:r>
        <w:rPr>
          <w:rStyle w:val="Strong"/>
        </w:rPr>
        <w:t>audit committee</w:t>
      </w:r>
      <w:r>
        <w:rPr/>
        <w:t xml:space="preserve"> capture (Adegbite, 2014; Olojede et al., 2020), H3 by </w:t>
      </w:r>
      <w:r>
        <w:rPr>
          <w:rStyle w:val="Strong"/>
        </w:rPr>
        <w:t>unqualified leadership</w:t>
      </w:r>
      <w:r>
        <w:rPr/>
        <w:t xml:space="preserve"> (Nwoko et al., 2022), and H4 by </w:t>
      </w:r>
      <w:r>
        <w:rPr>
          <w:rStyle w:val="Strong"/>
        </w:rPr>
        <w:t>regulatory multiplicity</w:t>
      </w:r>
      <w:r>
        <w:rPr/>
        <w:t xml:space="preserve"> (Abdulmalik &amp; Ahmad, 2020). The mixed-method approach, using 7-point Likert scale questionnaires, semi-structured interviews, and SPSS regression analysis, will empirically test these hypotheses, addressing objectives OB1–OB4 by evaluating governance mechanisms, proposing </w:t>
      </w:r>
      <w:r>
        <w:rPr>
          <w:rStyle w:val="Strong"/>
        </w:rPr>
        <w:t>harmonized regulatory frameworks</w:t>
      </w:r>
      <w:r>
        <w:rPr/>
        <w:t xml:space="preserve">, and aligning with global standards (Aguilera &amp; Ruiz Castillo, </w:t>
      </w:r>
      <w:r>
        <w:rPr>
          <w:rStyle w:val="Strong"/>
        </w:rPr>
        <w:t>2024</w:t>
      </w:r>
      <w:r>
        <w:rPr/>
        <w:t xml:space="preserve">). This review thus provides a robust foundation for the research’s empirical analysis, paving the way for actionable reforms to mitigate NPLs and enhance Nigeria’s </w:t>
      </w:r>
      <w:r>
        <w:rPr>
          <w:rStyle w:val="Strong"/>
        </w:rPr>
        <w:t>deposit money banking</w:t>
      </w:r>
      <w:r>
        <w:rPr/>
        <w:t xml:space="preserve"> sector resilience.</w:t>
      </w:r>
    </w:p>
    <w:p>
      <w:pPr>
        <w:pStyle w:val="BodyText"/>
        <w:spacing w:lineRule="auto" w:line="480"/>
        <w:ind w:hanging="0" w:start="0" w:end="0"/>
        <w:rPr/>
      </w:pPr>
      <w:r>
        <w:rPr>
          <w:rStyle w:val="Strong"/>
        </w:rPr>
        <w:t>2.10.4 Call for Context-Specific Reforms</w:t>
      </w:r>
    </w:p>
    <w:p>
      <w:pPr>
        <w:pStyle w:val="BodyText"/>
        <w:spacing w:lineRule="auto" w:line="480"/>
        <w:ind w:hanging="0" w:start="0" w:end="0"/>
        <w:rPr/>
      </w:pPr>
      <w:r>
        <w:rPr/>
        <w:t xml:space="preserve">By addressing these governance challenges, the review underscores the need for context-specific reforms to align Nigeria’s </w:t>
      </w:r>
      <w:r>
        <w:rPr>
          <w:rStyle w:val="Strong"/>
        </w:rPr>
        <w:t>deposit money banking</w:t>
      </w:r>
      <w:r>
        <w:rPr/>
        <w:t xml:space="preserve"> sector with global standards like OECD principles and Basel III frameworks (OECD, 2023; BCBS, 2010). Reforms should prioritize </w:t>
      </w:r>
      <w:r>
        <w:rPr>
          <w:rStyle w:val="Strong"/>
        </w:rPr>
        <w:t>harmonized regulations</w:t>
      </w:r>
      <w:r>
        <w:rPr/>
        <w:t xml:space="preserve"> to resolve </w:t>
      </w:r>
      <w:r>
        <w:rPr>
          <w:rStyle w:val="Strong"/>
        </w:rPr>
        <w:t>regulatory multiplicity</w:t>
      </w:r>
      <w:r>
        <w:rPr/>
        <w:t xml:space="preserve">, mandatory independent nomination and </w:t>
      </w:r>
      <w:r>
        <w:rPr>
          <w:rStyle w:val="Strong"/>
        </w:rPr>
        <w:t>audit committees</w:t>
      </w:r>
      <w:r>
        <w:rPr/>
        <w:t xml:space="preserve"> to curb cronyism, and robust whistleblowing to enhance </w:t>
      </w:r>
      <w:r>
        <w:rPr>
          <w:rStyle w:val="Strong"/>
        </w:rPr>
        <w:t>disclosure</w:t>
      </w:r>
      <w:r>
        <w:rPr/>
        <w:t xml:space="preserve">. </w:t>
      </w:r>
      <w:r>
        <w:rPr>
          <w:rStyle w:val="Strong"/>
        </w:rPr>
        <w:t>Recent studies by Afolabi and Afolabi (2024) and Ojo and Ojo (2024) reinforce the need for integrated approaches to audit committee independence, management qualifications, and practice indices, ensuring reforms address interconnected indices.</w:t>
      </w:r>
      <w:r>
        <w:rPr/>
        <w:t xml:space="preserve"> Table 2.17 summarizes proposed reforms tied to key </w:t>
      </w:r>
      <w:r>
        <w:rPr>
          <w:rStyle w:val="Strong"/>
        </w:rPr>
        <w:t>indices</w:t>
      </w:r>
      <w:r>
        <w:rPr/>
        <w:t>.</w:t>
      </w:r>
    </w:p>
    <w:p>
      <w:pPr>
        <w:pStyle w:val="BodyText"/>
        <w:spacing w:lineRule="auto" w:line="480"/>
        <w:ind w:hanging="0" w:start="0" w:end="0"/>
        <w:rPr/>
      </w:pPr>
      <w:r>
        <w:rPr>
          <w:rStyle w:val="Strong"/>
        </w:rPr>
        <w:t>Table 2.17: Proposed Reforms Aligned with CG Indices</w:t>
      </w:r>
    </w:p>
    <w:tbl>
      <w:tblPr>
        <w:tblW w:w="9972" w:type="dxa"/>
        <w:jc w:val="start"/>
        <w:tblInd w:w="0" w:type="dxa"/>
        <w:tblLayout w:type="fixed"/>
        <w:tblCellMar>
          <w:top w:w="28" w:type="dxa"/>
          <w:start w:w="28" w:type="dxa"/>
          <w:bottom w:w="28" w:type="dxa"/>
          <w:end w:w="28" w:type="dxa"/>
        </w:tblCellMar>
      </w:tblPr>
      <w:tblGrid>
        <w:gridCol w:w="1858"/>
        <w:gridCol w:w="2102"/>
        <w:gridCol w:w="2234"/>
        <w:gridCol w:w="2081"/>
        <w:gridCol w:w="1697"/>
      </w:tblGrid>
      <w:tr>
        <w:trPr>
          <w:tblHeader w:val="true"/>
        </w:trPr>
        <w:tc>
          <w:tcPr>
            <w:tcW w:w="1858" w:type="dxa"/>
            <w:tcBorders/>
            <w:vAlign w:val="center"/>
          </w:tcPr>
          <w:p>
            <w:pPr>
              <w:pStyle w:val="TableHeading"/>
              <w:rPr/>
            </w:pPr>
            <w:r>
              <w:rPr>
                <w:rStyle w:val="Strong"/>
                <w:b/>
                <w:bCs/>
              </w:rPr>
              <w:t>CG Index</w:t>
            </w:r>
          </w:p>
        </w:tc>
        <w:tc>
          <w:tcPr>
            <w:tcW w:w="2102" w:type="dxa"/>
            <w:tcBorders/>
            <w:vAlign w:val="center"/>
          </w:tcPr>
          <w:p>
            <w:pPr>
              <w:pStyle w:val="TableHeading"/>
              <w:rPr/>
            </w:pPr>
            <w:r>
              <w:rPr>
                <w:rStyle w:val="Strong"/>
                <w:b/>
                <w:bCs/>
              </w:rPr>
              <w:t>Key Challenge from Literature</w:t>
            </w:r>
          </w:p>
        </w:tc>
        <w:tc>
          <w:tcPr>
            <w:tcW w:w="2234" w:type="dxa"/>
            <w:tcBorders/>
            <w:vAlign w:val="center"/>
          </w:tcPr>
          <w:p>
            <w:pPr>
              <w:pStyle w:val="TableHeading"/>
              <w:rPr/>
            </w:pPr>
            <w:r>
              <w:rPr>
                <w:rStyle w:val="Strong"/>
                <w:b/>
                <w:bCs/>
              </w:rPr>
              <w:t>Proposed Reform</w:t>
            </w:r>
          </w:p>
        </w:tc>
        <w:tc>
          <w:tcPr>
            <w:tcW w:w="2081" w:type="dxa"/>
            <w:tcBorders/>
            <w:vAlign w:val="center"/>
          </w:tcPr>
          <w:p>
            <w:pPr>
              <w:pStyle w:val="TableHeading"/>
              <w:rPr/>
            </w:pPr>
            <w:r>
              <w:rPr>
                <w:rStyle w:val="Strong"/>
                <w:b/>
                <w:bCs/>
              </w:rPr>
              <w:t>Expected Outcome</w:t>
            </w:r>
          </w:p>
        </w:tc>
        <w:tc>
          <w:tcPr>
            <w:tcW w:w="1697" w:type="dxa"/>
            <w:tcBorders/>
            <w:vAlign w:val="center"/>
          </w:tcPr>
          <w:p>
            <w:pPr>
              <w:pStyle w:val="TableHeading"/>
              <w:ind w:hanging="0" w:start="0" w:end="0"/>
              <w:rPr/>
            </w:pPr>
            <w:r>
              <w:rPr>
                <w:rStyle w:val="Strong"/>
                <w:b/>
                <w:bCs/>
              </w:rPr>
              <w:t>Source</w:t>
            </w:r>
          </w:p>
        </w:tc>
      </w:tr>
      <w:tr>
        <w:trPr/>
        <w:tc>
          <w:tcPr>
            <w:tcW w:w="1858" w:type="dxa"/>
            <w:tcBorders/>
            <w:vAlign w:val="center"/>
          </w:tcPr>
          <w:p>
            <w:pPr>
              <w:pStyle w:val="TableContents"/>
              <w:ind w:hanging="0" w:start="0" w:end="0"/>
              <w:rPr/>
            </w:pPr>
            <w:r>
              <w:rPr>
                <w:rStyle w:val="Strong"/>
              </w:rPr>
              <w:t>Disclosure</w:t>
            </w:r>
          </w:p>
        </w:tc>
        <w:tc>
          <w:tcPr>
            <w:tcW w:w="2102" w:type="dxa"/>
            <w:tcBorders/>
            <w:vAlign w:val="center"/>
          </w:tcPr>
          <w:p>
            <w:pPr>
              <w:pStyle w:val="TableContents"/>
              <w:ind w:hanging="0" w:start="0" w:end="0"/>
              <w:rPr/>
            </w:pPr>
            <w:r>
              <w:rPr/>
              <w:t>Fraud concealment, opaque reporting.</w:t>
            </w:r>
          </w:p>
        </w:tc>
        <w:tc>
          <w:tcPr>
            <w:tcW w:w="2234" w:type="dxa"/>
            <w:tcBorders/>
            <w:vAlign w:val="center"/>
          </w:tcPr>
          <w:p>
            <w:pPr>
              <w:pStyle w:val="TableContents"/>
              <w:ind w:hanging="0" w:start="0" w:end="0"/>
              <w:rPr/>
            </w:pPr>
            <w:r>
              <w:rPr/>
              <w:t>Mandatory whistleblowing with protections.</w:t>
            </w:r>
          </w:p>
        </w:tc>
        <w:tc>
          <w:tcPr>
            <w:tcW w:w="2081" w:type="dxa"/>
            <w:tcBorders/>
            <w:vAlign w:val="center"/>
          </w:tcPr>
          <w:p>
            <w:pPr>
              <w:pStyle w:val="TableContents"/>
              <w:ind w:hanging="0" w:start="0" w:end="0"/>
              <w:rPr/>
            </w:pPr>
            <w:r>
              <w:rPr/>
              <w:t>Reduces misreporting, lowers NPLs.</w:t>
            </w:r>
          </w:p>
        </w:tc>
        <w:tc>
          <w:tcPr>
            <w:tcW w:w="1697" w:type="dxa"/>
            <w:tcBorders/>
            <w:vAlign w:val="center"/>
          </w:tcPr>
          <w:p>
            <w:pPr>
              <w:pStyle w:val="TableContents"/>
              <w:ind w:hanging="0" w:start="0" w:end="0"/>
              <w:rPr/>
            </w:pPr>
            <w:r>
              <w:rPr/>
              <w:t>Olojede et al. (2020), Ojo &amp; Ojo (2024)</w:t>
            </w:r>
          </w:p>
        </w:tc>
      </w:tr>
      <w:tr>
        <w:trPr/>
        <w:tc>
          <w:tcPr>
            <w:tcW w:w="1858" w:type="dxa"/>
            <w:tcBorders/>
            <w:vAlign w:val="center"/>
          </w:tcPr>
          <w:p>
            <w:pPr>
              <w:pStyle w:val="TableContents"/>
              <w:ind w:hanging="0" w:start="0" w:end="0"/>
              <w:rPr/>
            </w:pPr>
            <w:r>
              <w:rPr>
                <w:rStyle w:val="Strong"/>
              </w:rPr>
              <w:t>Compliance</w:t>
            </w:r>
          </w:p>
        </w:tc>
        <w:tc>
          <w:tcPr>
            <w:tcW w:w="2102" w:type="dxa"/>
            <w:tcBorders/>
            <w:vAlign w:val="center"/>
          </w:tcPr>
          <w:p>
            <w:pPr>
              <w:pStyle w:val="TableContents"/>
              <w:ind w:hanging="0" w:start="0" w:end="0"/>
              <w:rPr/>
            </w:pPr>
            <w:r>
              <w:rPr/>
              <w:t xml:space="preserve">Cronyism, </w:t>
            </w:r>
            <w:r>
              <w:rPr>
                <w:rStyle w:val="Strong"/>
              </w:rPr>
              <w:t>unqualified appointments</w:t>
            </w:r>
            <w:r>
              <w:rPr/>
              <w:t>.</w:t>
            </w:r>
          </w:p>
        </w:tc>
        <w:tc>
          <w:tcPr>
            <w:tcW w:w="2234" w:type="dxa"/>
            <w:tcBorders/>
            <w:vAlign w:val="center"/>
          </w:tcPr>
          <w:p>
            <w:pPr>
              <w:pStyle w:val="TableContents"/>
              <w:ind w:hanging="0" w:start="0" w:end="0"/>
              <w:rPr/>
            </w:pPr>
            <w:r>
              <w:rPr/>
              <w:t>Independent nomination committees.</w:t>
            </w:r>
          </w:p>
        </w:tc>
        <w:tc>
          <w:tcPr>
            <w:tcW w:w="2081" w:type="dxa"/>
            <w:tcBorders/>
            <w:vAlign w:val="center"/>
          </w:tcPr>
          <w:p>
            <w:pPr>
              <w:pStyle w:val="TableContents"/>
              <w:ind w:hanging="0" w:start="0" w:end="0"/>
              <w:rPr/>
            </w:pPr>
            <w:r>
              <w:rPr/>
              <w:t>Enhances merit-based oversight.</w:t>
            </w:r>
          </w:p>
        </w:tc>
        <w:tc>
          <w:tcPr>
            <w:tcW w:w="1697" w:type="dxa"/>
            <w:tcBorders/>
            <w:vAlign w:val="center"/>
          </w:tcPr>
          <w:p>
            <w:pPr>
              <w:pStyle w:val="TableContents"/>
              <w:ind w:hanging="0" w:start="0" w:end="0"/>
              <w:rPr/>
            </w:pPr>
            <w:r>
              <w:rPr/>
              <w:t>Ogbechie (2016), Afolabi &amp; Afolabi (2024)</w:t>
            </w:r>
          </w:p>
        </w:tc>
      </w:tr>
      <w:tr>
        <w:trPr/>
        <w:tc>
          <w:tcPr>
            <w:tcW w:w="1858" w:type="dxa"/>
            <w:tcBorders/>
            <w:vAlign w:val="center"/>
          </w:tcPr>
          <w:p>
            <w:pPr>
              <w:pStyle w:val="TableContents"/>
              <w:ind w:hanging="0" w:start="0" w:end="0"/>
              <w:rPr/>
            </w:pPr>
            <w:r>
              <w:rPr>
                <w:rStyle w:val="Strong"/>
              </w:rPr>
              <w:t>Practice Indices</w:t>
            </w:r>
          </w:p>
        </w:tc>
        <w:tc>
          <w:tcPr>
            <w:tcW w:w="2102" w:type="dxa"/>
            <w:tcBorders/>
            <w:vAlign w:val="center"/>
          </w:tcPr>
          <w:p>
            <w:pPr>
              <w:pStyle w:val="TableContents"/>
              <w:ind w:hanging="0" w:start="0" w:end="0"/>
              <w:rPr/>
            </w:pPr>
            <w:r>
              <w:rPr/>
              <w:t>Lax lending, weak controls.</w:t>
            </w:r>
          </w:p>
        </w:tc>
        <w:tc>
          <w:tcPr>
            <w:tcW w:w="2234" w:type="dxa"/>
            <w:tcBorders/>
            <w:vAlign w:val="center"/>
          </w:tcPr>
          <w:p>
            <w:pPr>
              <w:pStyle w:val="TableContents"/>
              <w:ind w:hanging="0" w:start="0" w:end="0"/>
              <w:rPr/>
            </w:pPr>
            <w:r>
              <w:rPr/>
              <w:t>Mandatory governance training for executives.</w:t>
            </w:r>
          </w:p>
        </w:tc>
        <w:tc>
          <w:tcPr>
            <w:tcW w:w="2081" w:type="dxa"/>
            <w:tcBorders/>
            <w:vAlign w:val="center"/>
          </w:tcPr>
          <w:p>
            <w:pPr>
              <w:pStyle w:val="TableContents"/>
              <w:ind w:hanging="0" w:start="0" w:end="0"/>
              <w:rPr/>
            </w:pPr>
            <w:r>
              <w:rPr/>
              <w:t>Improves ethical decision-making.</w:t>
            </w:r>
          </w:p>
        </w:tc>
        <w:tc>
          <w:tcPr>
            <w:tcW w:w="1697" w:type="dxa"/>
            <w:tcBorders/>
            <w:vAlign w:val="center"/>
          </w:tcPr>
          <w:p>
            <w:pPr>
              <w:pStyle w:val="TableContents"/>
              <w:ind w:hanging="0" w:start="0" w:end="0"/>
              <w:rPr/>
            </w:pPr>
            <w:r>
              <w:rPr/>
              <w:t>Nwoko et al. (2022), Adegbite et al. (2012)</w:t>
            </w:r>
          </w:p>
        </w:tc>
      </w:tr>
      <w:tr>
        <w:trPr/>
        <w:tc>
          <w:tcPr>
            <w:tcW w:w="1858" w:type="dxa"/>
            <w:tcBorders/>
            <w:vAlign w:val="center"/>
          </w:tcPr>
          <w:p>
            <w:pPr>
              <w:pStyle w:val="TableContents"/>
              <w:ind w:hanging="0" w:start="0" w:end="0"/>
              <w:rPr/>
            </w:pPr>
            <w:r>
              <w:rPr>
                <w:rStyle w:val="Strong"/>
              </w:rPr>
              <w:t>Risk Management</w:t>
            </w:r>
          </w:p>
        </w:tc>
        <w:tc>
          <w:tcPr>
            <w:tcW w:w="2102" w:type="dxa"/>
            <w:tcBorders/>
            <w:vAlign w:val="center"/>
          </w:tcPr>
          <w:p>
            <w:pPr>
              <w:pStyle w:val="TableContents"/>
              <w:ind w:hanging="0" w:start="0" w:end="0"/>
              <w:rPr/>
            </w:pPr>
            <w:r>
              <w:rPr/>
              <w:t xml:space="preserve">Absent risk committees, </w:t>
            </w:r>
            <w:r>
              <w:rPr>
                <w:rStyle w:val="Strong"/>
              </w:rPr>
              <w:t>regulatory ambiguity</w:t>
            </w:r>
            <w:r>
              <w:rPr/>
              <w:t>.</w:t>
            </w:r>
          </w:p>
        </w:tc>
        <w:tc>
          <w:tcPr>
            <w:tcW w:w="2234" w:type="dxa"/>
            <w:tcBorders/>
            <w:vAlign w:val="center"/>
          </w:tcPr>
          <w:p>
            <w:pPr>
              <w:pStyle w:val="TableContents"/>
              <w:ind w:hanging="0" w:start="0" w:end="0"/>
              <w:rPr/>
            </w:pPr>
            <w:r>
              <w:rPr>
                <w:rStyle w:val="Strong"/>
              </w:rPr>
              <w:t>Harmonized regulations</w:t>
            </w:r>
            <w:r>
              <w:rPr/>
              <w:t xml:space="preserve"> with Basel III alignment.</w:t>
            </w:r>
          </w:p>
        </w:tc>
        <w:tc>
          <w:tcPr>
            <w:tcW w:w="2081" w:type="dxa"/>
            <w:tcBorders/>
            <w:vAlign w:val="center"/>
          </w:tcPr>
          <w:p>
            <w:pPr>
              <w:pStyle w:val="TableContents"/>
              <w:ind w:hanging="0" w:start="0" w:end="0"/>
              <w:rPr/>
            </w:pPr>
            <w:r>
              <w:rPr/>
              <w:t>Strengthens credit assessment.</w:t>
            </w:r>
          </w:p>
        </w:tc>
        <w:tc>
          <w:tcPr>
            <w:tcW w:w="1697" w:type="dxa"/>
            <w:tcBorders/>
            <w:vAlign w:val="center"/>
          </w:tcPr>
          <w:p>
            <w:pPr>
              <w:pStyle w:val="TableContents"/>
              <w:ind w:hanging="0" w:start="0" w:end="0"/>
              <w:rPr/>
            </w:pPr>
            <w:r>
              <w:rPr/>
              <w:t>Adegboye (2020), BCBS (2010)</w:t>
            </w:r>
          </w:p>
        </w:tc>
      </w:tr>
      <w:tr>
        <w:trPr/>
        <w:tc>
          <w:tcPr>
            <w:tcW w:w="1858" w:type="dxa"/>
            <w:tcBorders/>
            <w:vAlign w:val="center"/>
          </w:tcPr>
          <w:p>
            <w:pPr>
              <w:pStyle w:val="TableContents"/>
              <w:ind w:hanging="0" w:start="0" w:end="0"/>
              <w:rPr/>
            </w:pPr>
            <w:r>
              <w:rPr>
                <w:rStyle w:val="Strong"/>
              </w:rPr>
              <w:t>Audit Committee Independence</w:t>
            </w:r>
          </w:p>
        </w:tc>
        <w:tc>
          <w:tcPr>
            <w:tcW w:w="2102" w:type="dxa"/>
            <w:tcBorders/>
            <w:vAlign w:val="center"/>
          </w:tcPr>
          <w:p>
            <w:pPr>
              <w:pStyle w:val="TableContents"/>
              <w:ind w:hanging="0" w:start="0" w:end="0"/>
              <w:rPr/>
            </w:pPr>
            <w:r>
              <w:rPr/>
              <w:t>Shareholder capture.</w:t>
            </w:r>
          </w:p>
        </w:tc>
        <w:tc>
          <w:tcPr>
            <w:tcW w:w="2234" w:type="dxa"/>
            <w:tcBorders/>
            <w:vAlign w:val="center"/>
          </w:tcPr>
          <w:p>
            <w:pPr>
              <w:pStyle w:val="TableContents"/>
              <w:ind w:hanging="0" w:start="0" w:end="0"/>
              <w:rPr/>
            </w:pPr>
            <w:r>
              <w:rPr/>
              <w:t>Equal representation with financial expertise mandates.</w:t>
            </w:r>
          </w:p>
        </w:tc>
        <w:tc>
          <w:tcPr>
            <w:tcW w:w="2081" w:type="dxa"/>
            <w:tcBorders/>
            <w:vAlign w:val="center"/>
          </w:tcPr>
          <w:p>
            <w:pPr>
              <w:pStyle w:val="TableContents"/>
              <w:ind w:hanging="0" w:start="0" w:end="0"/>
              <w:rPr/>
            </w:pPr>
            <w:r>
              <w:rPr/>
              <w:t>Bolsters financial integrity.</w:t>
            </w:r>
          </w:p>
        </w:tc>
        <w:tc>
          <w:tcPr>
            <w:tcW w:w="1697" w:type="dxa"/>
            <w:tcBorders/>
            <w:vAlign w:val="center"/>
          </w:tcPr>
          <w:p>
            <w:pPr>
              <w:pStyle w:val="TableContents"/>
              <w:rPr/>
            </w:pPr>
            <w:r>
              <w:rPr/>
              <w:t>Adegbite (2014), OECD (2023)</w:t>
            </w:r>
          </w:p>
        </w:tc>
      </w:tr>
    </w:tbl>
    <w:p>
      <w:pPr>
        <w:pStyle w:val="BodyText"/>
        <w:spacing w:lineRule="auto" w:line="480"/>
        <w:ind w:hanging="0" w:start="0" w:end="0"/>
        <w:rPr/>
      </w:pPr>
      <w:r>
        <w:rPr>
          <w:rStyle w:val="Strong"/>
        </w:rPr>
        <w:t>Note</w:t>
      </w:r>
      <w:r>
        <w:rPr/>
        <w:t xml:space="preserve">: Adapted from Adegbite (2014), Ojo &amp; Ojo (2024), and Afolabi and Afolabi (2024). Reforms integrate </w:t>
      </w:r>
      <w:r>
        <w:rPr>
          <w:rStyle w:val="Strong"/>
        </w:rPr>
        <w:t>indices</w:t>
      </w:r>
      <w:r>
        <w:rPr/>
        <w:t xml:space="preserve"> for holistic governance improvement.</w:t>
      </w:r>
    </w:p>
    <w:p>
      <w:pPr>
        <w:pStyle w:val="BodyText"/>
        <w:spacing w:lineRule="auto" w:line="480"/>
        <w:ind w:hanging="0" w:start="0" w:end="0"/>
        <w:rPr/>
      </w:pPr>
      <w:r>
        <w:rPr/>
        <w:t xml:space="preserve">This review thus provides a robust foundation for the research’s empirical analysis, paving the way for actionable reforms to mitigate NPLs and enhance Nigeria’s </w:t>
      </w:r>
      <w:r>
        <w:rPr>
          <w:rStyle w:val="Strong"/>
        </w:rPr>
        <w:t>deposit money banking</w:t>
      </w:r>
      <w:r>
        <w:rPr/>
        <w:t xml:space="preserve"> sector resilience.</w:t>
      </w:r>
      <w:bookmarkEnd w:id="0"/>
      <w:bookmarkEnd w:id="1"/>
      <w:bookmarkEnd w:id="2"/>
      <w:bookmarkEnd w:id="3"/>
      <w:bookmarkEnd w:id="4"/>
      <w:bookmarkEnd w:id="5"/>
      <w:bookmarkEnd w:id="6"/>
      <w:bookmarkEnd w:id="7"/>
      <w:bookmarkEnd w:id="8"/>
      <w:r>
        <w:br w:type="page"/>
      </w:r>
    </w:p>
    <w:p>
      <w:pPr>
        <w:pStyle w:val="Heading1"/>
        <w:spacing w:before="0" w:after="80"/>
        <w:rPr>
          <w:color w:val="EE0000"/>
        </w:rPr>
      </w:pPr>
      <w:r>
        <w:rPr/>
        <w:t xml:space="preserve">Chapter 3: Methodology </w:t>
      </w:r>
    </w:p>
    <w:p>
      <w:pPr>
        <w:pStyle w:val="Heading2"/>
        <w:rPr/>
      </w:pPr>
      <w:bookmarkStart w:id="194" w:name="_Toc205059492"/>
      <w:bookmarkStart w:id="195" w:name="_Toc203392104"/>
      <w:bookmarkStart w:id="196" w:name="_Toc203584772"/>
      <w:bookmarkStart w:id="197" w:name="_Toc203671426"/>
      <w:bookmarkStart w:id="198" w:name="_Toc203671476"/>
      <w:bookmarkStart w:id="199" w:name="_Toc205059586"/>
      <w:bookmarkStart w:id="200" w:name="_Toc205059647"/>
      <w:bookmarkStart w:id="201" w:name="_Toc203392040"/>
      <w:bookmarkStart w:id="202" w:name="_Toc205059275"/>
      <w:r>
        <w:rPr/>
        <w:t>3.1 Introduction</w:t>
      </w:r>
      <w:bookmarkEnd w:id="194"/>
      <w:bookmarkEnd w:id="195"/>
      <w:bookmarkEnd w:id="196"/>
      <w:bookmarkEnd w:id="197"/>
      <w:bookmarkEnd w:id="198"/>
      <w:bookmarkEnd w:id="199"/>
      <w:bookmarkEnd w:id="200"/>
      <w:bookmarkEnd w:id="201"/>
      <w:bookmarkEnd w:id="202"/>
    </w:p>
    <w:p>
      <w:pPr>
        <w:pStyle w:val="Normal"/>
        <w:rPr/>
      </w:pPr>
      <w:r>
        <w:rPr/>
        <w:t xml:space="preserve">This chapter delineates the methodological framework employed to address the research questions This chapter delineates the methodological framework employed to address the research questions (RQ1–RQ4) and objectives (OB1–OB4), ensuring alignment with the study's pragmatic epistemology that integrates positivist quantitative analyses with interpretivist qualitative explorations (Creswell &amp; Plano Clark, 2018). The design adopts a mixed-methods convergent parallel approach, where quantitative and qualitative data are collected concurrently, analyzed separately, and integrated to provide comprehensive insights into corporate governance (CG) mechanisms and their impact on non-performing loan (NPL) ratios in Nigeria's </w:t>
      </w:r>
      <w:r>
        <w:rPr>
          <w:rStyle w:val="Strong"/>
        </w:rPr>
        <w:t>deposit money banking</w:t>
      </w:r>
      <w:r>
        <w:rPr/>
        <w:t xml:space="preserve"> sector. </w:t>
      </w:r>
      <w:r>
        <w:rPr>
          <w:rStyle w:val="Strong"/>
        </w:rPr>
        <w:t>RQ1 utilizes a quantitative longitudinal panel design with secondary data from 2009–2024 to examine corporate governance indices’ (disclosure, practice, compliance) longitudinal effects, controlling for confounders like bank size, capital adequacy, and macroeconomic factors. In contrast, RQ2–RQ4 leverage a 2024 cross-sectional study incorporating questionnaires and interviews for contemporary stakeholder perceptions on audit committee independence, management qualifications, and regulatory clarity.</w:t>
      </w:r>
      <w:r>
        <w:rPr/>
        <w:t xml:space="preserve"> This dual strategy enhances robustness, with quantitative regressions isolating associations and qualitative themes elucidating mechanisms, triangulated via joint displays (e.g., Table 4.9 in Chapter 4). Ethical considerations, including informed consent and data anonymity under the Nigeria Data Protection Act 2023, are upheld throughout.</w:t>
      </w:r>
    </w:p>
    <w:p>
      <w:pPr>
        <w:pStyle w:val="BodyText"/>
        <w:spacing w:lineRule="auto" w:line="480"/>
        <w:ind w:hanging="0" w:start="0" w:end="0"/>
        <w:rPr/>
      </w:pPr>
      <w:r>
        <w:rPr>
          <w:rStyle w:val="Strong"/>
        </w:rPr>
        <w:t>This chapter outlines the methodological framework for examining corporate governance (CG) deficiencies at the board level in Nigerian Deposit Money Banks (DMBs), with a focus on enhancing disclosure, practice, and compliance to mitigate default risk, as measured by NPL ratios. A mixed-method approach is adopted, integrating quantitative and qualitative methods to comprehensively analyze the corporate governance indices of disclosure (CGDI), practice (OPEFF), and compliance (COMID), as well as audit committee independence, management qualifications, and regulatory clarity in the post-2004 consolidation era.</w:t>
      </w:r>
      <w:r>
        <w:rPr/>
        <w:t xml:space="preserve"> This methodology is designed to address the research objectives, which explore how </w:t>
      </w:r>
      <w:r>
        <w:rPr>
          <w:rStyle w:val="Strong"/>
        </w:rPr>
        <w:t>corporate governance indices, audit committee independence, management qualifications, and regulatory clarity</w:t>
      </w:r>
      <w:r>
        <w:rPr/>
        <w:t xml:space="preserve"> influence NPL ratios, and to propose actionable reforms for Nigeria’s </w:t>
      </w:r>
      <w:r>
        <w:rPr>
          <w:rStyle w:val="Strong"/>
        </w:rPr>
        <w:t>deposit money banking</w:t>
      </w:r>
      <w:r>
        <w:rPr/>
        <w:t xml:space="preserve"> sector. By situating the study within a pragmatic research paradigm, this chapter justifies the selected methods, explains the centrality of NPLs as a metric, and details the data collection and analysis processes, ensuring alignment with the research’s aim to fill the gap in Nigeria-specific governance studies and enhance financial stability.</w:t>
      </w:r>
    </w:p>
    <w:p>
      <w:pPr>
        <w:pStyle w:val="Normal"/>
        <w:rPr/>
      </w:pPr>
      <w:r>
        <w:rPr/>
      </w:r>
      <w:r>
        <w:br w:type="page"/>
      </w:r>
    </w:p>
    <w:p>
      <w:pPr>
        <w:pStyle w:val="Heading2"/>
        <w:spacing w:before="0" w:after="0"/>
        <w:rPr/>
      </w:pPr>
      <w:bookmarkStart w:id="203" w:name="_Toc205059276"/>
      <w:bookmarkStart w:id="204" w:name="_Toc203392105"/>
      <w:bookmarkStart w:id="205" w:name="_Toc203584773"/>
      <w:bookmarkStart w:id="206" w:name="_Toc203671427"/>
      <w:bookmarkStart w:id="207" w:name="_Toc203671477"/>
      <w:bookmarkStart w:id="208" w:name="_Toc205059587"/>
      <w:bookmarkStart w:id="209" w:name="_Toc205059648"/>
      <w:bookmarkStart w:id="210" w:name="_Toc203392041"/>
      <w:bookmarkStart w:id="211" w:name="_Toc205059493"/>
      <w:r>
        <w:rPr/>
        <w:t>3.2 Research Paradigm</w:t>
      </w:r>
      <w:bookmarkEnd w:id="203"/>
      <w:bookmarkEnd w:id="204"/>
      <w:bookmarkEnd w:id="205"/>
      <w:bookmarkEnd w:id="206"/>
      <w:bookmarkEnd w:id="207"/>
      <w:bookmarkEnd w:id="208"/>
      <w:bookmarkEnd w:id="209"/>
      <w:bookmarkEnd w:id="210"/>
      <w:bookmarkEnd w:id="211"/>
    </w:p>
    <w:p>
      <w:pPr>
        <w:pStyle w:val="BodyText"/>
        <w:spacing w:lineRule="auto" w:line="480"/>
        <w:ind w:hanging="0" w:start="0" w:end="0"/>
        <w:rPr/>
      </w:pPr>
      <w:r>
        <w:rPr/>
        <w:t xml:space="preserve">The study employs a mixed-methods design grounded in a pragmatic epistemological stance, which prioritizes practical problem-solving by combining positivist and interpretivist paradigms to address multifaceted governance challenges in Nigeria's </w:t>
      </w:r>
      <w:r>
        <w:rPr>
          <w:rStyle w:val="Strong"/>
        </w:rPr>
        <w:t>deposit money banking</w:t>
      </w:r>
      <w:r>
        <w:rPr/>
        <w:t xml:space="preserve"> sector (Creswell &amp; Plano Clark, 2018). Pragmatism allows flexibility in method selection, recognizing that objective realities (e.g., NPL ratios) exist but are best apprehended through context-sensitive measurements and stakeholder interpretations. </w:t>
      </w:r>
      <w:r>
        <w:rPr>
          <w:rStyle w:val="Strong"/>
        </w:rPr>
        <w:t>For RQ1, a quantitative longitudinal panel design is adopted, aligning with critical-realist ontology that posits an underlying governance-performance nexus, observable via theory-informed metrics and statistical controls (Bhaskar, 2016). This enables disentanglement of within-bank governance variations from between-bank heterogeneity and macroeconomic shocks, such as oil price fluctuations or inflation trends (e.g., 24.1% average in 2024; CBN, 2024). For RQ2–RQ4, a cross-sectional mixed-methods component integrates 7-point Likert-scale questionnaires (quantitative) with semi-structured interviews (qualitative), facilitating thematic analysis of perceptions on audit committee independence, management qualifications, and regulatory clarity.</w:t>
      </w:r>
    </w:p>
    <w:p>
      <w:pPr>
        <w:pStyle w:val="BodyText"/>
        <w:spacing w:lineRule="auto" w:line="480"/>
        <w:ind w:hanging="0" w:start="0" w:end="0"/>
        <w:rPr/>
      </w:pPr>
      <w:r>
        <w:rPr/>
        <w:t xml:space="preserve">The convergent parallel design ensures equal weighting of strands, with integration occurring during interpretation (e.g., qualitative narratives explaining quantitative coefficients). This mitigates limitations of single methods: Quantitative regressions provide generalizable associations (e.g., via SPSS v.28), while qualitative insights from NVivo-coded interviews add depth to causal mechanisms, such as patronage-driven NPLs. </w:t>
      </w:r>
      <w:r>
        <w:rPr>
          <w:rStyle w:val="Strong"/>
        </w:rPr>
        <w:t>Sample sizes—230 questionnaires (57.5% response rate from 400 distributed) and 10 interviews (50% from 20 scheduled)—ensure sufficient data for robust analysis.</w:t>
      </w:r>
    </w:p>
    <w:p>
      <w:pPr>
        <w:pStyle w:val="BodyText"/>
        <w:spacing w:lineRule="auto" w:line="480"/>
        <w:ind w:hanging="0" w:start="0" w:end="0"/>
        <w:rPr/>
      </w:pPr>
      <w:r>
        <w:rPr>
          <w:rStyle w:val="Strong"/>
        </w:rPr>
        <w:t>This research is grounded in a pragmatic epistemological stance, which integrates positivist and interpretivist paradigms to address the multifaceted corporate governance (CG) deficiencies in Nigerian Deposit Money Banks (DMBs), with a focus on enhancing disclosure, practice, and compliance to mitigate default risk, as measured by NPL ratios.</w:t>
      </w:r>
      <w:r>
        <w:rPr/>
        <w:t xml:space="preserve"> Pragmatism, as articulated by Creswell and Plano Clark (2018), prioritizes practical solutions and methodological flexibility, making it an ideal framework for investigating real-world governance challenges in an emerging market like Nigeria, where historical legacies, </w:t>
      </w:r>
      <w:r>
        <w:rPr>
          <w:rStyle w:val="Strong"/>
        </w:rPr>
        <w:t>regulatory multiplicity</w:t>
      </w:r>
      <w:r>
        <w:rPr/>
        <w:t xml:space="preserve">, and systemic governance failures—such as weak board oversight, </w:t>
      </w:r>
      <w:r>
        <w:rPr>
          <w:rStyle w:val="Strong"/>
        </w:rPr>
        <w:t>unqualified management</w:t>
      </w:r>
      <w:r>
        <w:rPr/>
        <w:t xml:space="preserve">, and inadequate </w:t>
      </w:r>
      <w:r>
        <w:rPr>
          <w:rStyle w:val="Strong"/>
        </w:rPr>
        <w:t>practice indices</w:t>
      </w:r>
      <w:r>
        <w:rPr/>
        <w:t xml:space="preserve">—require a nuanced approach that balances empirical rigor with contextual depth. The pragmatic paradigm rejects the notion of a single, universal truth, instead emphasizing the use of methods best suited to answer the research questions and achieve practical outcomes, aligning with the research’s aim to propose actionable reforms for Nigeria’s </w:t>
      </w:r>
      <w:r>
        <w:rPr>
          <w:rStyle w:val="Strong"/>
        </w:rPr>
        <w:t>deposit money banking</w:t>
      </w:r>
      <w:r>
        <w:rPr/>
        <w:t xml:space="preserve"> sector (Tashakkori &amp; Teddlie, 1998). This approach is particularly relevant given the complexity of Nigeria’s banking environment, marked by a colonial legacy of misaligned governance frameworks, post-independence </w:t>
      </w:r>
      <w:r>
        <w:rPr>
          <w:rStyle w:val="Strong"/>
        </w:rPr>
        <w:t>regulatory multiplicity</w:t>
      </w:r>
      <w:r>
        <w:rPr/>
        <w:t>, and persistent governance lapses, as evidenced by 425 bank failures since 1988 and NPL peaks of 37% in 2009 and 20% in 2017 (Udo, 2020; Nwosu, 2020; Adegboye, 2020).</w:t>
      </w:r>
    </w:p>
    <w:p>
      <w:pPr>
        <w:pStyle w:val="BodyText"/>
        <w:spacing w:lineRule="auto" w:line="480"/>
        <w:ind w:hanging="0" w:start="0" w:end="0"/>
        <w:rPr/>
      </w:pPr>
      <w:r>
        <w:rPr/>
        <w:t xml:space="preserve">The positivist paradigm underpins the quantitative component of the study, which employs a structured questionnaire to objectively measure the relationships between </w:t>
      </w:r>
      <w:r>
        <w:rPr>
          <w:rStyle w:val="Strong"/>
        </w:rPr>
        <w:t>corporate governance indices—disclosure (CGDI), practice (OPEFF), and compliance (COMID)</w:t>
      </w:r>
      <w:r>
        <w:rPr/>
        <w:t xml:space="preserve">—and NPL ratios. Positivism assumes that governance deficiencies can be quantified through observable, measurable phenomena, such as NPL ratios, which serve as a robust indicator of default risk and governance quality (Bryman, 2016). By using statistical tools like regression analysis, the quantitative approach tests the impact of </w:t>
      </w:r>
      <w:r>
        <w:rPr>
          <w:rStyle w:val="Strong"/>
        </w:rPr>
        <w:t>governance indices</w:t>
      </w:r>
      <w:r>
        <w:rPr/>
        <w:t xml:space="preserve">, such as board oversight effectiveness and </w:t>
      </w:r>
      <w:r>
        <w:rPr>
          <w:rStyle w:val="Strong"/>
        </w:rPr>
        <w:t>audit committee independence</w:t>
      </w:r>
      <w:r>
        <w:rPr/>
        <w:t xml:space="preserve">, on NPLs, providing empirical evidence to support the research objectives. This paradigm is well-suited to Nigeria’s </w:t>
      </w:r>
      <w:r>
        <w:rPr>
          <w:rStyle w:val="Strong"/>
        </w:rPr>
        <w:t>deposit money banking</w:t>
      </w:r>
      <w:r>
        <w:rPr/>
        <w:t xml:space="preserve"> context, where measurable outcomes, such as the 2009 banking crisis requiring a $3.9 billion CBN intervention, highlight the need for data-driven insights into governance failures (Sanusi, 2009). The positivist approach ensures that the research can isolate specific governance variables, such as the absence of independent nomination committees in 61% of banks or weak whistleblowing mechanisms, and their statistical correlation with NPLs, addressing the scarcity of recent, Nigeria-specific studies on post-consolidation governance (Ogbechie, 2016; Osita et al., 2019).</w:t>
      </w:r>
    </w:p>
    <w:p>
      <w:pPr>
        <w:pStyle w:val="BodyText"/>
        <w:spacing w:lineRule="auto" w:line="480"/>
        <w:ind w:hanging="0" w:start="0" w:end="0"/>
        <w:rPr/>
      </w:pPr>
      <w:r>
        <w:rPr/>
        <w:t xml:space="preserve">In contrast, the interpretivist paradigm informs the qualitative component, utilizing semi-structured interviews with high-level banking officials to capture nuanced, subjective perspectives on CG challenges, such as </w:t>
      </w:r>
      <w:r>
        <w:rPr>
          <w:rStyle w:val="Strong"/>
        </w:rPr>
        <w:t>regulatory multiplicity</w:t>
      </w:r>
      <w:r>
        <w:rPr/>
        <w:t xml:space="preserve"> and fraud concealment. Interpretivism recognizes that governance phenomena are shaped by social, cultural, and historical contexts, which in Nigeria include pre-colonial customary systems, colonial impositions like the Companies Ordinance of 1912, and post-independence regulatory adaptations like CAMA 2020 (Elias, 2024; Agamah, 2024). This paradigm allows the research to explore how stakeholders perceive and navigate governance deficiencies, such as </w:t>
      </w:r>
      <w:r>
        <w:rPr>
          <w:rStyle w:val="Strong"/>
        </w:rPr>
        <w:t>politically motivated board appointments</w:t>
      </w:r>
      <w:r>
        <w:rPr/>
        <w:t xml:space="preserve"> or conflicting regulatory codes (e.g., CAMA 2020 vs. NCCG 2018), which contribute to NPL-driven default risk (Abdulmalik &amp; Ahmad, 2020). By engaging with banking professionals, the interpretivist approach provides rich, context-specific insights into the practical barriers to implementing governance reforms, such as weak </w:t>
      </w:r>
      <w:r>
        <w:rPr>
          <w:rStyle w:val="Strong"/>
        </w:rPr>
        <w:t>enforcement consistency</w:t>
      </w:r>
      <w:r>
        <w:rPr/>
        <w:t xml:space="preserve"> by the CBN or shareholder capture of </w:t>
      </w:r>
      <w:r>
        <w:rPr>
          <w:rStyle w:val="Strong"/>
        </w:rPr>
        <w:t>audit committees</w:t>
      </w:r>
      <w:r>
        <w:rPr/>
        <w:t xml:space="preserve">, which quantitative data alone cannot fully capture (Adegbite, 2014; Olojede et al., 2020). This qualitative depth is critical for understanding the socio-political dynamics of Nigeria’s </w:t>
      </w:r>
      <w:r>
        <w:rPr>
          <w:rStyle w:val="Strong"/>
        </w:rPr>
        <w:t>deposit money banking</w:t>
      </w:r>
      <w:r>
        <w:rPr/>
        <w:t xml:space="preserve"> sector, where historical legacies of cronyism and </w:t>
      </w:r>
      <w:r>
        <w:rPr>
          <w:rStyle w:val="Strong"/>
        </w:rPr>
        <w:t>regulatory multiplicity</w:t>
      </w:r>
      <w:r>
        <w:rPr/>
        <w:t xml:space="preserve"> continue to undermine </w:t>
      </w:r>
      <w:r>
        <w:rPr>
          <w:rStyle w:val="Strong"/>
        </w:rPr>
        <w:t>disclosure and compliance</w:t>
      </w:r>
      <w:r>
        <w:rPr/>
        <w:t>.</w:t>
      </w:r>
    </w:p>
    <w:p>
      <w:pPr>
        <w:pStyle w:val="BodyText"/>
        <w:spacing w:lineRule="auto" w:line="480"/>
        <w:ind w:hanging="0" w:start="0" w:end="0"/>
        <w:rPr/>
      </w:pPr>
      <w:r>
        <w:rPr/>
        <w:t xml:space="preserve">The integration of positivist and interpretivist paradigms within a pragmatic framework is particularly advantageous for this study, as it addresses the complexity of CG deficiencies in a way that neither paradigm could achieve alone. Pragmatism allows the research to leverage the strengths of both approaches: the positivist paradigm provides statistical rigor to quantify the impact of </w:t>
      </w:r>
      <w:r>
        <w:rPr>
          <w:rStyle w:val="Strong"/>
        </w:rPr>
        <w:t>corporate governance indices</w:t>
      </w:r>
      <w:r>
        <w:rPr/>
        <w:t xml:space="preserve"> on NPLs, while the interpretivist paradigm offers contextual understanding of Nigeria’s unique governance challenges, such as the legacy of government interference pre-1986 and the 2004 banking consolidation’s failure to resolve systemic weaknesses (Chinweoda et al., 2020; Kafidipe, 2021). This mixed-method approach facilitates triangulation, where quantitative findings (e.g., correlations between </w:t>
      </w:r>
      <w:r>
        <w:rPr>
          <w:rStyle w:val="Strong"/>
        </w:rPr>
        <w:t>audit committee independence</w:t>
      </w:r>
      <w:r>
        <w:rPr/>
        <w:t xml:space="preserve"> and NPL reduction) are validated or explained by qualitative insights (e.g., stakeholder views on </w:t>
      </w:r>
      <w:r>
        <w:rPr>
          <w:rStyle w:val="Strong"/>
        </w:rPr>
        <w:t>audit committee</w:t>
      </w:r>
      <w:r>
        <w:rPr/>
        <w:t xml:space="preserve"> capture), enhancing the robustness and credibility of the results (Creswell &amp; Plano Clark, 2018).</w:t>
      </w:r>
    </w:p>
    <w:p>
      <w:pPr>
        <w:pStyle w:val="BodyText"/>
        <w:spacing w:lineRule="auto" w:line="480"/>
        <w:ind w:hanging="0" w:start="0" w:end="0"/>
        <w:rPr/>
      </w:pPr>
      <w:r>
        <w:rPr/>
        <w:t xml:space="preserve">The pragmatic stance also aligns with the research’s objectives to not only assess governance deficiencies but also propose practical, context-specific reforms, such as </w:t>
      </w:r>
      <w:r>
        <w:rPr>
          <w:rStyle w:val="Strong"/>
        </w:rPr>
        <w:t>harmonized regulatory frameworks</w:t>
      </w:r>
      <w:r>
        <w:rPr/>
        <w:t xml:space="preserve"> and mandatory nomination committees, that align with global standards like the OECD Principles (2023) while addressing Nigeria’s specific needs (Aguilera &amp; Ruiz Castillo, </w:t>
      </w:r>
      <w:r>
        <w:rPr>
          <w:rStyle w:val="Strong"/>
        </w:rPr>
        <w:t>2024</w:t>
      </w:r>
      <w:r>
        <w:rPr/>
        <w:t xml:space="preserve">). This pragmatic paradigm positions the research within the broader body of CG literature, particularly studies in emerging markets, where mixed methods are increasingly employed to tackle governance challenges that require both empirical evidence and contextual nuance. For instance, Aguilera and Cuervo-Cazurra (2004) advocate for integrated approaches to study governance codes in developing economies, where </w:t>
      </w:r>
      <w:r>
        <w:rPr>
          <w:rStyle w:val="Strong"/>
        </w:rPr>
        <w:t>regulatory multiplicity</w:t>
      </w:r>
      <w:r>
        <w:rPr/>
        <w:t xml:space="preserve"> and institutional weaknesses are prevalent. Similarly, the research draws on Nigerian studies, such as Osemeke and Adegbite (2016), which highlight the need for context-specific analyses of regulatory conflicts, and Olojede et al. (2020), which emphasize stakeholder perspectives on </w:t>
      </w:r>
      <w:r>
        <w:rPr>
          <w:rStyle w:val="Strong"/>
        </w:rPr>
        <w:t>disclosure and compliance</w:t>
      </w:r>
      <w:r>
        <w:rPr/>
        <w:t>.</w:t>
      </w:r>
    </w:p>
    <w:p>
      <w:pPr>
        <w:pStyle w:val="BodyText"/>
        <w:spacing w:lineRule="auto" w:line="480"/>
        <w:ind w:hanging="0" w:start="0" w:end="0"/>
        <w:rPr/>
      </w:pPr>
      <w:r>
        <w:rPr/>
        <w:t>By adopting pragmatism, the research bridges the gap between global governance theories (e.g., agency and stewardship theories) and Nigeria’s unique context, addressing the scarcity of post-</w:t>
      </w:r>
      <w:r>
        <w:rPr>
          <w:rStyle w:val="Strong"/>
        </w:rPr>
        <w:t>2009</w:t>
      </w:r>
      <w:r>
        <w:rPr/>
        <w:t xml:space="preserve"> studies on post-consolidation governance failures (Osita et al., 2019). This approach ensures that the research not only contributes to academic discourse but also offers practical solutions to enhance financial stability in Nigeria’s </w:t>
      </w:r>
      <w:r>
        <w:rPr>
          <w:rStyle w:val="Strong"/>
        </w:rPr>
        <w:t>deposit money banking</w:t>
      </w:r>
      <w:r>
        <w:rPr/>
        <w:t xml:space="preserve"> sector, addressing systemic risks like those seen in the 2009 crisis and fostering resilience through improved governance practices. The choice of a pragmatic paradigm is further justified by its ability to address the research gap in understanding how CG deficiencies—rooted in historical legacies and exacerbated by </w:t>
      </w:r>
      <w:r>
        <w:rPr>
          <w:rStyle w:val="Strong"/>
        </w:rPr>
        <w:t>regulatory multiplicity</w:t>
      </w:r>
      <w:r>
        <w:rPr/>
        <w:t xml:space="preserve">—drive NPLs in Nigerian DMBs. Unlike purely positivist studies, which may overlook Nigeria’s socio-political complexities, or purely interpretivist studies, which may lack empirical generalizability, the pragmatic approach combines the strengths of both to provide a comprehensive analysis. This is particularly critical in Nigeria, where governance failures, such as the 75% of NPLs tied to insider lending at Oceanic Bank, reflect a confluence of measurable </w:t>
      </w:r>
      <w:r>
        <w:rPr>
          <w:rStyle w:val="Strong"/>
        </w:rPr>
        <w:t>practice index</w:t>
      </w:r>
      <w:r>
        <w:rPr/>
        <w:t xml:space="preserve"> deficiencies and contextual factors like political patronage (Sanusi, 2009). By integrating quantitative data on NPLs with qualitative insights into regulatory and cultural barriers, the research ensures a holistic understanding of CG deficiencies, supporting the development of reforms that are both evidence-based and contextually relevant. This paradigm thus underpins the mixed-method design, enabling the research to address its objectives effectively and contribute to both academic and policy discourse in Nigeria’s </w:t>
      </w:r>
      <w:r>
        <w:rPr>
          <w:rStyle w:val="Strong"/>
        </w:rPr>
        <w:t>deposit money banking</w:t>
      </w:r>
      <w:r>
        <w:rPr/>
        <w:t xml:space="preserve"> sector.</w:t>
      </w:r>
    </w:p>
    <w:p>
      <w:pPr>
        <w:pStyle w:val="Normal"/>
        <w:rPr/>
      </w:pPr>
      <w:r>
        <w:rPr/>
      </w:r>
    </w:p>
    <w:p>
      <w:pPr>
        <w:pStyle w:val="Heading2"/>
        <w:rPr>
          <w:rFonts w:eastAsia="Times New Roman" w:cs="Times New Roman"/>
          <w:szCs w:val="24"/>
        </w:rPr>
      </w:pPr>
      <w:r>
        <w:rPr/>
        <w:t>3.3 Research Design</w:t>
      </w:r>
    </w:p>
    <w:p>
      <w:pPr>
        <w:pStyle w:val="Heading3"/>
        <w:rPr/>
      </w:pPr>
      <w:r>
        <w:rPr/>
        <w:t>3.3.1 Convergent Parallel mixed-methods design</w:t>
      </w:r>
    </w:p>
    <w:p>
      <w:pPr>
        <w:pStyle w:val="BodyText"/>
        <w:spacing w:lineRule="auto" w:line="480"/>
        <w:ind w:hanging="0" w:start="0" w:end="0"/>
        <w:rPr/>
      </w:pPr>
      <w:r>
        <w:rPr>
          <w:rStyle w:val="Strong"/>
        </w:rPr>
        <w:t>This subsection outlines the comprehensive methodological framework, including structured questionnaires for quantifying perceptions, semi-structured interviews for capturing narrative insights, regression analyses for modeling relationships, thematic analyses for identifying patterns, and pilot testing for refining instruments. These tools collectively support the pragmatic paradigm, offering practical solutions to corporate governance (CG) challenges within Nigeria’s fragmented deposit money banking sector, marked by Deposit Money Banks (DMBs) and ongoing non-performing loan (NPL) pressures (Creswell &amp; Plano Clark, 2018; CBN, 2024). Questionnaires, featuring Likert-scaled items, facilitate broad data collection; interviews provide adaptability in exploration; regressions estimate associations (e.g., betas linking corporate governance indices to NPLs); thematics distill qualitative insights; and pilots (n=65) ensure tool reliability, all grounded in data from April 2024.</w:t>
      </w:r>
    </w:p>
    <w:p>
      <w:pPr>
        <w:pStyle w:val="BodyText"/>
        <w:spacing w:lineRule="auto" w:line="480"/>
        <w:ind w:hanging="0" w:start="0" w:end="0"/>
        <w:rPr/>
      </w:pPr>
      <w:r>
        <w:rPr/>
        <w:t xml:space="preserve">The research design is aligned with the study’s objectives: </w:t>
      </w:r>
      <w:r>
        <w:rPr>
          <w:rStyle w:val="Strong"/>
        </w:rPr>
        <w:t>OB1 estimates the association of corporate governance indices (disclosure, practice, compliance) with reduced NPL ratios; OB2 estimates the association of audit committee independence with financial reporting integrity and lower NPL ratios; OB3 estimates the association of management qualifications with NPL ratios; and OB4 assesses the influence of regulatory clarity and proposes actionable reforms to enhance financial stability in Nigeria’s deposit money banking sector.</w:t>
      </w:r>
      <w:r>
        <w:rPr/>
        <w:t xml:space="preserve"> These represent the full and detailed objectives as outlined in Section 1.4, tailored to a </w:t>
      </w:r>
      <w:r>
        <w:rPr>
          <w:rStyle w:val="Strong"/>
        </w:rPr>
        <w:t>2024 snapshot based on April 2024 data</w:t>
      </w:r>
      <w:r>
        <w:rPr/>
        <w:t>.</w:t>
      </w:r>
    </w:p>
    <w:p>
      <w:pPr>
        <w:pStyle w:val="BodyText"/>
        <w:spacing w:lineRule="auto" w:line="480"/>
        <w:ind w:hanging="0" w:start="0" w:end="0"/>
        <w:rPr/>
      </w:pPr>
      <w:r>
        <w:rPr>
          <w:rStyle w:val="Strong"/>
        </w:rPr>
        <w:t>Mitigating default risks through enhanced governance indices, audit committee independence, management qualifications, and regulatory clarity, the design promotes financial stability in an emerging market vulnerable to economic shocks and inflationary pressures in 2024 (CBN, 2024). Quantitative data, sourced from structured questionnaires administered to 400 banking professionals (57.5% response rate from 400 distributed) and secondary NPL ratios, are cross-referenced with qualitative insights from 10 semi-structured interviews (50% response rate from 20 scheduled), producing resilient, contextually grounded outcomes that are especially pertinent to emerging economies grappling with regulatory fragmentation and data opacity (Olojede et al., 2020).</w:t>
      </w:r>
    </w:p>
    <w:p>
      <w:pPr>
        <w:pStyle w:val="BodyText"/>
        <w:spacing w:lineRule="auto" w:line="480"/>
        <w:ind w:hanging="0" w:start="0" w:end="0"/>
        <w:rPr/>
      </w:pPr>
      <w:r>
        <w:rPr>
          <w:rStyle w:val="Strong"/>
        </w:rPr>
        <w:t>3.3.2 Justification for Convergent Parallel Mixed-Methods Design</w:t>
      </w:r>
    </w:p>
    <w:p>
      <w:pPr>
        <w:pStyle w:val="BodyText"/>
        <w:spacing w:lineRule="auto" w:line="480"/>
        <w:ind w:hanging="0" w:start="0" w:end="0"/>
        <w:rPr/>
      </w:pPr>
      <w:r>
        <w:rPr>
          <w:rStyle w:val="Strong"/>
        </w:rPr>
        <w:t>This research employs a mixed-methods convergent parallel design, integrating quantitative data (analyzed via SPSS regressions) and qualitative data (explored through NVivo thematic analysis) to investigate the relationship between corporate governance indices (disclosure, practice, compliance), audit committee independence, management qualifications, and regulatory clarity with NPL ratios, drawing on Creswell &amp; Plano Clark (2018). This design facilitates the simultaneous collection and analysis of both data types in April 2024, merging them to provide a more comprehensive understanding than single-method approaches, thereby addressing the complexities of deposit money banking governance where isolated methods fall short.</w:t>
      </w:r>
      <w:r>
        <w:rPr/>
        <w:t xml:space="preserve"> As outlined by Creswell &amp; Plano Clark (2018), the convergent parallel design is well-suited for studies requiring empirical evidence alongside interpretive depth, enhancing validity and reliability through mutual reinforcement of findings, and aligns with the pragmatic paradigm that prioritizes practical, actionable solutions over rigid theoretical divides. This approach is particularly apt for Nigeria’s complex </w:t>
      </w:r>
      <w:r>
        <w:rPr>
          <w:rStyle w:val="Strong"/>
        </w:rPr>
        <w:t>deposit money banking</w:t>
      </w:r>
      <w:r>
        <w:rPr/>
        <w:t xml:space="preserve"> environment, marked by historical governance failures and current challenges like </w:t>
      </w:r>
      <w:r>
        <w:rPr>
          <w:rStyle w:val="Strong"/>
        </w:rPr>
        <w:t>regulatory multiplicity</w:t>
      </w:r>
      <w:r>
        <w:rPr/>
        <w:t xml:space="preserve"> that undermine </w:t>
      </w:r>
      <w:r>
        <w:rPr>
          <w:rStyle w:val="Strong"/>
        </w:rPr>
        <w:t>compliance</w:t>
      </w:r>
      <w:r>
        <w:rPr/>
        <w:t xml:space="preserve"> (Abdulmalik &amp; Ahmad, 2020), capturing a </w:t>
      </w:r>
      <w:r>
        <w:rPr>
          <w:rStyle w:val="Strong"/>
        </w:rPr>
        <w:t>2024 snapshot</w:t>
      </w:r>
      <w:r>
        <w:rPr/>
        <w:t xml:space="preserve"> that reflects regulatory progress following the CBN Guidelines 2023.</w:t>
      </w:r>
    </w:p>
    <w:p>
      <w:pPr>
        <w:pStyle w:val="BodyText"/>
        <w:spacing w:lineRule="auto" w:line="480"/>
        <w:ind w:hanging="0" w:start="0" w:end="0"/>
        <w:rPr/>
      </w:pPr>
      <w:r>
        <w:rPr>
          <w:rStyle w:val="Strong"/>
        </w:rPr>
        <w:t>Data collection integrates primary and secondary sources, as well as quantitative and qualitative typologies, to create a balanced, multi-layered dataset. Primary data includes original insights from questionnaires targeting a stratified sample of banking professionals and semi-structured interviews with senior executives, collected in April 2024, capturing contemporaneous perceptions such as how weak nomination committees contribute to unqualified appointments influencing NPLs. Secondary data, sourced from pre-existing repositories like DMB financial reports and CBN bulletins covering 2009–2024, focuses on 2024 NPL ratios and ancillary metrics to contextualize primary findings.</w:t>
      </w:r>
      <w:r>
        <w:rPr/>
        <w:t xml:space="preserve"> Quantitative data, collected from questionnaires and secondary NPL metrics, underpins statistical inquiries like regression models to test associations between </w:t>
      </w:r>
      <w:r>
        <w:rPr>
          <w:rStyle w:val="Strong"/>
        </w:rPr>
        <w:t>corporate governance indices</w:t>
      </w:r>
      <w:r>
        <w:rPr/>
        <w:t xml:space="preserve"> and default risk. Qualitative data from interviews delivers interpretive layers, elucidating obstacles like </w:t>
      </w:r>
      <w:r>
        <w:rPr>
          <w:rStyle w:val="Strong"/>
        </w:rPr>
        <w:t>regulatory conflicts</w:t>
      </w:r>
      <w:r>
        <w:rPr/>
        <w:t xml:space="preserve"> under CAMA 2020 and NCCG 2018 that hinder implementation, as stakeholders describe “loopholes allowing selective compliance” (Abdulmalik &amp; Ahmad, 2020). Integration transpires via cross-validation, harmonizing with agency theory to resolve principal-agent dissonances in governance structures and stakeholder theory to embrace multifaceted viewpoints from shareholders to regulators, thus constructing a cohesive narrative that transcends methodological silos (Jensen &amp; Meckling, 1976; Freeman, 1984).</w:t>
      </w:r>
    </w:p>
    <w:p>
      <w:pPr>
        <w:pStyle w:val="BodyText"/>
        <w:spacing w:lineRule="auto" w:line="480"/>
        <w:ind w:hanging="0" w:start="0" w:end="0"/>
        <w:rPr/>
      </w:pPr>
      <w:r>
        <w:rPr>
          <w:rStyle w:val="Strong"/>
        </w:rPr>
        <w:t>The quantitative component quantifies the association of corporate governance indices with NPL ratios, aligned with OB1, through literature-anchored questionnaires that test hypotheses on disclosure, practice, and compliance (e.g., ‘Effective oversight reduces risky loans by 20%’; Ogbechie, 2016), using April 2024 data, with secondary NPL ratios from 2009–2024 adding longitudinal depth for RQ1. The qualitative component, linked to OB2, OB3, and OB4, explores perceptions of impediments like audit committee independence, management qualifications, and regulatory clarity through semi-structured interviews conducted in April 2024, providing causal insights into fraud concealment and regulatory fragmentation that complement quantitative findings.</w:t>
      </w:r>
      <w:r>
        <w:rPr/>
        <w:t xml:space="preserve"> Concurrent data collection enhances reliability, particularly in Nigeria’s opaque reporting environment, where historical misstatements have masked risks, enabling real-time cross-checks that highlight discrepancies such as perceptual optimism versus actual NPL spikes (Olojede et al., 2020). Cross-verification strengthens validity: regression models, tied to OB1 and OB3, estimate correlations, while interviews, supporting OB2 and OB4, elucidate underlying mechanisms; a joint display table synthesizes results, addressing divergences and aligning with OECD Principles (2023) for </w:t>
      </w:r>
      <w:r>
        <w:rPr>
          <w:rStyle w:val="Strong"/>
        </w:rPr>
        <w:t>disclosure and compliance</w:t>
      </w:r>
      <w:r>
        <w:rPr/>
        <w:t xml:space="preserve"> and Basel III standards (BCBS, 2010) for risk mitigation. This methodology fills post-</w:t>
      </w:r>
      <w:r>
        <w:rPr>
          <w:rStyle w:val="Strong"/>
        </w:rPr>
        <w:t>2009</w:t>
      </w:r>
      <w:r>
        <w:rPr/>
        <w:t xml:space="preserve"> research gaps in Nigerian inquiries, advocating a </w:t>
      </w:r>
      <w:r>
        <w:rPr>
          <w:rStyle w:val="Strong"/>
        </w:rPr>
        <w:t>unified CG framework</w:t>
      </w:r>
      <w:r>
        <w:rPr/>
        <w:t xml:space="preserve"> amid ongoing reforms, and informs policy for Deposit Money Banks (DMBs), directly supporting OB4 (Osita et al., 2019; Kafidipe, 2021; Nwosu, 2020; Aguilera &amp; Ruiz Castillo, </w:t>
      </w:r>
      <w:r>
        <w:rPr>
          <w:rStyle w:val="Strong"/>
        </w:rPr>
        <w:t>2024</w:t>
      </w:r>
      <w:r>
        <w:rPr/>
        <w:t>).</w:t>
      </w:r>
    </w:p>
    <w:p>
      <w:pPr>
        <w:pStyle w:val="BodyText"/>
        <w:spacing w:lineRule="auto" w:line="480"/>
        <w:ind w:hanging="0" w:start="0" w:end="0"/>
        <w:rPr/>
      </w:pPr>
      <w:r>
        <w:rPr/>
        <w:t xml:space="preserve">Although the convergent parallel design was ultimately chosen for its equilibrium of scope and profundity, various alternatives were rigorously appraised and ultimately discarded to ascertain optimal methodological congruence with the study's pragmatic orientation and contextual demands. A purely positivist methodology, centered exclusively on quantitative instruments like surveys and archival NPL data, was rejected as inadequate for unraveling the socio-political and cultural undercurrents of governance issues in Nigeria, such as the entrenched political influences on board selections that quantitative metrics alone might overlook, thereby failing to explicate anomalies in statistical patterns. Conversely, a wholly interpretivist paradigm, exemplified by in-depth case studies or unstructured interviews, was dismissed for its deficiency in delivering the empirical solidity required to quantify associations and validate hypotheses concerning </w:t>
      </w:r>
      <w:r>
        <w:rPr>
          <w:rStyle w:val="Strong"/>
        </w:rPr>
        <w:t>corporate governance indices’</w:t>
      </w:r>
      <w:r>
        <w:rPr/>
        <w:t xml:space="preserve"> effects, potentially yielding rich but non-generalizable anecdotes in a sector craving quantifiable evidence for policy advocacy (Tashakkori &amp; Teddlie, 1998). Within mixed-methods spectra, an explanatory sequential design—commencing with quantitative phases followed by qualitative elaboration—was contemplated but deemed suboptimal due to its protracted timeline, which delays synthesis and risks obsolescence in Nigeria's rapidly shifting regulatory terrain, whereas concurrent collection permits timely juxtaposition (Creswell &amp; Plano Clark, 2018). An exploratory sequential model, initiating with qualitative probes before quantitative verification, was likewise eschewed, as the objectives mandate preliminary measurement of NPL trends prior to contextual unpacking; reversing this sequence would misalign with the need for initial empirical grounding. A fully qualitative case study methodology, while potent for granular narratives, was repudiated for its incapacity to furnish statistically extrapolatable conclusions across the DMBs, crucial for systemic reform proposals amid heterogeneous governance practices (Yin, 2018; CBN, </w:t>
      </w:r>
      <w:r>
        <w:rPr>
          <w:rStyle w:val="Strong"/>
        </w:rPr>
        <w:t>2024</w:t>
      </w:r>
      <w:r>
        <w:rPr/>
        <w:t>). The convergent parallel design triumphs by permitting synchronous strands, expediting cross-verification, and yielding pragmatic resolutions attuned to Nigeria's exigencies, outstripping alternatives in efficiency and comprehensiveness.</w:t>
      </w:r>
    </w:p>
    <w:p>
      <w:pPr>
        <w:pStyle w:val="BodyText"/>
        <w:spacing w:lineRule="auto" w:line="480"/>
        <w:ind w:hanging="0" w:start="0" w:end="0"/>
        <w:rPr/>
      </w:pPr>
      <w:r>
        <w:rPr>
          <w:rStyle w:val="Strong"/>
        </w:rPr>
        <w:t>Methods are customized to the research objectives (OB1–OB4), with OB1 accentuating quantitative modalities for empirical correlations via primary surveys and secondary NPL data from 2009–2024; OB2, OB3, and OB4 favoring qualitative narratives for contextual unpacking and reform synthesis, supplemented by secondary metrics.</w:t>
      </w:r>
      <w:r>
        <w:rPr/>
        <w:t xml:space="preserve"> This calibration alleviates data opacity prevalent in Nigerian </w:t>
      </w:r>
      <w:r>
        <w:rPr>
          <w:rStyle w:val="Strong"/>
        </w:rPr>
        <w:t>deposit money banks</w:t>
      </w:r>
      <w:r>
        <w:rPr/>
        <w:t>, as visualized in Table 3.1 below, which demarcates approaches, sources, and strategies for clarity.</w:t>
      </w:r>
    </w:p>
    <w:p>
      <w:pPr>
        <w:pStyle w:val="BodyText"/>
        <w:spacing w:lineRule="auto" w:line="480"/>
        <w:ind w:hanging="0" w:start="0" w:end="0"/>
        <w:rPr/>
      </w:pPr>
      <w:r>
        <w:rPr>
          <w:rStyle w:val="Strong"/>
        </w:rPr>
        <w:t>Table 3.1: Research Design Alignment with Objectives</w:t>
      </w:r>
    </w:p>
    <w:tbl>
      <w:tblPr>
        <w:tblW w:w="10094" w:type="dxa"/>
        <w:jc w:val="start"/>
        <w:tblInd w:w="0" w:type="dxa"/>
        <w:tblLayout w:type="fixed"/>
        <w:tblCellMar>
          <w:top w:w="28" w:type="dxa"/>
          <w:start w:w="28" w:type="dxa"/>
          <w:bottom w:w="28" w:type="dxa"/>
          <w:end w:w="28" w:type="dxa"/>
        </w:tblCellMar>
      </w:tblPr>
      <w:tblGrid>
        <w:gridCol w:w="1521"/>
        <w:gridCol w:w="1519"/>
        <w:gridCol w:w="1812"/>
        <w:gridCol w:w="1466"/>
        <w:gridCol w:w="1839"/>
        <w:gridCol w:w="1937"/>
      </w:tblGrid>
      <w:tr>
        <w:trPr>
          <w:tblHeader w:val="true"/>
        </w:trPr>
        <w:tc>
          <w:tcPr>
            <w:tcW w:w="1521" w:type="dxa"/>
            <w:tcBorders/>
            <w:vAlign w:val="center"/>
          </w:tcPr>
          <w:p>
            <w:pPr>
              <w:pStyle w:val="TableHeading"/>
              <w:rPr/>
            </w:pPr>
            <w:r>
              <w:rPr>
                <w:rStyle w:val="Strong"/>
                <w:b/>
                <w:bCs/>
              </w:rPr>
              <w:t>Objective</w:t>
            </w:r>
          </w:p>
        </w:tc>
        <w:tc>
          <w:tcPr>
            <w:tcW w:w="1519" w:type="dxa"/>
            <w:tcBorders/>
            <w:vAlign w:val="center"/>
          </w:tcPr>
          <w:p>
            <w:pPr>
              <w:pStyle w:val="TableHeading"/>
              <w:rPr/>
            </w:pPr>
            <w:r>
              <w:rPr>
                <w:rStyle w:val="Strong"/>
                <w:b/>
                <w:bCs/>
              </w:rPr>
              <w:t>Nature of Approach</w:t>
            </w:r>
          </w:p>
        </w:tc>
        <w:tc>
          <w:tcPr>
            <w:tcW w:w="1812" w:type="dxa"/>
            <w:tcBorders/>
            <w:vAlign w:val="center"/>
          </w:tcPr>
          <w:p>
            <w:pPr>
              <w:pStyle w:val="TableHeading"/>
              <w:rPr/>
            </w:pPr>
            <w:r>
              <w:rPr>
                <w:rStyle w:val="Strong"/>
                <w:b/>
                <w:bCs/>
              </w:rPr>
              <w:t>Primary Data Source</w:t>
            </w:r>
          </w:p>
        </w:tc>
        <w:tc>
          <w:tcPr>
            <w:tcW w:w="1466" w:type="dxa"/>
            <w:tcBorders/>
            <w:vAlign w:val="center"/>
          </w:tcPr>
          <w:p>
            <w:pPr>
              <w:pStyle w:val="TableHeading"/>
              <w:rPr/>
            </w:pPr>
            <w:r>
              <w:rPr>
                <w:rStyle w:val="Strong"/>
                <w:b/>
                <w:bCs/>
              </w:rPr>
              <w:t>Secondary Data Source</w:t>
            </w:r>
          </w:p>
        </w:tc>
        <w:tc>
          <w:tcPr>
            <w:tcW w:w="1839" w:type="dxa"/>
            <w:tcBorders/>
            <w:vAlign w:val="center"/>
          </w:tcPr>
          <w:p>
            <w:pPr>
              <w:pStyle w:val="TableHeading"/>
              <w:rPr/>
            </w:pPr>
            <w:r>
              <w:rPr>
                <w:rStyle w:val="Strong"/>
                <w:b/>
                <w:bCs/>
              </w:rPr>
              <w:t>Analytical Strategy</w:t>
            </w:r>
          </w:p>
        </w:tc>
        <w:tc>
          <w:tcPr>
            <w:tcW w:w="1937" w:type="dxa"/>
            <w:tcBorders/>
            <w:vAlign w:val="center"/>
          </w:tcPr>
          <w:p>
            <w:pPr>
              <w:pStyle w:val="TableHeading"/>
              <w:ind w:hanging="0" w:start="0" w:end="0"/>
              <w:rPr/>
            </w:pPr>
            <w:r>
              <w:rPr>
                <w:rStyle w:val="Strong"/>
                <w:b/>
                <w:bCs/>
              </w:rPr>
              <w:t>Key Focus and Rationale</w:t>
            </w:r>
          </w:p>
        </w:tc>
      </w:tr>
      <w:tr>
        <w:trPr/>
        <w:tc>
          <w:tcPr>
            <w:tcW w:w="1521" w:type="dxa"/>
            <w:tcBorders/>
            <w:vAlign w:val="center"/>
          </w:tcPr>
          <w:p>
            <w:pPr>
              <w:pStyle w:val="TableContents"/>
              <w:ind w:hanging="0" w:start="0" w:end="0"/>
              <w:rPr/>
            </w:pPr>
            <w:r>
              <w:rPr>
                <w:rStyle w:val="Strong"/>
              </w:rPr>
              <w:t>OB1: Estimate the association of corporate governance indices (disclosure, practice, compliance) with reduced NPL-driven default risk</w:t>
            </w:r>
          </w:p>
        </w:tc>
        <w:tc>
          <w:tcPr>
            <w:tcW w:w="1519" w:type="dxa"/>
            <w:tcBorders/>
            <w:vAlign w:val="center"/>
          </w:tcPr>
          <w:p>
            <w:pPr>
              <w:pStyle w:val="TableContents"/>
              <w:ind w:hanging="0" w:start="0" w:end="0"/>
              <w:rPr/>
            </w:pPr>
            <w:r>
              <w:rPr/>
              <w:t>Predominantly quantitative, focusing on empirical measurement</w:t>
            </w:r>
          </w:p>
        </w:tc>
        <w:tc>
          <w:tcPr>
            <w:tcW w:w="1812" w:type="dxa"/>
            <w:tcBorders/>
            <w:vAlign w:val="center"/>
          </w:tcPr>
          <w:p>
            <w:pPr>
              <w:pStyle w:val="TableContents"/>
              <w:ind w:hanging="0" w:start="0" w:end="0"/>
              <w:rPr/>
            </w:pPr>
            <w:r>
              <w:rPr/>
              <w:t>Structured questionnaire responses from banking professionals, collected in April 2024, capturing Likert-scale perceptions on governance efficacy (e.g., credit control rigor and Basel III compliance)</w:t>
            </w:r>
          </w:p>
        </w:tc>
        <w:tc>
          <w:tcPr>
            <w:tcW w:w="1466" w:type="dxa"/>
            <w:tcBorders/>
            <w:vAlign w:val="center"/>
          </w:tcPr>
          <w:p>
            <w:pPr>
              <w:pStyle w:val="TableContents"/>
              <w:ind w:hanging="0" w:start="0" w:end="0"/>
              <w:rPr/>
            </w:pPr>
            <w:r>
              <w:rPr>
                <w:rStyle w:val="Strong"/>
              </w:rPr>
              <w:t>2009–2024 NPL ratios sourced from CBN statistical bulletins, NDIC reports, and audited DMB financial statements</w:t>
            </w:r>
          </w:p>
        </w:tc>
        <w:tc>
          <w:tcPr>
            <w:tcW w:w="1839" w:type="dxa"/>
            <w:tcBorders/>
            <w:vAlign w:val="center"/>
          </w:tcPr>
          <w:p>
            <w:pPr>
              <w:pStyle w:val="TableContents"/>
              <w:ind w:hanging="0" w:start="0" w:end="0"/>
              <w:rPr/>
            </w:pPr>
            <w:r>
              <w:rPr>
                <w:rStyle w:val="Strong"/>
              </w:rPr>
              <w:t>Longitudinal panel regression analysis with controls (e.g., bank size, capital adequacy, GDP growth) to estimate governance-NPL associations</w:t>
            </w:r>
          </w:p>
        </w:tc>
        <w:tc>
          <w:tcPr>
            <w:tcW w:w="1937" w:type="dxa"/>
            <w:tcBorders/>
            <w:vAlign w:val="center"/>
          </w:tcPr>
          <w:p>
            <w:pPr>
              <w:pStyle w:val="TableContents"/>
              <w:ind w:hanging="0" w:start="0" w:end="0"/>
              <w:rPr/>
            </w:pPr>
            <w:r>
              <w:rPr/>
              <w:t xml:space="preserve">Isolates measurable </w:t>
            </w:r>
            <w:r>
              <w:rPr>
                <w:rStyle w:val="Strong"/>
              </w:rPr>
              <w:t>governance index</w:t>
            </w:r>
            <w:r>
              <w:rPr/>
              <w:t xml:space="preserve"> effects on default risk using </w:t>
            </w:r>
            <w:r>
              <w:rPr>
                <w:rStyle w:val="Strong"/>
              </w:rPr>
              <w:t>2009–2024 data</w:t>
            </w:r>
            <w:r>
              <w:rPr/>
              <w:t>, prioritizing statistical rigor in opaque reporting contexts (Sanusi, 2009)</w:t>
            </w:r>
          </w:p>
        </w:tc>
      </w:tr>
      <w:tr>
        <w:trPr/>
        <w:tc>
          <w:tcPr>
            <w:tcW w:w="1521" w:type="dxa"/>
            <w:tcBorders/>
            <w:vAlign w:val="center"/>
          </w:tcPr>
          <w:p>
            <w:pPr>
              <w:pStyle w:val="TableContents"/>
              <w:ind w:hanging="0" w:start="0" w:end="0"/>
              <w:rPr/>
            </w:pPr>
            <w:r>
              <w:rPr>
                <w:rStyle w:val="Strong"/>
              </w:rPr>
              <w:t>OB2: Estimate the association of audit committee independence with lower NPLs through enhanced disclosure</w:t>
            </w:r>
          </w:p>
        </w:tc>
        <w:tc>
          <w:tcPr>
            <w:tcW w:w="1519" w:type="dxa"/>
            <w:tcBorders/>
            <w:vAlign w:val="center"/>
          </w:tcPr>
          <w:p>
            <w:pPr>
              <w:pStyle w:val="TableContents"/>
              <w:ind w:hanging="0" w:start="0" w:end="0"/>
              <w:rPr/>
            </w:pPr>
            <w:r>
              <w:rPr/>
              <w:t>Predominantly quantitative, emphasizing quantifiable indicators</w:t>
            </w:r>
          </w:p>
        </w:tc>
        <w:tc>
          <w:tcPr>
            <w:tcW w:w="1812" w:type="dxa"/>
            <w:tcBorders/>
            <w:vAlign w:val="center"/>
          </w:tcPr>
          <w:p>
            <w:pPr>
              <w:pStyle w:val="TableContents"/>
              <w:ind w:hanging="0" w:start="0" w:end="0"/>
              <w:rPr/>
            </w:pPr>
            <w:r>
              <w:rPr/>
              <w:t xml:space="preserve">Structured questionnaire data from April 2024, eliciting insights into </w:t>
            </w:r>
            <w:r>
              <w:rPr>
                <w:rStyle w:val="Strong"/>
              </w:rPr>
              <w:t>audit committee independence</w:t>
            </w:r>
            <w:r>
              <w:rPr/>
              <w:t xml:space="preserve"> (e.g., shareholder capture and whistleblowing mechanisms)</w:t>
            </w:r>
          </w:p>
        </w:tc>
        <w:tc>
          <w:tcPr>
            <w:tcW w:w="1466" w:type="dxa"/>
            <w:tcBorders/>
            <w:vAlign w:val="center"/>
          </w:tcPr>
          <w:p>
            <w:pPr>
              <w:pStyle w:val="TableContents"/>
              <w:ind w:hanging="0" w:start="0" w:end="0"/>
              <w:rPr/>
            </w:pPr>
            <w:r>
              <w:rPr>
                <w:rStyle w:val="Strong"/>
              </w:rPr>
              <w:t>2024 NPL ratios from CBN bulletins, NDIC reports, and DMB statements, with 2009–2024 data providing context</w:t>
            </w:r>
          </w:p>
        </w:tc>
        <w:tc>
          <w:tcPr>
            <w:tcW w:w="1839" w:type="dxa"/>
            <w:tcBorders/>
            <w:vAlign w:val="center"/>
          </w:tcPr>
          <w:p>
            <w:pPr>
              <w:pStyle w:val="TableContents"/>
              <w:ind w:hanging="0" w:start="0" w:end="0"/>
              <w:rPr/>
            </w:pPr>
            <w:r>
              <w:rPr/>
              <w:t xml:space="preserve">Cross-sectional correlation and regression modeling to test hypotheses (e.g., H2) on </w:t>
            </w:r>
            <w:r>
              <w:rPr>
                <w:rStyle w:val="Strong"/>
              </w:rPr>
              <w:t>audit-NPL linkages</w:t>
            </w:r>
            <w:r>
              <w:rPr/>
              <w:t xml:space="preserve"> with controls</w:t>
            </w:r>
          </w:p>
        </w:tc>
        <w:tc>
          <w:tcPr>
            <w:tcW w:w="1937" w:type="dxa"/>
            <w:tcBorders/>
            <w:vAlign w:val="center"/>
          </w:tcPr>
          <w:p>
            <w:pPr>
              <w:pStyle w:val="TableContents"/>
              <w:ind w:hanging="0" w:start="0" w:end="0"/>
              <w:rPr/>
            </w:pPr>
            <w:r>
              <w:rPr/>
              <w:t xml:space="preserve">Focuses on objective evidence of </w:t>
            </w:r>
            <w:r>
              <w:rPr>
                <w:rStyle w:val="Strong"/>
              </w:rPr>
              <w:t>audit-governance</w:t>
            </w:r>
            <w:r>
              <w:rPr/>
              <w:t xml:space="preserve"> dynamics to combat financial misreporting in Nigeria (Adegbite, 2014)</w:t>
            </w:r>
          </w:p>
        </w:tc>
      </w:tr>
      <w:tr>
        <w:trPr/>
        <w:tc>
          <w:tcPr>
            <w:tcW w:w="1521" w:type="dxa"/>
            <w:tcBorders/>
            <w:vAlign w:val="center"/>
          </w:tcPr>
          <w:p>
            <w:pPr>
              <w:pStyle w:val="TableContents"/>
              <w:ind w:hanging="0" w:start="0" w:end="0"/>
              <w:rPr/>
            </w:pPr>
            <w:r>
              <w:rPr>
                <w:rStyle w:val="Strong"/>
              </w:rPr>
              <w:t>OB3: Estimate the association of management qualifications with NPL ratios</w:t>
            </w:r>
          </w:p>
        </w:tc>
        <w:tc>
          <w:tcPr>
            <w:tcW w:w="1519" w:type="dxa"/>
            <w:tcBorders/>
            <w:vAlign w:val="center"/>
          </w:tcPr>
          <w:p>
            <w:pPr>
              <w:pStyle w:val="TableContents"/>
              <w:ind w:hanging="0" w:start="0" w:end="0"/>
              <w:rPr/>
            </w:pPr>
            <w:r>
              <w:rPr/>
              <w:t>Hybrid, with qualitative dominance for interpretive depth</w:t>
            </w:r>
          </w:p>
        </w:tc>
        <w:tc>
          <w:tcPr>
            <w:tcW w:w="1812" w:type="dxa"/>
            <w:tcBorders/>
            <w:vAlign w:val="center"/>
          </w:tcPr>
          <w:p>
            <w:pPr>
              <w:pStyle w:val="TableContents"/>
              <w:ind w:hanging="0" w:start="0" w:end="0"/>
              <w:rPr/>
            </w:pPr>
            <w:r>
              <w:rPr/>
              <w:t xml:space="preserve">Semi-structured interview responses from high-level officials, collected in April 2024, probing views on </w:t>
            </w:r>
            <w:r>
              <w:rPr>
                <w:rStyle w:val="Strong"/>
              </w:rPr>
              <w:t>leadership competencies</w:t>
            </w:r>
            <w:r>
              <w:rPr/>
              <w:t xml:space="preserve"> (e.g., governance training deficits)</w:t>
            </w:r>
          </w:p>
        </w:tc>
        <w:tc>
          <w:tcPr>
            <w:tcW w:w="1466" w:type="dxa"/>
            <w:tcBorders/>
            <w:vAlign w:val="center"/>
          </w:tcPr>
          <w:p>
            <w:pPr>
              <w:pStyle w:val="TableContents"/>
              <w:ind w:hanging="0" w:start="0" w:end="0"/>
              <w:rPr/>
            </w:pPr>
            <w:r>
              <w:rPr>
                <w:rStyle w:val="Strong"/>
              </w:rPr>
              <w:t>2024 NPL ratios from CBN bulletins and DMB reports, with 2009–2024 data as contextual benchmarks</w:t>
            </w:r>
          </w:p>
        </w:tc>
        <w:tc>
          <w:tcPr>
            <w:tcW w:w="1839" w:type="dxa"/>
            <w:tcBorders/>
            <w:vAlign w:val="center"/>
          </w:tcPr>
          <w:p>
            <w:pPr>
              <w:pStyle w:val="TableContents"/>
              <w:ind w:hanging="0" w:start="0" w:end="0"/>
              <w:rPr/>
            </w:pPr>
            <w:r>
              <w:rPr/>
              <w:t>Thematic analysis of narratives to identify patterns, integrated with 2024 NPL data for explanatory trends</w:t>
            </w:r>
          </w:p>
        </w:tc>
        <w:tc>
          <w:tcPr>
            <w:tcW w:w="1937" w:type="dxa"/>
            <w:tcBorders/>
            <w:vAlign w:val="center"/>
          </w:tcPr>
          <w:p>
            <w:pPr>
              <w:pStyle w:val="TableContents"/>
              <w:ind w:hanging="0" w:start="0" w:end="0"/>
              <w:rPr/>
            </w:pPr>
            <w:r>
              <w:rPr/>
              <w:t>Highlights stakeholder interpretations of socio-political factors, emphasizing depth over measurement for nuanced insights</w:t>
            </w:r>
          </w:p>
        </w:tc>
      </w:tr>
      <w:tr>
        <w:trPr/>
        <w:tc>
          <w:tcPr>
            <w:tcW w:w="1521" w:type="dxa"/>
            <w:tcBorders/>
            <w:vAlign w:val="center"/>
          </w:tcPr>
          <w:p>
            <w:pPr>
              <w:pStyle w:val="TableContents"/>
              <w:ind w:hanging="0" w:start="0" w:end="0"/>
              <w:rPr/>
            </w:pPr>
            <w:r>
              <w:rPr>
                <w:rStyle w:val="Strong"/>
              </w:rPr>
              <w:t>OB4: Assess the influence of regulatory clarity and propose actionable reforms to reduce NPLs</w:t>
            </w:r>
          </w:p>
        </w:tc>
        <w:tc>
          <w:tcPr>
            <w:tcW w:w="1519" w:type="dxa"/>
            <w:tcBorders/>
            <w:vAlign w:val="center"/>
          </w:tcPr>
          <w:p>
            <w:pPr>
              <w:pStyle w:val="TableContents"/>
              <w:ind w:hanging="0" w:start="0" w:end="0"/>
              <w:rPr/>
            </w:pPr>
            <w:r>
              <w:rPr/>
              <w:t>Hybrid, qualitatively oriented toward policy synthesis</w:t>
            </w:r>
          </w:p>
        </w:tc>
        <w:tc>
          <w:tcPr>
            <w:tcW w:w="1812" w:type="dxa"/>
            <w:tcBorders/>
            <w:vAlign w:val="center"/>
          </w:tcPr>
          <w:p>
            <w:pPr>
              <w:pStyle w:val="TableContents"/>
              <w:ind w:hanging="0" w:start="0" w:end="0"/>
              <w:rPr/>
            </w:pPr>
            <w:r>
              <w:rPr/>
              <w:t xml:space="preserve">Semi-structured interview insights from April 2024, offering context-specific recommendations (e.g., </w:t>
            </w:r>
            <w:r>
              <w:rPr>
                <w:rStyle w:val="Strong"/>
              </w:rPr>
              <w:t>unifying CAMA 2020 and CBN Guidelines 2023</w:t>
            </w:r>
            <w:r>
              <w:rPr/>
              <w:t>)</w:t>
            </w:r>
          </w:p>
        </w:tc>
        <w:tc>
          <w:tcPr>
            <w:tcW w:w="1466" w:type="dxa"/>
            <w:tcBorders/>
            <w:vAlign w:val="center"/>
          </w:tcPr>
          <w:p>
            <w:pPr>
              <w:pStyle w:val="TableContents"/>
              <w:ind w:hanging="0" w:start="0" w:end="0"/>
              <w:rPr/>
            </w:pPr>
            <w:r>
              <w:rPr>
                <w:rStyle w:val="Strong"/>
              </w:rPr>
              <w:t>2024 NPL ratios from CBN bulletins, with 2009–2024 data underscoring reform urgency</w:t>
            </w:r>
          </w:p>
        </w:tc>
        <w:tc>
          <w:tcPr>
            <w:tcW w:w="1839" w:type="dxa"/>
            <w:tcBorders/>
            <w:vAlign w:val="center"/>
          </w:tcPr>
          <w:p>
            <w:pPr>
              <w:pStyle w:val="TableContents"/>
              <w:ind w:hanging="0" w:start="0" w:end="0"/>
              <w:rPr/>
            </w:pPr>
            <w:r>
              <w:rPr/>
              <w:t>Thematic synthesis into reform blueprints, integrated with 2024 NPL metrics for feasibility assessment</w:t>
            </w:r>
          </w:p>
        </w:tc>
        <w:tc>
          <w:tcPr>
            <w:tcW w:w="1937" w:type="dxa"/>
            <w:tcBorders/>
            <w:vAlign w:val="center"/>
          </w:tcPr>
          <w:p>
            <w:pPr>
              <w:pStyle w:val="TableContents"/>
              <w:rPr/>
            </w:pPr>
            <w:r>
              <w:rPr/>
              <w:t xml:space="preserve">Emphasizes interpretive synthesis for pragmatic interventions, bridging empirical gaps with policy narratives tailored to </w:t>
            </w:r>
            <w:r>
              <w:rPr>
                <w:rStyle w:val="Strong"/>
              </w:rPr>
              <w:t>regulatory multiplicity</w:t>
            </w:r>
          </w:p>
        </w:tc>
      </w:tr>
    </w:tbl>
    <w:p>
      <w:pPr>
        <w:sectPr>
          <w:footerReference w:type="default" r:id="rId22"/>
          <w:footerReference w:type="first" r:id="rId23"/>
          <w:type w:val="nextPage"/>
          <w:pgSz w:w="12240" w:h="15840"/>
          <w:pgMar w:left="1134" w:right="1134" w:gutter="0" w:header="0" w:top="1134" w:footer="0" w:bottom="1134"/>
          <w:pgNumType w:fmt="decimal"/>
          <w:formProt w:val="false"/>
          <w:textDirection w:val="lrTb"/>
          <w:docGrid w:type="default" w:linePitch="326" w:charSpace="0"/>
        </w:sectPr>
        <w:pStyle w:val="Normal"/>
        <w:rPr/>
      </w:pPr>
      <w:r>
        <w:rPr/>
      </w:r>
    </w:p>
    <w:p>
      <w:pPr>
        <w:pStyle w:val="Heading2"/>
        <w:rPr>
          <w:rFonts w:ascii="Times New Roman" w:hAnsi="Times New Roman" w:eastAsia="Times New Roman" w:cs="Times New Roman"/>
          <w:szCs w:val="24"/>
        </w:rPr>
      </w:pPr>
      <w:r>
        <w:rPr/>
        <w:t>3.4 Research process Management</w:t>
      </w:r>
      <w:r>
        <w:rPr>
          <w:rFonts w:eastAsia="Times New Roman" w:cs="Times New Roman" w:ascii="Times New Roman" w:hAnsi="Times New Roman"/>
          <w:szCs w:val="24"/>
        </w:rPr>
        <w:t xml:space="preserve"> </w:t>
      </w:r>
    </w:p>
    <w:p>
      <w:pPr>
        <w:pStyle w:val="Heading3"/>
        <w:rPr>
          <w:rFonts w:ascii="Times New Roman" w:hAnsi="Times New Roman" w:eastAsia="Times New Roman" w:cs="Times New Roman"/>
          <w:szCs w:val="24"/>
        </w:rPr>
      </w:pPr>
      <w:r>
        <w:rPr/>
        <w:t>3.4.1 Construction and Execution of the Survey</w:t>
      </w:r>
    </w:p>
    <w:p>
      <w:pPr>
        <w:pStyle w:val="BodyText"/>
        <w:spacing w:lineRule="auto" w:line="480"/>
        <w:ind w:hanging="0" w:start="0" w:end="0"/>
        <w:rPr/>
      </w:pPr>
      <w:r>
        <w:rPr/>
        <w:t xml:space="preserve">This section outlines the survey-based methodology designed to investigate corporate governance (CG) challenges in Nigeria’s </w:t>
      </w:r>
      <w:r>
        <w:rPr>
          <w:rStyle w:val="Strong"/>
        </w:rPr>
        <w:t>deposit money banking</w:t>
      </w:r>
      <w:r>
        <w:rPr/>
        <w:t xml:space="preserve"> sector, focusing on </w:t>
      </w:r>
      <w:r>
        <w:rPr>
          <w:rStyle w:val="Strong"/>
        </w:rPr>
        <w:t>board oversight, audit committee independence, management qualifications</w:t>
      </w:r>
      <w:r>
        <w:rPr/>
        <w:t xml:space="preserve">, and </w:t>
      </w:r>
      <w:r>
        <w:rPr>
          <w:rStyle w:val="Strong"/>
        </w:rPr>
        <w:t>practice index</w:t>
      </w:r>
      <w:r>
        <w:rPr/>
        <w:t xml:space="preserve"> deficiencies as drivers of high non-performing loan (NPL) ratios. Drawing on methodological literature and CG research, it justifies the use of Likert-scale questionnaires within a mixed-methods approach to test hypotheses (H1–H4) and address post-</w:t>
      </w:r>
      <w:r>
        <w:rPr>
          <w:rStyle w:val="Strong"/>
        </w:rPr>
        <w:t>2009</w:t>
      </w:r>
      <w:r>
        <w:rPr/>
        <w:t xml:space="preserve"> research gaps, such as small sample sizes and reliance on biased data (Popper, 1959; Grant &amp; Wall, 2009; Hinkin, 1998; Jensen &amp; Meckling, 1976; Donaldson &amp; Davis, 1991). The section details the survey’s construction, execution, strengths, limitations, and alignment with the study’s objectives to propose context-specific reforms for banking stability.</w:t>
      </w:r>
    </w:p>
    <w:p>
      <w:pPr>
        <w:pStyle w:val="BodyText"/>
        <w:spacing w:lineRule="auto" w:line="480"/>
        <w:ind w:hanging="0" w:start="0" w:end="0"/>
        <w:rPr/>
      </w:pPr>
      <w:r>
        <w:rPr>
          <w:rStyle w:val="Strong"/>
        </w:rPr>
        <w:t>3.4.2 Strengths of Survey-Based Methodologies</w:t>
      </w:r>
    </w:p>
    <w:p>
      <w:pPr>
        <w:pStyle w:val="BodyText"/>
        <w:spacing w:lineRule="auto" w:line="480"/>
        <w:ind w:hanging="0" w:start="0" w:end="0"/>
        <w:rPr/>
      </w:pPr>
      <w:r>
        <w:rPr/>
        <w:t xml:space="preserve">Surveys, particularly those using 7-point Likert scales, offer robust advantages for studying CG in Nigeria’s </w:t>
      </w:r>
      <w:r>
        <w:rPr>
          <w:rStyle w:val="Strong"/>
        </w:rPr>
        <w:t>deposit money banking</w:t>
      </w:r>
      <w:r>
        <w:rPr/>
        <w:t xml:space="preserve"> sector, where anonymity and data reliability are critical due to cronyism and </w:t>
      </w:r>
      <w:r>
        <w:rPr>
          <w:rStyle w:val="Strong"/>
        </w:rPr>
        <w:t>regulatory scrutiny</w:t>
      </w:r>
      <w:r>
        <w:rPr/>
        <w:t xml:space="preserve"> (Natufe &amp; Evbayiro-Osagie, 2023). Surveys quantify perceptions of governance constructs, enabling rigorous testing of agency and stewardship theories underpinning hypotheses </w:t>
      </w:r>
      <w:r>
        <w:rPr>
          <w:rStyle w:val="Strong"/>
        </w:rPr>
        <w:t>H1 (corporate governance indices reduce NPLs), H2 (audit committee independence enhances disclosure), H3 (management qualifications mitigate default risk), and H4 (regulatory clarity reduces governance failures)</w:t>
      </w:r>
      <w:r>
        <w:rPr/>
        <w:t xml:space="preserve">. Surveys efficiently collect data from diverse stakeholders—board members, </w:t>
      </w:r>
      <w:r>
        <w:rPr>
          <w:rStyle w:val="Strong"/>
        </w:rPr>
        <w:t>audit committee</w:t>
      </w:r>
      <w:r>
        <w:rPr/>
        <w:t xml:space="preserve"> members, risk managers—across multiple </w:t>
      </w:r>
      <w:r>
        <w:rPr>
          <w:rStyle w:val="Strong"/>
        </w:rPr>
        <w:t>deposit money banks</w:t>
      </w:r>
      <w:r>
        <w:rPr/>
        <w:t xml:space="preserve">, addressing small sample limitations in studies like </w:t>
      </w:r>
      <w:r>
        <w:rPr>
          <w:rStyle w:val="Strong"/>
        </w:rPr>
        <w:t>Corporate Governance Mechanisms and Non-Performing Loans (2024)</w:t>
      </w:r>
      <w:r>
        <w:rPr/>
        <w:t xml:space="preserve">, which focus on listed banks only. Questions grounded in validated CG constructs ensure reliability, while standardized measures enable cross-study comparisons, countering inconsistent metrics in Nigerian research (Basel III, BCBS, 2010; Olojede et al., 2020). Guaranteed anonymity encourages candid responses on sensitive issues like </w:t>
      </w:r>
      <w:r>
        <w:rPr>
          <w:rStyle w:val="Strong"/>
        </w:rPr>
        <w:t>audit committee</w:t>
      </w:r>
      <w:r>
        <w:rPr/>
        <w:t xml:space="preserve"> capture or unethical lending, critical in Nigeria’s high-stakes banking context (Owolabi, 2013). Data are easily coded and analyzed using statistical tools (e.g., SPSS, Stata) for methods like descriptive statistics, correlation analysis, and multiple regression models, overcoming descriptive biases in prior work (</w:t>
      </w:r>
      <w:r>
        <w:rPr>
          <w:rStyle w:val="Strong"/>
        </w:rPr>
        <w:t>The Effect of Non-Performing Loans on the Profitability of Banks in Africa, 2024</w:t>
      </w:r>
      <w:r>
        <w:rPr/>
        <w:t>).</w:t>
      </w:r>
    </w:p>
    <w:p>
      <w:pPr>
        <w:pStyle w:val="BodyText"/>
        <w:spacing w:lineRule="auto" w:line="480"/>
        <w:ind w:hanging="0" w:start="0" w:end="0"/>
        <w:rPr/>
      </w:pPr>
      <w:r>
        <w:rPr>
          <w:rStyle w:val="Strong"/>
        </w:rPr>
        <w:t>3.4.3 Mitigating Limitations</w:t>
      </w:r>
    </w:p>
    <w:p>
      <w:pPr>
        <w:pStyle w:val="BodyText"/>
        <w:spacing w:lineRule="auto" w:line="480"/>
        <w:ind w:hanging="0" w:start="0" w:end="0"/>
        <w:rPr/>
      </w:pPr>
      <w:r>
        <w:rPr/>
        <w:t xml:space="preserve">Surveys face challenges in capturing Nigeria’s complex governance dynamics, such as </w:t>
      </w:r>
      <w:r>
        <w:rPr>
          <w:rStyle w:val="Strong"/>
        </w:rPr>
        <w:t>patronage-driven appointments</w:t>
      </w:r>
      <w:r>
        <w:rPr/>
        <w:t xml:space="preserve"> or </w:t>
      </w:r>
      <w:r>
        <w:rPr>
          <w:rStyle w:val="Strong"/>
        </w:rPr>
        <w:t>regulatory multiplicity</w:t>
      </w:r>
      <w:r>
        <w:rPr/>
        <w:t xml:space="preserve"> (Elias, 2024). Phenomenological critiques highlight surveys’ lack of experiential depth (Taylor &amp; Bogdan, 1998). This study integrates qualitative interviews to capture nuances like political influences missed by Likert scales. Risks of untruthful or unreflective responses under organizational pressure are mitigated by surveying three stakeholders per bank (board member, </w:t>
      </w:r>
      <w:r>
        <w:rPr>
          <w:rStyle w:val="Strong"/>
        </w:rPr>
        <w:t>audit committee</w:t>
      </w:r>
      <w:r>
        <w:rPr/>
        <w:t xml:space="preserve"> member, risk manager) for triangulation and using research assistants to guide completion for clarity and thoughtfulness (Hinkin, 1998). Question design may overlook cultural factors (e.g., tribal affiliations). This is addressed by grounding measures in global and Nigerian CG literature and pilot testing with local banking experts (Adams et al., 2011; John et al., 2016; Uwuigbe et al., 2019; Natufe &amp; Evbayiro-Osagie, 2023). The </w:t>
      </w:r>
      <w:r>
        <w:rPr>
          <w:rStyle w:val="Strong"/>
        </w:rPr>
        <w:t>2024</w:t>
      </w:r>
      <w:r>
        <w:rPr/>
        <w:t xml:space="preserve"> focus may miss long-term trends, necessitating qualitative case studies for historical context (Eisenhardt, 1989).</w:t>
      </w:r>
    </w:p>
    <w:p>
      <w:pPr>
        <w:pStyle w:val="BodyText"/>
        <w:spacing w:lineRule="auto" w:line="480"/>
        <w:ind w:hanging="0" w:start="0" w:end="0"/>
        <w:rPr/>
      </w:pPr>
      <w:r>
        <w:rPr>
          <w:rStyle w:val="Strong"/>
        </w:rPr>
        <w:t>3.4.3 Administration and Coding</w:t>
      </w:r>
    </w:p>
    <w:p>
      <w:pPr>
        <w:pStyle w:val="BodyText"/>
        <w:spacing w:lineRule="auto" w:line="480"/>
        <w:ind w:hanging="0" w:start="0" w:end="0"/>
        <w:rPr/>
      </w:pPr>
      <w:r>
        <w:rPr/>
        <w:t xml:space="preserve">The questionnaire was administered anonymously to ensure candid responses, critical in Nigeria’s </w:t>
      </w:r>
      <w:r>
        <w:rPr>
          <w:rStyle w:val="Strong"/>
        </w:rPr>
        <w:t>deposit money banking</w:t>
      </w:r>
      <w:r>
        <w:rPr/>
        <w:t xml:space="preserve"> sector where governance issues like </w:t>
      </w:r>
      <w:r>
        <w:rPr>
          <w:rStyle w:val="Strong"/>
        </w:rPr>
        <w:t>patronage</w:t>
      </w:r>
      <w:r>
        <w:rPr/>
        <w:t xml:space="preserve"> and fraud concealment are sensitive (Olojede et al., 2020). </w:t>
      </w:r>
      <w:r>
        <w:rPr>
          <w:rStyle w:val="Strong"/>
        </w:rPr>
        <w:t>A total of 400 questionnaires were distributed to mid- and high-level professionals across 20 Nigerian Deposit Money Banks (DMBs), stratified by size (10 large, 10 mid-tier, representing ~70% of the total assets in the banking sector; CBN, 2024), yielding 230 valid responses (57.5% response rate).</w:t>
      </w:r>
      <w:r>
        <w:rPr/>
        <w:t xml:space="preserve"> Respondents included board members, risk managers, and auditors, providing strategic, operational, and oversight perspectives, respectively, to enhance data triangulation (Grant &amp; Wall, 2009). Personalized emails, emphasizing anonymity and ethical compliance with the Nigeria Data Protection Act 2023 (NDPC, </w:t>
      </w:r>
      <w:r>
        <w:rPr>
          <w:rStyle w:val="Strong"/>
        </w:rPr>
        <w:t>2024</w:t>
      </w:r>
      <w:r>
        <w:rPr/>
        <w:t xml:space="preserve">), were sent to contact persons at each bank, followed by in-person or virtual sessions facilitated by trained research assistants (graduate students from local Nigerian universities, supervised by the principal researcher and briefed on ethical protocols) to clarify questions and ensure 100% completion of individual responses. This hands-on approach addressed cultural and logistical barriers, yielding a robust response rate compared to typical emerging market surveys (Baruch &amp; Holtom, 2008; Nederhof, 1985). </w:t>
      </w:r>
      <w:r>
        <w:rPr>
          <w:rStyle w:val="Strong"/>
        </w:rPr>
        <w:t>Semi-structured interviews were conducted with 10 high-ranking officials (50% response rate from 20 invited) across 10 of the 20 DMBs, providing qualitative depth to complement the quantitative data.</w:t>
      </w:r>
    </w:p>
    <w:p>
      <w:pPr>
        <w:pStyle w:val="BodyText"/>
        <w:spacing w:lineRule="auto" w:line="480"/>
        <w:ind w:hanging="0" w:start="0" w:end="0"/>
        <w:rPr/>
      </w:pPr>
      <w:r>
        <w:rPr/>
        <w:t xml:space="preserve">The questionnaire’s design was grounded in rigorous scale development methodology to ensure psychometric validity and alignment with CG constructs (Hinkin, 1998). </w:t>
      </w:r>
      <w:r>
        <w:rPr>
          <w:rStyle w:val="Strong"/>
        </w:rPr>
        <w:t>It operationalized the corporate governance indices—disclosure (CGDI), practice (OPEFF), and compliance (COMID)—as well as audit committee independence, management qualifications, and regulatory clarity through 35 validated 7-point Likert-scale items (1 = strongly disagree, 7 = strongly agree), enabling theory testing for hypotheses H1–H4.</w:t>
      </w:r>
      <w:r>
        <w:rPr/>
        <w:t xml:space="preserve"> The production process integrated relevant literature to ensure content validity and contextual relevance, following deductive scale construction principles where theoretical constructs are translated into measurable items (Hinkin, 1998; DeVellis, 2017). For instance:</w:t>
      </w:r>
    </w:p>
    <w:p>
      <w:pPr>
        <w:pStyle w:val="BodyText"/>
        <w:numPr>
          <w:ilvl w:val="0"/>
          <w:numId w:val="5"/>
        </w:numPr>
        <w:tabs>
          <w:tab w:val="clear" w:pos="720"/>
          <w:tab w:val="left" w:pos="0" w:leader="none"/>
        </w:tabs>
        <w:spacing w:lineRule="auto" w:line="480" w:before="0" w:after="0"/>
        <w:ind w:hanging="283" w:start="709"/>
        <w:rPr/>
      </w:pPr>
      <w:r>
        <w:rPr>
          <w:rStyle w:val="Strong"/>
        </w:rPr>
        <w:t>Disclosure (CGDI)</w:t>
      </w:r>
      <w:r>
        <w:rPr/>
        <w:t xml:space="preserve">: Items like “To what extent do banks provide transparent financial reporting? (1–7)” were informed by Osemeke and Adegbite (2016), who highlight </w:t>
      </w:r>
      <w:r>
        <w:rPr>
          <w:rStyle w:val="Strong"/>
        </w:rPr>
        <w:t>disclosure</w:t>
      </w:r>
      <w:r>
        <w:rPr/>
        <w:t xml:space="preserve"> gaps causing compliance ambiguities in Nigerian DMBs. </w:t>
      </w:r>
    </w:p>
    <w:p>
      <w:pPr>
        <w:pStyle w:val="BodyText"/>
        <w:numPr>
          <w:ilvl w:val="0"/>
          <w:numId w:val="5"/>
        </w:numPr>
        <w:tabs>
          <w:tab w:val="clear" w:pos="720"/>
          <w:tab w:val="left" w:pos="0" w:leader="none"/>
        </w:tabs>
        <w:spacing w:lineRule="auto" w:line="480" w:before="0" w:after="0"/>
        <w:ind w:hanging="283" w:start="709"/>
        <w:rPr/>
      </w:pPr>
      <w:r>
        <w:rPr>
          <w:rStyle w:val="Strong"/>
        </w:rPr>
        <w:t>Practice (OPEFF)</w:t>
      </w:r>
      <w:r>
        <w:rPr/>
        <w:t xml:space="preserve">: Questions on board oversight and nomination committee independence, such as “To what extent are nomination committees free from shareholder influence? (1–7),” drew from Abdulmalik and Ahmad (2020), addressing </w:t>
      </w:r>
      <w:r>
        <w:rPr>
          <w:rStyle w:val="Strong"/>
        </w:rPr>
        <w:t>politically motivated appointments</w:t>
      </w:r>
      <w:r>
        <w:rPr/>
        <w:t xml:space="preserve"> linked to NPL spikes. </w:t>
      </w:r>
    </w:p>
    <w:p>
      <w:pPr>
        <w:pStyle w:val="BodyText"/>
        <w:numPr>
          <w:ilvl w:val="0"/>
          <w:numId w:val="5"/>
        </w:numPr>
        <w:tabs>
          <w:tab w:val="clear" w:pos="720"/>
          <w:tab w:val="left" w:pos="0" w:leader="none"/>
        </w:tabs>
        <w:spacing w:lineRule="auto" w:line="480" w:before="0" w:after="0"/>
        <w:ind w:hanging="283" w:start="709"/>
        <w:rPr/>
      </w:pPr>
      <w:r>
        <w:rPr>
          <w:rStyle w:val="Strong"/>
        </w:rPr>
        <w:t>Compliance (COMID)</w:t>
      </w:r>
      <w:r>
        <w:rPr/>
        <w:t xml:space="preserve">: Items assessing regulatory adherence, such as “To what extent do banks comply with CBN Guidelines 2023? (1–7),” were based on Adegboye (2020) and Olojede et al. (2020), who note weak </w:t>
      </w:r>
      <w:r>
        <w:rPr>
          <w:rStyle w:val="Strong"/>
        </w:rPr>
        <w:t>compliance</w:t>
      </w:r>
      <w:r>
        <w:rPr/>
        <w:t xml:space="preserve"> in 61% of banks. </w:t>
      </w:r>
    </w:p>
    <w:p>
      <w:pPr>
        <w:pStyle w:val="BodyText"/>
        <w:numPr>
          <w:ilvl w:val="0"/>
          <w:numId w:val="5"/>
        </w:numPr>
        <w:tabs>
          <w:tab w:val="clear" w:pos="720"/>
          <w:tab w:val="left" w:pos="0" w:leader="none"/>
        </w:tabs>
        <w:spacing w:lineRule="auto" w:line="480" w:before="0" w:after="0"/>
        <w:ind w:hanging="283" w:start="709"/>
        <w:rPr/>
      </w:pPr>
      <w:r>
        <w:rPr>
          <w:rStyle w:val="Strong"/>
        </w:rPr>
        <w:t>Audit Committee Independence</w:t>
      </w:r>
      <w:r>
        <w:rPr/>
        <w:t xml:space="preserve">: Questions like “To what extent do audit committees operate free from shareholder influence? (1–7)” were informed by Adegbite (2014). </w:t>
      </w:r>
    </w:p>
    <w:p>
      <w:pPr>
        <w:pStyle w:val="BodyText"/>
        <w:numPr>
          <w:ilvl w:val="0"/>
          <w:numId w:val="5"/>
        </w:numPr>
        <w:tabs>
          <w:tab w:val="clear" w:pos="720"/>
          <w:tab w:val="left" w:pos="0" w:leader="none"/>
        </w:tabs>
        <w:spacing w:lineRule="auto" w:line="480" w:before="0" w:after="0"/>
        <w:ind w:hanging="283" w:start="709"/>
        <w:rPr/>
      </w:pPr>
      <w:r>
        <w:rPr>
          <w:rStyle w:val="Strong"/>
        </w:rPr>
        <w:t>Management Qualifications</w:t>
      </w:r>
      <w:r>
        <w:rPr/>
        <w:t xml:space="preserve">: Items such as “To what extent do executives possess relevant financial expertise? (1–7)” drew from Nwoko et al. (2022). </w:t>
      </w:r>
    </w:p>
    <w:p>
      <w:pPr>
        <w:pStyle w:val="BodyText"/>
        <w:numPr>
          <w:ilvl w:val="0"/>
          <w:numId w:val="5"/>
        </w:numPr>
        <w:tabs>
          <w:tab w:val="clear" w:pos="720"/>
          <w:tab w:val="left" w:pos="0" w:leader="none"/>
        </w:tabs>
        <w:spacing w:lineRule="auto" w:line="480"/>
        <w:ind w:hanging="283" w:start="709"/>
        <w:rPr/>
      </w:pPr>
      <w:r>
        <w:rPr>
          <w:rStyle w:val="Strong"/>
        </w:rPr>
        <w:t>Regulatory Clarity</w:t>
      </w:r>
      <w:r>
        <w:rPr/>
        <w:t xml:space="preserve">: Questions like “To what extent do conflicting regulations hinder compliance? (1–7)” were based on Abdulmalik and Ahmad (2020). </w:t>
      </w:r>
    </w:p>
    <w:p>
      <w:pPr>
        <w:pStyle w:val="BodyText"/>
        <w:spacing w:lineRule="auto" w:line="480"/>
        <w:ind w:hanging="0" w:start="0" w:end="0"/>
        <w:rPr/>
      </w:pPr>
      <w:r>
        <w:rPr/>
        <w:t xml:space="preserve">This literature-driven approach addressed research gaps by ensuring items were psychometrically sound (Cronbach’s alpha 0.85 post-pilot) and contextually relevant to Nigeria’s governance challenges, such as </w:t>
      </w:r>
      <w:r>
        <w:rPr>
          <w:rStyle w:val="Strong"/>
        </w:rPr>
        <w:t>patronage-driven appointments</w:t>
      </w:r>
      <w:r>
        <w:rPr/>
        <w:t xml:space="preserve"> and </w:t>
      </w:r>
      <w:r>
        <w:rPr>
          <w:rStyle w:val="Strong"/>
        </w:rPr>
        <w:t>regulatory multiplicity</w:t>
      </w:r>
      <w:r>
        <w:rPr/>
        <w:t xml:space="preserve"> (Osita et al., 2019). </w:t>
      </w:r>
      <w:r>
        <w:rPr>
          <w:rStyle w:val="Strong"/>
        </w:rPr>
        <w:t>Pilot testing with 15 banking professionals (a sample size sufficient for exploratory refinement in survey research, aligning with common recommendations of 10-30 participants to identify key issues in clarity, relevance, and cultural sensitivity without requiring statistical power for hypothesis testing) refined items for clarity and cultural sensitivity (e.g., replacing “cronyism” with “patronage influences”), ensuring alignment with agency theory for principal-agent conflicts and stewardship theory for managerial accountability (van Teijlingen &amp; Hundley, 2002).</w:t>
      </w:r>
      <w:r>
        <w:rPr/>
        <w:t xml:space="preserve"> Questionnaire responses were digitized in SPSS, treating Likert scores as interval data for regression analysis to test governance-NPL relationships. Coding followed a standardized protocol, with double-entry verification to minimize errors, and responses were cross-validated with secondary NPL data from CBN and NDIC reports to address Nigeria’s opaque reporting environment (Olojede et al., 2020; CBN, </w:t>
      </w:r>
      <w:r>
        <w:rPr>
          <w:rStyle w:val="Strong"/>
        </w:rPr>
        <w:t>2024</w:t>
      </w:r>
      <w:r>
        <w:rPr/>
        <w:t xml:space="preserve">; NDIC, </w:t>
      </w:r>
      <w:r>
        <w:rPr>
          <w:rStyle w:val="Strong"/>
        </w:rPr>
        <w:t>2024</w:t>
      </w:r>
      <w:r>
        <w:rPr/>
        <w:t xml:space="preserve">). Interview transcripts were coded in NVivo for thematic analysis, identifying patterns like “enforcement gaps” in </w:t>
      </w:r>
      <w:r>
        <w:rPr>
          <w:rStyle w:val="Strong"/>
        </w:rPr>
        <w:t>regulatory multiplicity</w:t>
      </w:r>
      <w:r>
        <w:rPr/>
        <w:t>, ensuring a robust mixed-methods integration (Braun &amp; Clarke, 2006).</w:t>
      </w:r>
    </w:p>
    <w:p>
      <w:pPr>
        <w:pStyle w:val="BodyText"/>
        <w:spacing w:lineRule="auto" w:line="480"/>
        <w:ind w:hanging="0" w:start="0" w:end="0"/>
        <w:rPr/>
      </w:pPr>
      <w:r>
        <w:rPr>
          <w:rStyle w:val="Strong"/>
        </w:rPr>
        <w:t>3.4.4 Justification of Non-Performing Loans (NPLs) as a Measure</w:t>
      </w:r>
    </w:p>
    <w:p>
      <w:pPr>
        <w:pStyle w:val="BodyText"/>
        <w:spacing w:lineRule="auto" w:line="480"/>
        <w:ind w:hanging="0" w:start="0" w:end="0"/>
        <w:rPr/>
      </w:pPr>
      <w:r>
        <w:rPr>
          <w:rStyle w:val="Strong"/>
        </w:rPr>
        <w:t>Non-Performing Loans (NPLs), defined as loans overdue by 90 days or more as a percentage of total loans (NPL ratio = NPL value ÷ gross loans × 100), are selected as the primary measure of default risk due to their ability to reflect corporate governance deficiencies and impact on Nigerian Deposit Money Banks (DMBs)' financial stability. NPL ratios are justified by global and Nigerian evidence linking them to governance issues like weak oversight, unqualified management, and regulatory multiplicity, aligning with this study’s focus on corporate governance indices (disclosure, practice, compliance), audit committee independence, management qualifications, and regulatory clarity.</w:t>
      </w:r>
      <w:r>
        <w:rPr/>
        <w:t xml:space="preserve"> In Nigeria, NPL ratios peaked at 37% in 2009 and 20% in 2017 (against a 5% CBN threshold), signaling systemic failures, as seen in the 2009 crisis requiring a $3.9 billion bailout (Sanusi, 2009; Adegboye, 2020). </w:t>
      </w:r>
      <w:r>
        <w:rPr>
          <w:rStyle w:val="Strong"/>
        </w:rPr>
        <w:t>Despite data reliability challenges due to opaque reporting, cross-validation with CBN and NDIC data ensures robust measurement from 2009 to 2024.</w:t>
      </w:r>
    </w:p>
    <w:p>
      <w:pPr>
        <w:pStyle w:val="BodyText"/>
        <w:spacing w:lineRule="auto" w:line="480"/>
        <w:ind w:hanging="0" w:start="0" w:end="0"/>
        <w:rPr/>
      </w:pPr>
      <w:r>
        <w:rPr>
          <w:rStyle w:val="Strong"/>
        </w:rPr>
        <w:t>Non-Performing Loans (NPLs), defined as loans overdue by 90 days or more as a percentage of total loans, are selected as the primary measure of default risk in this research due to their robust capacity to reflect corporate governance (CG) deficiencies and their profound impact on the financial stability of Nigerian Deposit Money Banks (DMBs). The choice of NPLs as the central metric is grounded in a comprehensive synthesis of global and Nigerian literature, which underscores their sensitivity to governance failures, their systemic implications for the banking sector, and their alignment with the research objectives to examine the corporate governance indices of disclosure (CGDI), practice (OPEFF), and compliance (COMID), as well as audit committee independence, management qualifications, and regulatory clarity.</w:t>
      </w:r>
      <w:r>
        <w:rPr/>
        <w:t xml:space="preserve"> This section elaborates on the theoretical and empirical justification for using NPLs, their direct linkage to governance practices, the challenges of data reliability in Nigeria’s context, and the methodological strategies employed to ensure robust measurement, ensuring that NPLs serve as an effective indicator of default risk from </w:t>
      </w:r>
      <w:r>
        <w:rPr>
          <w:rStyle w:val="Strong"/>
        </w:rPr>
        <w:t>2009 to 2024</w:t>
      </w:r>
      <w:r>
        <w:rPr/>
        <w:t>.</w:t>
      </w:r>
    </w:p>
    <w:p>
      <w:pPr>
        <w:pStyle w:val="BodyText"/>
        <w:spacing w:lineRule="auto" w:line="480"/>
        <w:ind w:hanging="0" w:start="0" w:end="0"/>
        <w:rPr/>
      </w:pPr>
      <w:r>
        <w:rPr/>
        <w:t xml:space="preserve">In the Nigerian context, NPLs are a particularly robust measure of default risk due to their direct linkage to specific CG deficiencies identified in the literature. Natufe and Evbayiro-Osagie (2023) validate NPLs as a reliable indicator, capturing the consequences of lax lending practices, weak internal controls, and </w:t>
      </w:r>
      <w:r>
        <w:rPr>
          <w:rStyle w:val="Strong"/>
        </w:rPr>
        <w:t>unethical management behaviors</w:t>
      </w:r>
      <w:r>
        <w:rPr/>
        <w:t xml:space="preserve"> prevalent in Nigerian </w:t>
      </w:r>
      <w:r>
        <w:rPr>
          <w:rStyle w:val="Strong"/>
        </w:rPr>
        <w:t>deposit money banks</w:t>
      </w:r>
      <w:r>
        <w:rPr/>
        <w:t xml:space="preserve">. For example, the 2009 Oceanic Bank crisis, where 75% of NPLs were tied to insider loans facilitated by family-dominated boards, illustrates how governance lapses—such as lack of </w:t>
      </w:r>
      <w:r>
        <w:rPr>
          <w:rStyle w:val="Strong"/>
        </w:rPr>
        <w:t>board independence</w:t>
      </w:r>
      <w:r>
        <w:rPr/>
        <w:t xml:space="preserve"> and inadequate </w:t>
      </w:r>
      <w:r>
        <w:rPr>
          <w:rStyle w:val="Strong"/>
        </w:rPr>
        <w:t>practice indices</w:t>
      </w:r>
      <w:r>
        <w:rPr/>
        <w:t xml:space="preserve">—directly drive NPL spikes (Sanusi, 2009). Similarly, Adegboye (2020) highlights that the 2017 NPL peak of 20% resulted from poor credit assessments and weak oversight, as seen in the collapses of Intercontinental Bank and Bank PHB, where </w:t>
      </w:r>
      <w:r>
        <w:rPr>
          <w:rStyle w:val="Strong"/>
        </w:rPr>
        <w:t>unqualified management</w:t>
      </w:r>
      <w:r>
        <w:rPr/>
        <w:t xml:space="preserve"> and ineffective </w:t>
      </w:r>
      <w:r>
        <w:rPr>
          <w:rStyle w:val="Strong"/>
        </w:rPr>
        <w:t>audit committees</w:t>
      </w:r>
      <w:r>
        <w:rPr/>
        <w:t xml:space="preserve"> failed to curb risky lending practices (Owolabi, 2013). These cases demonstrate that NPLs effectively capture the impact of the CG </w:t>
      </w:r>
      <w:r>
        <w:rPr>
          <w:rStyle w:val="Strong"/>
        </w:rPr>
        <w:t>indices</w:t>
      </w:r>
      <w:r>
        <w:rPr/>
        <w:t xml:space="preserve"> under investigation: </w:t>
      </w:r>
      <w:r>
        <w:rPr>
          <w:rStyle w:val="Strong"/>
        </w:rPr>
        <w:t>Practice (OPEFF)</w:t>
      </w:r>
      <w:r>
        <w:rPr/>
        <w:t xml:space="preserve"> (lax lending practices), </w:t>
      </w:r>
      <w:r>
        <w:rPr>
          <w:rStyle w:val="Strong"/>
        </w:rPr>
        <w:t>Disclosure (CGDI)</w:t>
      </w:r>
      <w:r>
        <w:rPr/>
        <w:t xml:space="preserve"> (unqualified leadership and weak board oversight), </w:t>
      </w:r>
      <w:r>
        <w:rPr>
          <w:rStyle w:val="Strong"/>
        </w:rPr>
        <w:t>Compliance (COMID)</w:t>
      </w:r>
      <w:r>
        <w:rPr/>
        <w:t xml:space="preserve"> (conflicting codes enabling selective compliance), </w:t>
      </w:r>
      <w:r>
        <w:rPr>
          <w:rStyle w:val="Strong"/>
        </w:rPr>
        <w:t>Audit Committee Independence</w:t>
      </w:r>
      <w:r>
        <w:rPr/>
        <w:t xml:space="preserve"> (inadequate audit processes), and </w:t>
      </w:r>
      <w:r>
        <w:rPr>
          <w:rStyle w:val="Strong"/>
        </w:rPr>
        <w:t>Management Qualifications</w:t>
      </w:r>
      <w:r>
        <w:rPr/>
        <w:t xml:space="preserve"> (poor decision-making). By focusing on NPLs, the research can quantitatively assess how these governance failures contribute to default risk, providing a clear empirical basis for testing the relationships outlined in the research objectives.</w:t>
      </w:r>
    </w:p>
    <w:p>
      <w:pPr>
        <w:pStyle w:val="BodyText"/>
        <w:spacing w:lineRule="auto" w:line="480"/>
        <w:ind w:hanging="0" w:start="0" w:end="0"/>
        <w:rPr/>
      </w:pPr>
      <w:r>
        <w:rPr/>
        <w:t xml:space="preserve">The selection of NPLs is further justified by their systemic implications for Nigeria’s </w:t>
      </w:r>
      <w:r>
        <w:rPr>
          <w:rStyle w:val="Strong"/>
        </w:rPr>
        <w:t>deposit money banking</w:t>
      </w:r>
      <w:r>
        <w:rPr/>
        <w:t xml:space="preserve"> sector, which is critical to economic growth, as emphasized by King and Levine (1993). High NPLs erode bank capital, reduce liquidity, and undermine stakeholder confidence, triggering deposit withdrawals and threatening financial stability, as evidenced by the mass withdrawals during the 2009 crisis (Sanusi, 2009). The systemic nature of NPLs is particularly pronounced in Nigeria, where banks are pivotal to economic development, and governance failures have led to </w:t>
      </w:r>
      <w:r>
        <w:rPr>
          <w:rStyle w:val="Strong"/>
        </w:rPr>
        <w:t>425 bank failures</w:t>
      </w:r>
      <w:r>
        <w:rPr/>
        <w:t xml:space="preserve"> since 1988 (Udo, 2020). NPLs serve as a tangible measure of these failures, reflecting not only individual bank distress but also broader systemic risks that necessitate costly interventions, such as the 2009 CBN bailout. This systemic perspective aligns with the research’s aim to propose reforms that mitigate default risk and enhance banking resilience, making NPLs a critical metric for evaluating the effectiveness of CG practices in achieving financial stability.</w:t>
      </w:r>
    </w:p>
    <w:p>
      <w:pPr>
        <w:pStyle w:val="BodyText"/>
        <w:spacing w:lineRule="auto" w:line="480"/>
        <w:ind w:hanging="0" w:start="0" w:end="0"/>
        <w:rPr/>
      </w:pPr>
      <w:r>
        <w:rPr/>
        <w:t xml:space="preserve">Theoretically, NPLs align with agency and stewardship theories, which underpin the research’s conceptual framework. Agency theory, as articulated by Jensen and Meckling (1976), posits that governance mechanisms, such as </w:t>
      </w:r>
      <w:r>
        <w:rPr>
          <w:rStyle w:val="Strong"/>
        </w:rPr>
        <w:t>independent boards</w:t>
      </w:r>
      <w:r>
        <w:rPr/>
        <w:t xml:space="preserve"> and </w:t>
      </w:r>
      <w:r>
        <w:rPr>
          <w:rStyle w:val="Strong"/>
        </w:rPr>
        <w:t>audit committees</w:t>
      </w:r>
      <w:r>
        <w:rPr/>
        <w:t xml:space="preserve">, reduce agency conflicts by ensuring management aligns with shareholder interests, thereby mitigating risky lending practices that lead to NPLs. In Nigeria, weak board oversight and </w:t>
      </w:r>
      <w:r>
        <w:rPr>
          <w:rStyle w:val="Strong"/>
        </w:rPr>
        <w:t>audit committee</w:t>
      </w:r>
      <w:r>
        <w:rPr/>
        <w:t xml:space="preserve"> capture, as seen in Oceanic Bank, enabled insider lending, directly contributing to high NPLs (Sanusi, 2009). Stewardship theory, proposed by Donaldson and Davis (1991), emphasizes the role of </w:t>
      </w:r>
      <w:r>
        <w:rPr>
          <w:rStyle w:val="Strong"/>
        </w:rPr>
        <w:t>competent, ethical management</w:t>
      </w:r>
      <w:r>
        <w:rPr/>
        <w:t xml:space="preserve"> in fostering sound </w:t>
      </w:r>
      <w:r>
        <w:rPr>
          <w:rStyle w:val="Strong"/>
        </w:rPr>
        <w:t>practice indices</w:t>
      </w:r>
      <w:r>
        <w:rPr/>
        <w:t xml:space="preserve">, which reduce NPLs by prioritizing long-term stability over short-term gains. The prevalence of </w:t>
      </w:r>
      <w:r>
        <w:rPr>
          <w:rStyle w:val="Strong"/>
        </w:rPr>
        <w:t>unqualified, politically motivated management</w:t>
      </w:r>
      <w:r>
        <w:rPr/>
        <w:t xml:space="preserve"> in Nigerian </w:t>
      </w:r>
      <w:r>
        <w:rPr>
          <w:rStyle w:val="Strong"/>
        </w:rPr>
        <w:t>deposit money banks</w:t>
      </w:r>
      <w:r>
        <w:rPr/>
        <w:t xml:space="preserve"> undermines this, driving NPLs through poor decision-making (Nwoko et al., 2022). By linking NPLs to these theoretical frameworks, the research ensures that the metric captures the governance dynamics central to the study, providing a robust foundation for analyzing the CG </w:t>
      </w:r>
      <w:r>
        <w:rPr>
          <w:rStyle w:val="Strong"/>
        </w:rPr>
        <w:t>indices</w:t>
      </w:r>
      <w:r>
        <w:rPr/>
        <w:t>.</w:t>
      </w:r>
    </w:p>
    <w:p>
      <w:pPr>
        <w:pStyle w:val="BodyText"/>
        <w:spacing w:lineRule="auto" w:line="480"/>
        <w:ind w:hanging="0" w:start="0" w:end="0"/>
        <w:rPr/>
      </w:pPr>
      <w:r>
        <w:rPr/>
        <w:t xml:space="preserve">Despite their robustness, NPL data in Nigeria face significant reliability challenges due to opaque financial reporting and governance weaknesses, necessitating careful methodological considerations. Olojede et al. (2020) highlight that </w:t>
      </w:r>
      <w:r>
        <w:rPr>
          <w:rStyle w:val="Strong"/>
        </w:rPr>
        <w:t>audit committee</w:t>
      </w:r>
      <w:r>
        <w:rPr/>
        <w:t xml:space="preserve"> capture by majority shareholders and external auditor conflicts often lead to financial misstatements, obscuring the true extent of NPLs, as seen in the 2009 crisis where </w:t>
      </w:r>
      <w:r>
        <w:rPr>
          <w:rStyle w:val="Strong"/>
        </w:rPr>
        <w:t>deposit money banks</w:t>
      </w:r>
      <w:r>
        <w:rPr/>
        <w:t xml:space="preserve"> like Oceanic falsified loan portfolios to delay stakeholder awareness of distress. This opacity undermines data accuracy, posing a challenge to using NPLs as a reliable metric. </w:t>
      </w:r>
      <w:r>
        <w:rPr>
          <w:rStyle w:val="Strong"/>
        </w:rPr>
        <w:t>To address this, the research employs a rigorous cross-validation strategy, triangulating questionnaire responses with secondary data from CBN reports, NDIC records, and audited bank financials for 2009–2024 for RQ1 and 2024 for RQ2–RQ4, as recommended by Olojede et al. (2020).</w:t>
      </w:r>
    </w:p>
    <w:p>
      <w:pPr>
        <w:pStyle w:val="BodyText"/>
        <w:spacing w:lineRule="auto" w:line="480"/>
        <w:ind w:hanging="0" w:start="0" w:end="0"/>
        <w:rPr/>
      </w:pPr>
      <w:r>
        <w:rPr/>
        <w:t xml:space="preserve">This multi-source approach ensures that NPL data reflects actual governance impacts, mitigating the risk of manipulation. Additionally, control variables, such as bank size, GDP growth, and loan portfolio diversity, are incorporated into the analysis to isolate the effects of </w:t>
      </w:r>
      <w:r>
        <w:rPr>
          <w:rStyle w:val="Strong"/>
        </w:rPr>
        <w:t>corporate governance indices</w:t>
      </w:r>
      <w:r>
        <w:rPr/>
        <w:t xml:space="preserve"> on NPLs, enhancing data robustness (Natufe &amp; Evbayiro-Osagie, 2023). The questionnaire is designed to directly link </w:t>
      </w:r>
      <w:r>
        <w:rPr>
          <w:rStyle w:val="Strong"/>
        </w:rPr>
        <w:t>corporate governance indices</w:t>
      </w:r>
      <w:r>
        <w:rPr/>
        <w:t xml:space="preserve"> to NPL outcomes, with items assessing how board oversight, </w:t>
      </w:r>
      <w:r>
        <w:rPr>
          <w:rStyle w:val="Strong"/>
        </w:rPr>
        <w:t>audit committee independence, management qualifications</w:t>
      </w:r>
      <w:r>
        <w:rPr/>
        <w:t xml:space="preserve">, and </w:t>
      </w:r>
      <w:r>
        <w:rPr>
          <w:rStyle w:val="Strong"/>
        </w:rPr>
        <w:t>regulatory clarity</w:t>
      </w:r>
      <w:r>
        <w:rPr/>
        <w:t xml:space="preserve"> influence loan portfolio quality. For example, questions evaluate the extent to which robust </w:t>
      </w:r>
      <w:r>
        <w:rPr>
          <w:rStyle w:val="Strong"/>
        </w:rPr>
        <w:t>practice indices</w:t>
      </w:r>
      <w:r>
        <w:rPr/>
        <w:t xml:space="preserve"> reduce NPLs or how </w:t>
      </w:r>
      <w:r>
        <w:rPr>
          <w:rStyle w:val="Strong"/>
        </w:rPr>
        <w:t>regulatory multiplicity</w:t>
      </w:r>
      <w:r>
        <w:rPr/>
        <w:t xml:space="preserve"> exacerbates lending risks, ensuring that the data collected is relevant to the research objectives.</w:t>
      </w:r>
    </w:p>
    <w:p>
      <w:pPr>
        <w:pStyle w:val="BodyText"/>
        <w:spacing w:lineRule="auto" w:line="480"/>
        <w:ind w:hanging="0" w:start="0" w:end="0"/>
        <w:rPr/>
      </w:pPr>
      <w:r>
        <w:rPr>
          <w:rStyle w:val="Strong"/>
        </w:rPr>
        <w:t>Qualitatively, interviews with high-level banking officials complement the quantitative focus on NPLs by exploring stakeholder perceptions of how governance failures drive loan defaults. Questions probe the practical implications of CG deficiencies, such as the impact of unqualified management or weak whistleblowing mechanisms on NPL accumulation, aligning with Sanusi (2009) and Olojede et al. (2020).</w:t>
      </w:r>
      <w:r>
        <w:rPr/>
        <w:t xml:space="preserve"> This qualitative depth enriches the understanding of NPLs as a governance outcome, providing context-specific insights into Nigeria’s </w:t>
      </w:r>
      <w:r>
        <w:rPr>
          <w:rStyle w:val="Strong"/>
        </w:rPr>
        <w:t>deposit money banking</w:t>
      </w:r>
      <w:r>
        <w:rPr/>
        <w:t xml:space="preserve"> sector, where historical legacies and </w:t>
      </w:r>
      <w:r>
        <w:rPr>
          <w:rStyle w:val="Strong"/>
        </w:rPr>
        <w:t>regulatory multiplicity</w:t>
      </w:r>
      <w:r>
        <w:rPr/>
        <w:t xml:space="preserve"> exacerbate default risk (Abdulmalik &amp; Ahmad, 2020). By integrating quantitative and qualitative data, the research ensures that NPLs are not only measured statistically but also understood through the lens of stakeholder experiences, enhancing the validity of findings and their relevance to proposed reforms.</w:t>
      </w:r>
    </w:p>
    <w:p>
      <w:pPr>
        <w:pStyle w:val="BodyText"/>
        <w:spacing w:lineRule="auto" w:line="480"/>
        <w:ind w:hanging="0" w:start="0" w:end="0"/>
        <w:rPr/>
      </w:pPr>
      <w:r>
        <w:rPr/>
        <w:t xml:space="preserve">The use of NPLs also aligns with global standards, such as Basel III, which emphasizes robust </w:t>
      </w:r>
      <w:r>
        <w:rPr>
          <w:rStyle w:val="Strong"/>
        </w:rPr>
        <w:t>practice indices</w:t>
      </w:r>
      <w:r>
        <w:rPr/>
        <w:t xml:space="preserve"> to mitigate credit risk and reduce NPLs through stringent capital adequacy and liquidity requirements (BCBS, 2010). In contrast, Nigerian </w:t>
      </w:r>
      <w:r>
        <w:rPr>
          <w:rStyle w:val="Strong"/>
        </w:rPr>
        <w:t>deposit money banks’</w:t>
      </w:r>
      <w:r>
        <w:rPr/>
        <w:t xml:space="preserve"> failure to fully adopt these standards, as noted by Adegboye (2020), contributes to persistent NPL spikes, underscoring the need for governance reforms. The EU’s whistleblowing framework (EU, 2019), which enhances </w:t>
      </w:r>
      <w:r>
        <w:rPr>
          <w:rStyle w:val="Strong"/>
        </w:rPr>
        <w:t>disclosure</w:t>
      </w:r>
      <w:r>
        <w:rPr/>
        <w:t xml:space="preserve"> and reduces financial misconduct, further highlights the link between governance mechanisms and NPL reduction, offering lessons for Nigeria. By adopting NPLs as the primary metric, the research positions itself within global banking literature while addressing Nigeria-specific challenges, ensuring that findings are comparable to international benchmarks and relevant to the local context.</w:t>
      </w:r>
    </w:p>
    <w:p>
      <w:pPr>
        <w:pStyle w:val="BodyText"/>
        <w:spacing w:lineRule="auto" w:line="480"/>
        <w:ind w:hanging="0" w:start="0" w:end="0"/>
        <w:rPr/>
      </w:pPr>
      <w:r>
        <w:rPr/>
        <w:t xml:space="preserve">In conclusion, NPLs are a justified and robust measure of default risk in Nigerian DMBs due to their sensitivity to CG deficiencies, systemic implications, and alignment with theoretical frameworks and global standards. Their ability to capture the impact of </w:t>
      </w:r>
      <w:r>
        <w:rPr>
          <w:rStyle w:val="Strong"/>
        </w:rPr>
        <w:t>disclosure, practice, compliance, audit committee independence, management qualifications, and regulatory clarity</w:t>
      </w:r>
      <w:r>
        <w:rPr/>
        <w:t xml:space="preserve"> makes them central to the research’s objectives. Despite data reliability challenges, cross-validation and control variables ensure robust measurement, while qualitative insights provide contextual depth. This comprehensive approach ensures that NPLs effectively reflect governance failures, supporting the research’s aim to propose actionable reforms to enhance </w:t>
      </w:r>
      <w:r>
        <w:rPr>
          <w:rStyle w:val="Strong"/>
        </w:rPr>
        <w:t>disclosure, practice, and compliance</w:t>
      </w:r>
      <w:r>
        <w:rPr/>
        <w:t xml:space="preserve"> and financial stability in Nigeria’s </w:t>
      </w:r>
      <w:r>
        <w:rPr>
          <w:rStyle w:val="Strong"/>
        </w:rPr>
        <w:t>deposit money banking</w:t>
      </w:r>
      <w:r>
        <w:rPr/>
        <w:t xml:space="preserve"> sector.</w:t>
      </w:r>
    </w:p>
    <w:p>
      <w:pPr>
        <w:pStyle w:val="Normal"/>
        <w:rPr/>
      </w:pPr>
      <w:r>
        <w:rPr/>
      </w:r>
    </w:p>
    <w:p>
      <w:pPr>
        <w:pStyle w:val="Normal"/>
        <w:rPr/>
      </w:pPr>
      <w:r>
        <w:rPr/>
        <w:br/>
      </w:r>
    </w:p>
    <w:p>
      <w:pPr>
        <w:pStyle w:val="Normal"/>
        <w:spacing w:lineRule="auto" w:line="240"/>
        <w:jc w:val="start"/>
        <w:rPr>
          <w:rFonts w:eastAsia="DejaVu Sans" w:cs="Mangal"/>
          <w:b/>
          <w:szCs w:val="23"/>
        </w:rPr>
      </w:pPr>
      <w:r>
        <w:rPr>
          <w:rFonts w:eastAsia="DejaVu Sans" w:cs="Mangal"/>
          <w:b/>
          <w:szCs w:val="23"/>
        </w:rPr>
      </w:r>
      <w:r>
        <w:br w:type="page"/>
      </w:r>
    </w:p>
    <w:p>
      <w:pPr>
        <w:pStyle w:val="Heading2"/>
        <w:spacing w:before="0" w:after="0"/>
        <w:rPr>
          <w:color w:themeColor="accent1" w:themeShade="bf" w:val="2F5496"/>
        </w:rPr>
      </w:pPr>
      <w:r>
        <w:rPr/>
        <w:t>3.5 Data Collection Methods</w:t>
      </w:r>
    </w:p>
    <w:p>
      <w:pPr>
        <w:pStyle w:val="BodyText"/>
        <w:spacing w:lineRule="auto" w:line="480"/>
        <w:ind w:hanging="0" w:start="0" w:end="0"/>
        <w:rPr/>
      </w:pPr>
      <w:r>
        <w:rPr>
          <w:rStyle w:val="Strong"/>
        </w:rPr>
        <w:t>This study examines corporate governance (CG) deficiencies at the board level in Nigerian Deposit Money Banks (DMBs), focusing on corporate governance indices (disclosure, practice, compliance), audit committee independence, management qualifications, and regulatory clarity—and their impact on Non-Performing Loan (NPL) ratios. The research employs a mixed-methods approach, integrating quantitative data from structured questionnaires with qualitative insights from semi-structured interviews, covering 2009–2024 for RQ1 and 2024 for RQ2–RQ4.</w:t>
      </w:r>
      <w:r>
        <w:rPr/>
        <w:t xml:space="preserve"> In-depth interviews with senior executives, conducted in their professional settings, provided nuanced narratives on contextual factors, such as the impact of CBN Guidelines 2023 on </w:t>
      </w:r>
      <w:r>
        <w:rPr>
          <w:rStyle w:val="Strong"/>
        </w:rPr>
        <w:t>audit committee independence</w:t>
      </w:r>
      <w:r>
        <w:rPr/>
        <w:t xml:space="preserve">. This dual approach addresses research objectives: </w:t>
      </w:r>
      <w:r>
        <w:rPr>
          <w:rStyle w:val="Strong"/>
        </w:rPr>
        <w:t>evaluating corporate governance indices (OB1), assessing audit committee roles (OB2), examining management qualifications and regulatory clarity (OB3 and OB4), and proposing reforms (OB4).</w:t>
      </w:r>
      <w:r>
        <w:rPr/>
        <w:t xml:space="preserve"> It fills gaps in post-</w:t>
      </w:r>
      <w:r>
        <w:rPr>
          <w:rStyle w:val="Strong"/>
        </w:rPr>
        <w:t>2009</w:t>
      </w:r>
      <w:r>
        <w:rPr/>
        <w:t xml:space="preserve"> Nigeria-specific governance research, particularly regarding </w:t>
      </w:r>
      <w:r>
        <w:rPr>
          <w:rStyle w:val="Strong"/>
        </w:rPr>
        <w:t>regulatory multiplicity</w:t>
      </w:r>
      <w:r>
        <w:rPr/>
        <w:t xml:space="preserve">’s role in NPL volatility, and offers practical solutions to enhance </w:t>
      </w:r>
      <w:r>
        <w:rPr>
          <w:rStyle w:val="Strong"/>
        </w:rPr>
        <w:t>disclosure, practice, and compliance</w:t>
      </w:r>
      <w:r>
        <w:rPr/>
        <w:t xml:space="preserve"> and stability in a sector vulnerable to systemic risks, as seen in the 2009 crisis (Osita et al., 2019; Adegboye, 2020). By combining empirical rigor with interpretive depth, this methodology overcomes limitations of single-method studies, addressing socio-political nuances and biases, and aligns with pragmatic principles for evidence-based solutions in Nigeria’s volatile </w:t>
      </w:r>
      <w:r>
        <w:rPr>
          <w:rStyle w:val="Strong"/>
        </w:rPr>
        <w:t>deposit money banking</w:t>
      </w:r>
      <w:r>
        <w:rPr/>
        <w:t xml:space="preserve"> environment (Creswell &amp; Plano Clark, 2018).</w:t>
      </w:r>
    </w:p>
    <w:p>
      <w:pPr>
        <w:pStyle w:val="BodyText"/>
        <w:spacing w:lineRule="auto" w:line="480"/>
        <w:ind w:hanging="0" w:start="0" w:end="0"/>
        <w:rPr/>
      </w:pPr>
      <w:r>
        <w:rPr>
          <w:rStyle w:val="Strong"/>
        </w:rPr>
        <w:t>Data were segmented into primary and secondary sources, each playing a synergistic role in analyzing CG deficiencies and NPL trajectories. Primary data, collected directly by the researcher, included 400 questionnaires (yielding 230 valid responses, 57.5% response rate) and 20 interview invitations (securing 10 participations, 50% response rate), offering stakeholder perspectives. Secondary data, drawn from CBN bulletins, NDIC compilations, and World Bank/IMF indicators, spanned 2009–2024, providing longitudinal context for RQ1 and a 2024 snapshot for RQ2–RQ4.</w:t>
      </w:r>
      <w:r>
        <w:rPr/>
        <w:t xml:space="preserve"> This framework enhances primary data’s timeliness with secondary data’s reliability, navigating reporting challenges to deliver robust, validated insights for governance reforms.</w:t>
      </w:r>
    </w:p>
    <w:p>
      <w:pPr>
        <w:pStyle w:val="BodyText"/>
        <w:spacing w:lineRule="auto" w:line="480"/>
        <w:ind w:hanging="0" w:start="0" w:end="0"/>
        <w:rPr/>
      </w:pPr>
      <w:r>
        <w:rPr>
          <w:rStyle w:val="Strong"/>
        </w:rPr>
        <w:t>3.5.1 Quantitative Component: Questionnaire Survey</w:t>
      </w:r>
    </w:p>
    <w:p>
      <w:pPr>
        <w:pStyle w:val="BodyText"/>
        <w:spacing w:lineRule="auto" w:line="480"/>
        <w:ind w:hanging="0" w:start="0" w:end="0"/>
        <w:rPr/>
      </w:pPr>
      <w:r>
        <w:rPr>
          <w:rStyle w:val="Strong"/>
        </w:rPr>
        <w:t>The quantitative segment employs a structured questionnaire, painstakingly constructed from academic precedents, to empirically assess the influence of corporate governance indices (disclosure, practice, compliance), audit committee independence, management qualifications, and regulatory clarity on NPL ratios in Nigerian DMBs.</w:t>
      </w:r>
      <w:r>
        <w:rPr/>
        <w:t xml:space="preserve"> Utilizing a 7-point Likert scale (1 = Strongly Disagree to 7 = Strongly Agree), the instrument solicits nuanced evaluations of governance practices, providing data granularity suitable for sophisticated statistical examinations, including multiple regression and factor analysis, while accommodating the perceptual variances inherent in a sector characterized by diverse professional experiences and institutional cultures.</w:t>
      </w:r>
    </w:p>
    <w:p>
      <w:pPr>
        <w:pStyle w:val="BodyText"/>
        <w:spacing w:lineRule="auto" w:line="480"/>
        <w:ind w:hanging="0" w:start="0" w:end="0"/>
        <w:rPr/>
      </w:pPr>
      <w:r>
        <w:rPr>
          <w:rStyle w:val="Strong"/>
        </w:rPr>
        <w:t>3.5.1.1 Questionnaire Design and Justification</w:t>
      </w:r>
    </w:p>
    <w:p>
      <w:pPr>
        <w:pStyle w:val="BodyText"/>
        <w:spacing w:lineRule="auto" w:line="480"/>
        <w:ind w:hanging="0" w:start="0" w:end="0"/>
        <w:rPr/>
      </w:pPr>
      <w:r>
        <w:rPr>
          <w:rStyle w:val="Strong"/>
        </w:rPr>
        <w:t>The questionnaire's structure is grounded in classical and contemporary literature to ensure validity, relevance, and adaptability to Nigeria's deposit money banking context, reflecting local regulatory nuances and global standards. For Disclosure (CGDI), items assess financial reporting transparency, drawing from Osemeke and Adegbite (2016) on disclosure gaps. For Practice (OPEFF), questions evaluate board supervision, nomination committee impartiality, and executive qualifications, based on Ogbechie (2016) on cronyism and Nwoko et al. (2022) on qualification gaps (e.g., "Robust board oversight prevents unqualified appointments"). For Compliance (COMID), items examine adherence to regulations like CBN Guidelines 2023, adapted from Abdulmalik and Ahmad (2020) on compliance burdens. For Audit Committee Independence, questions assess autonomy and whistleblowing effectiveness, informed by Adegbite (2014) on 2009 crisis fraud concealment. For Management Qualifications, items evaluate expertise and training, drawing from Nwoko et al. (2022). For Regulatory Clarity, questions probe conflicts among statutes like CAMA 2020 and NCCG 2018, based on Abdulmalik and Ahmad (2020) (e.g., "Harmonized regulations would reduce governance ambiguities").</w:t>
      </w:r>
      <w:r>
        <w:rPr/>
        <w:t xml:space="preserve"> Items link </w:t>
      </w:r>
      <w:r>
        <w:rPr>
          <w:rStyle w:val="Strong"/>
        </w:rPr>
        <w:t>indices</w:t>
      </w:r>
      <w:r>
        <w:rPr/>
        <w:t xml:space="preserve"> to NPLs (e.g., "Audit independence directly correlates with lower risky lending exposure"), supporting research objectives. A specimen is in Appendix 1. This design ensures standardized, quantifiable data for parametric testing, reducing interviewer bias and enabling efficient administration across a dispersed sector to reveal systemic governance patterns.</w:t>
      </w:r>
    </w:p>
    <w:p>
      <w:pPr>
        <w:pStyle w:val="BodyText"/>
        <w:spacing w:lineRule="auto" w:line="480"/>
        <w:ind w:hanging="0" w:start="0" w:end="0"/>
        <w:rPr/>
      </w:pPr>
      <w:r>
        <w:rPr>
          <w:rStyle w:val="Strong"/>
        </w:rPr>
        <w:t>3.5.1.2 Target Population and Sampling</w:t>
      </w:r>
    </w:p>
    <w:p>
      <w:pPr>
        <w:pStyle w:val="BodyText"/>
        <w:spacing w:lineRule="auto" w:line="480"/>
        <w:ind w:hanging="0" w:start="0" w:end="0"/>
        <w:rPr/>
      </w:pPr>
      <w:r>
        <w:rPr>
          <w:rStyle w:val="Strong"/>
        </w:rPr>
        <w:t>The target population includes banking professionals across Nigeria’s DMBs, ranging from risk managers (offering operational risk insights) to branch managers (compliance views), department heads (strategic insights), and regional managers (governance oversight), capturing a broad spectrum of NPL-related perspectives.</w:t>
      </w:r>
      <w:r>
        <w:rPr/>
        <w:t xml:space="preserve"> Geographically, the sample is limited to Abuja, the administrative and financial hub hosting head offices and key branches of nearly all DMBs, ensuring logistical efficiency and reflecting national trends, though Lagos (a major commercial center) was also considered but excluded for resource constraints. Sampling stratifies by bank size: small (&lt;₦500 billion assets, 20%), medium (₦500 billion–₦2 trillion, 35%), and large (&gt;₦2 trillion, 45%), per CBN </w:t>
      </w:r>
      <w:r>
        <w:rPr>
          <w:rStyle w:val="Strong"/>
        </w:rPr>
        <w:t>2024</w:t>
      </w:r>
      <w:r>
        <w:rPr/>
        <w:t xml:space="preserve"> categorizations, to mirror sectoral diversity. Non-probability purposive sampling targets individuals with CG and operational expertise, justified for complex, domain-specific queries where random sampling might yield superficial data, aligning with exploratory needs in regulated fields (Bryman, 2016; Etikan et al., 2016; Tongco, 2007). This approach ensures data quality and balances representation across hierarchies and scales.</w:t>
      </w:r>
    </w:p>
    <w:p>
      <w:pPr>
        <w:pStyle w:val="BodyText"/>
        <w:spacing w:lineRule="auto" w:line="480"/>
        <w:ind w:hanging="0" w:start="0" w:end="0"/>
        <w:rPr/>
      </w:pPr>
      <w:r>
        <w:rPr>
          <w:rStyle w:val="Strong"/>
        </w:rPr>
        <w:t>3.5.1.3 Sample Size Determination</w:t>
      </w:r>
    </w:p>
    <w:p>
      <w:pPr>
        <w:pStyle w:val="BodyText"/>
        <w:spacing w:lineRule="auto" w:line="480"/>
        <w:ind w:hanging="0" w:start="0" w:end="0"/>
        <w:rPr/>
      </w:pPr>
      <w:r>
        <w:rPr/>
        <w:t xml:space="preserve">Sample size was determined using SPSS. </w:t>
      </w:r>
      <w:r>
        <w:rPr>
          <w:rStyle w:val="Strong"/>
        </w:rPr>
        <w:t>A target of 400 was set, yielding 230 valid responses (57.5% response rate), balancing inferential strength with practicality, based on Yamane’s (1967) formula n = N / (1 + N(e)²), where N=5000 (estimated Abuja professionals) and e=0.05, suggesting n≈370, with 400 as a buffer for precision and non-response.</w:t>
      </w:r>
      <w:r>
        <w:rPr/>
        <w:t xml:space="preserve"> Bootstrapping confirmed resilience to attrition (20-25%, per pilot feedback), ensuring adequacy for subgroup analysis and generalizability, while minimizing type II errors (Cohen, 1992; Faul et al., 2009).</w:t>
      </w:r>
    </w:p>
    <w:p>
      <w:pPr>
        <w:pStyle w:val="BodyText"/>
        <w:spacing w:lineRule="auto" w:line="480"/>
        <w:ind w:hanging="0" w:start="0" w:end="0"/>
        <w:rPr/>
      </w:pPr>
      <w:r>
        <w:rPr>
          <w:rStyle w:val="Strong"/>
        </w:rPr>
        <w:t>3.5.1.4 Data Collection Process</w:t>
      </w:r>
    </w:p>
    <w:p>
      <w:pPr>
        <w:pStyle w:val="BodyText"/>
        <w:spacing w:lineRule="auto" w:line="480"/>
        <w:ind w:hanging="0" w:start="0" w:end="0"/>
        <w:rPr/>
      </w:pPr>
      <w:r>
        <w:rPr/>
        <w:t xml:space="preserve">Questionnaires were manually administered in-person at selected Abuja bank branches, demanding researcher patience, courtesy, and deference to establish trust and encourage participation across the professional spectrum, from cashiers managing frontline transactions to regional managers overseeing strategic operations, thereby maximizing response authenticity and completeness. Traversals included a representative assortment of institutions, with preliminary explanations of the study's purpose, ethical safeguards, and item rationales to enhance comprehension, particularly for sophisticated governance concepts that might intimidate lower-tier staff. To counteract social desirability bias—wherein respondents might embellish CG perceptions to conform with professional norms or avoid scrutiny—anonymity was rigorously enforced through coded response sheets devoid of personal identifiers, sealed collection envelopes to prevent oversight, and prefatory assurances emphasizing data aggregation and non-attribution, supplemented by balanced item wording to discourage consistent positive skewing (Podsakoff et al., 2003; Nederhof, 1985). Cross-validation with secondary repositories (CBN supervisory reports, NDIC soundness indicators) rectifies NPL opacity by juxtaposing perceptual data against verified ratios (e.g., corroborating </w:t>
      </w:r>
      <w:r>
        <w:rPr>
          <w:rStyle w:val="Strong"/>
        </w:rPr>
        <w:t>audit committee independence</w:t>
      </w:r>
      <w:r>
        <w:rPr/>
        <w:t xml:space="preserve"> assertions with historical misstatements from the 2009 crisis), ensuring data integrity in a milieu notorious for underreporting driven by weak </w:t>
      </w:r>
      <w:r>
        <w:rPr>
          <w:rStyle w:val="Strong"/>
        </w:rPr>
        <w:t>enforcement consistency</w:t>
      </w:r>
      <w:r>
        <w:rPr/>
        <w:t xml:space="preserve"> and incentive misalignments (Olojede et al., 2020; Sanusi, 2014). This hands-on process, though resource-intensive, elevates response quality through immediate clarifications and rapport-building, rendering it superior for Nigeria's trust-oriented culture where digital alternatives might encounter skepticism or low engagement.</w:t>
      </w:r>
    </w:p>
    <w:p>
      <w:pPr>
        <w:pStyle w:val="BodyText"/>
        <w:spacing w:lineRule="auto" w:line="480"/>
        <w:ind w:hanging="0" w:start="0" w:end="0"/>
        <w:rPr/>
      </w:pPr>
      <w:r>
        <w:rPr>
          <w:rStyle w:val="Strong"/>
        </w:rPr>
        <w:t>3.5.1.5 Pilot Testing and Validation</w:t>
      </w:r>
    </w:p>
    <w:p>
      <w:pPr>
        <w:pStyle w:val="BodyText"/>
        <w:spacing w:lineRule="auto" w:line="480"/>
        <w:ind w:hanging="0" w:start="0" w:end="0"/>
        <w:rPr/>
      </w:pPr>
      <w:r>
        <w:rPr>
          <w:rStyle w:val="Strong"/>
        </w:rPr>
        <w:t>A pilot trial with 15 questionnaires (stratified to mirror main demographics: 5 risk managers for operational feedback, 5 branch managers for tactical input, 5 department heads for strategic views) assessed clarity, reliability, and respondent burden, yielding a Cronbach’s alpha of 0.85 (subscales: 0.78 for Disclosure, 0.81 for Practice, 0.85 for Compliance, 0.88 for Audit Committee Independence, 0.82 for Management Qualifications, 0.88 for Regulatory Clarity, indicating strong internal consistency per Nunnally, 1978).</w:t>
      </w:r>
      <w:r>
        <w:rPr/>
        <w:t xml:space="preserve"> Respondent feedback led to key revisions: ambiguous terms in </w:t>
      </w:r>
      <w:r>
        <w:rPr>
          <w:rStyle w:val="Strong"/>
        </w:rPr>
        <w:t>Regulatory Clarity</w:t>
      </w:r>
      <w:r>
        <w:rPr/>
        <w:t xml:space="preserve"> (e.g., "arbitrage" changed to "conflicts in banking laws" for accessibility among junior staff unfamiliar with jargon); addition of reverse-scored items (e.g., "Regulatory overlaps do not affect compliance" to counter acquiescence, noted in 12% of pilots); removal of two redundant questions with low item-total correlations (r&lt;0.3, e.g., a repetitive board oversight item) to reduce fatigue. Factor loadings (&gt;0.6 in exploratory analysis) refined the instrument, enhancing construct validity, cultural fit, and precision for Nigeria’s diverse </w:t>
      </w:r>
      <w:r>
        <w:rPr>
          <w:rStyle w:val="Strong"/>
        </w:rPr>
        <w:t>deposit money banking</w:t>
      </w:r>
      <w:r>
        <w:rPr/>
        <w:t xml:space="preserve"> sector (Bryman, 2016; DeVellis, 2017; Boateng et al., 2018). </w:t>
      </w:r>
      <w:r>
        <w:rPr>
          <w:rStyle w:val="Strong"/>
        </w:rPr>
        <w:t>With final question counts of 8 for Disclosure, 7 for Practice, 6 for Compliance, 5 for Audit Committee Independence, 4 for Management Qualifications, and 5 for Regulatory Clarity, this iterative process minimized error variance and boosted response quality in emerging market contexts.</w:t>
      </w:r>
    </w:p>
    <w:p>
      <w:pPr>
        <w:pStyle w:val="BodyText"/>
        <w:spacing w:lineRule="auto" w:line="480"/>
        <w:ind w:hanging="0" w:start="0" w:end="0"/>
        <w:rPr/>
      </w:pPr>
      <w:r>
        <w:rPr>
          <w:rStyle w:val="Strong"/>
        </w:rPr>
        <w:t>3.5.2 Qualitative Component: Semi-Structured Interviews</w:t>
      </w:r>
    </w:p>
    <w:p>
      <w:pPr>
        <w:pStyle w:val="BodyText"/>
        <w:spacing w:lineRule="auto" w:line="480"/>
        <w:ind w:hanging="0" w:start="0" w:end="0"/>
        <w:rPr/>
      </w:pPr>
      <w:r>
        <w:rPr>
          <w:rStyle w:val="Strong"/>
        </w:rPr>
        <w:t>The qualitative component employs semi-structured interviews with 10 high-level officials (50% response rate from 20 invitations), providing contextual depth on CG deficiencies linked to NPLs, complementing quantitative data with insights into mechanisms like political influences.</w:t>
      </w:r>
    </w:p>
    <w:p>
      <w:pPr>
        <w:pStyle w:val="BodyText"/>
        <w:spacing w:lineRule="auto" w:line="480"/>
        <w:ind w:hanging="0" w:start="0" w:end="0"/>
        <w:rPr/>
      </w:pPr>
      <w:r>
        <w:rPr>
          <w:rStyle w:val="Strong"/>
        </w:rPr>
        <w:t>3.5.2.1 Interview Design and Protocol</w:t>
      </w:r>
    </w:p>
    <w:p>
      <w:pPr>
        <w:pStyle w:val="BodyText"/>
        <w:spacing w:lineRule="auto" w:line="480"/>
        <w:ind w:hanging="0" w:start="0" w:end="0"/>
        <w:rPr/>
      </w:pPr>
      <w:r>
        <w:rPr>
          <w:rStyle w:val="Strong"/>
        </w:rPr>
        <w:t>Questions, derived from literature, target corporate governance indices, audit committee independence, management qualifications, and regulatory clarity: e.g., “How do conflicts between CAMA 2020 and NCCG 2018 hinder compliance and increase NPLs?” (Regulatory Clarity); “What obstacles do audit committees face in ensuring disclosure, and how do these contribute to default risks?” (Audit Committee Independence); “How do management qualifications impact risk management practices?” (Management Qualifications).</w:t>
      </w:r>
      <w:r>
        <w:rPr/>
        <w:t xml:space="preserve"> The semi-structured format allows adaptive probing (e.g., “Can you describe specific cases of political interference in appointments and their impact on NPLs?”), with sessions lasting 35–45 minutes. Ethical measures include informed consent, optional audio recording (with manual transcription for privacy), and encrypted Otter.ai transcription. Thematic coding in NVivo follows Braun and Clarke’s (2006) six-phase process, yielding 45 final themes (e.g., “enforcement gaps,” “audit committee capture,” “political influence,” “risk oversight failures”) after data familiarization, 180 initial codes, theme refinement, review, and definition. This ensures rigor, aligns with Nigeria’s NDPA 2023 (Nigeria Data Protection Commission, </w:t>
      </w:r>
      <w:r>
        <w:rPr>
          <w:rStyle w:val="Strong"/>
        </w:rPr>
        <w:t>2024</w:t>
      </w:r>
      <w:r>
        <w:rPr/>
        <w:t>), and justifies the approach’s flexibility for uncovering evolving issues like post-2009 fraud concealment, staying focused on research goals.</w:t>
      </w:r>
    </w:p>
    <w:p>
      <w:pPr>
        <w:pStyle w:val="BodyText"/>
        <w:spacing w:lineRule="auto" w:line="480"/>
        <w:ind w:hanging="0" w:start="0" w:end="0"/>
        <w:rPr/>
      </w:pPr>
      <w:r>
        <w:rPr>
          <w:rStyle w:val="Strong"/>
        </w:rPr>
        <w:t>3.5.2.2 Participant Selection and Recruitment</w:t>
      </w:r>
    </w:p>
    <w:p>
      <w:pPr>
        <w:pStyle w:val="BodyText"/>
        <w:spacing w:lineRule="auto" w:line="480"/>
        <w:ind w:hanging="0" w:start="0" w:end="0"/>
        <w:rPr/>
      </w:pPr>
      <w:r>
        <w:rPr/>
        <w:t>Purposive selection zeroed in on executives for their authoritative expertise, with recruitment via 20 tailored emails (outlining purpose, duration ~35 minutes, confidentiality assurances, and no incentives to avoid coercion), yielding 10 consents through persistent follow-ups and rapport-building, navigating access obstacles in elite, time-scarce circles where response rates often hover below 50% (Baruch &amp; Holtom, 2008).</w:t>
      </w:r>
    </w:p>
    <w:p>
      <w:pPr>
        <w:pStyle w:val="BodyText"/>
        <w:spacing w:lineRule="auto" w:line="480"/>
        <w:ind w:hanging="0" w:start="0" w:end="0"/>
        <w:rPr/>
      </w:pPr>
      <w:r>
        <w:rPr>
          <w:rStyle w:val="Strong"/>
        </w:rPr>
        <w:t>3.5.2.3 Interview Process</w:t>
      </w:r>
    </w:p>
    <w:p>
      <w:pPr>
        <w:pStyle w:val="BodyText"/>
        <w:spacing w:lineRule="auto" w:line="480"/>
        <w:ind w:hanging="0" w:start="0" w:end="0"/>
        <w:rPr/>
      </w:pPr>
      <w:r>
        <w:rPr/>
        <w:t xml:space="preserve">Undertaken in-office to immerse in professional contexts and foster trust, with deferential conduct—active listening, empathetic nods, neutral probes—to elicit forthrightness on sensitivities like </w:t>
      </w:r>
      <w:r>
        <w:rPr>
          <w:rStyle w:val="Strong"/>
        </w:rPr>
        <w:t>board cronyism</w:t>
      </w:r>
      <w:r>
        <w:rPr/>
        <w:t>. Confidentiality was reinforced via anonymized transcripts (pseudonyms, redacted identifiers), secure storage (encrypted drives), and post-interview debriefs to address any discomfort, mitigating reprisal fears and bias (e.g., overly positive framing due to status concerns), ensuring authentic narratives that enrich quantitative findings (Kvale &amp; Brinkmann, 2015).</w:t>
      </w:r>
    </w:p>
    <w:p>
      <w:pPr>
        <w:pStyle w:val="BodyText"/>
        <w:spacing w:lineRule="auto" w:line="480"/>
        <w:ind w:hanging="0" w:start="0" w:end="0"/>
        <w:rPr/>
      </w:pPr>
      <w:r>
        <w:rPr>
          <w:rStyle w:val="Strong"/>
        </w:rPr>
        <w:t>3.5.3 Data Sources</w:t>
      </w:r>
    </w:p>
    <w:p>
      <w:pPr>
        <w:pStyle w:val="BodyText"/>
        <w:spacing w:lineRule="auto" w:line="480"/>
        <w:ind w:hanging="0" w:start="0" w:end="0"/>
        <w:rPr/>
      </w:pPr>
      <w:r>
        <w:rPr>
          <w:rStyle w:val="Strong"/>
        </w:rPr>
        <w:t>The study targets Nigeria's deposit money banking sector, focusing on deposit money banks (DMBs) as the primary population due to their systemic role in financial stability and economic growth (CBN, 2024). For RQ1's quantitative panel, the sample comprises ten systemically important banks (SIBs) designated by the Central Bank of Nigeria (CBN), including Access Bank, Zenith Bank, First Bank of Nigeria (FBN), United Bank for Africa (UBA), Guaranty Trust Holding Company (GTCO), Ecobank Nigeria, Fidelity Bank, Stanbic IBTC, Union Bank, and Sterling Bank (CBN, 2024).</w:t>
      </w:r>
      <w:r>
        <w:rPr/>
        <w:t xml:space="preserve"> These institutions represent approximately 78–80% of the sector's total assets (N212.4 trillion combined for quoted banks in 2024, per Nairametrics; sector total ~N265 trillion; CBN, </w:t>
      </w:r>
      <w:r>
        <w:rPr>
          <w:rStyle w:val="Strong"/>
        </w:rPr>
        <w:t>2024</w:t>
      </w:r>
      <w:r>
        <w:rPr/>
        <w:t xml:space="preserve">), ensuring relevance for systemic insights (The Banker, </w:t>
      </w:r>
      <w:r>
        <w:rPr>
          <w:rStyle w:val="Strong"/>
        </w:rPr>
        <w:t>2024</w:t>
      </w:r>
      <w:r>
        <w:rPr/>
        <w:t xml:space="preserve">). </w:t>
      </w:r>
      <w:r>
        <w:rPr>
          <w:rStyle w:val="Strong"/>
        </w:rPr>
        <w:t>Data span 2009–2024, yielding 160 bank-year observations post-balancing.</w:t>
      </w:r>
      <w:r>
        <w:rPr/>
        <w:t xml:space="preserve"> Annual financial statements, prudential returns, and governance disclosures were hand-collected from CBN archives, NDIC reports, and bank websites, supplemented by Nairametrics and audited filings. </w:t>
      </w:r>
      <w:r>
        <w:rPr>
          <w:rStyle w:val="Strong"/>
        </w:rPr>
        <w:t>Macroeconomic controls, such as GDP per capita (constant 2010 US$), were sourced from World Bank Development Indicators (2024 release: e.g., $2,447.64 in 2024, down from $2,510.59 in 2023; World Bank, 2024).</w:t>
      </w:r>
      <w:r>
        <w:rPr/>
        <w:t xml:space="preserve"> Mergers (e.g., 2012 and 2019 events) were retroactively adjusted using purchase-method restatements to maintain continuity.</w:t>
      </w:r>
    </w:p>
    <w:p>
      <w:pPr>
        <w:pStyle w:val="BodyText"/>
        <w:spacing w:lineRule="auto" w:line="480"/>
        <w:ind w:hanging="0" w:start="0" w:end="0"/>
        <w:rPr/>
      </w:pPr>
      <w:r>
        <w:rPr>
          <w:rStyle w:val="Strong"/>
        </w:rPr>
        <w:t>For RQ2–RQ4's cross-sectional component, purposive sampling targeted 400 banking professionals (executives, auditors, risk managers) from Abuja-based branches of the ten SIBs, yielding 230 responses (57.5% rate). Interviews involved 10 key informants (5 CEOs/board chairs, 5 executives), selected via snowballing for expertise.</w:t>
      </w:r>
      <w:r>
        <w:rPr/>
        <w:t xml:space="preserve"> This dual sampling ensures representativeness for quantitative trends and depth for qualitative nuances, with demographic balance (e.g., 52% male, 48% female; 60% large-bank affiliated).</w:t>
      </w:r>
    </w:p>
    <w:p>
      <w:pPr>
        <w:pStyle w:val="BodyText"/>
        <w:spacing w:lineRule="auto" w:line="480"/>
        <w:ind w:hanging="0" w:start="0" w:end="0"/>
        <w:rPr/>
      </w:pPr>
      <w:r>
        <w:rPr>
          <w:rStyle w:val="Strong"/>
        </w:rPr>
        <w:t>3.5.3.1 Primary Data</w:t>
      </w:r>
    </w:p>
    <w:p>
      <w:pPr>
        <w:pStyle w:val="BodyText"/>
        <w:spacing w:lineRule="auto" w:line="480"/>
        <w:ind w:hanging="0" w:start="0" w:end="0"/>
        <w:rPr/>
      </w:pPr>
      <w:r>
        <w:rPr>
          <w:rStyle w:val="Strong"/>
        </w:rPr>
        <w:t>Primary data encompasses 230 questionnaire replies and 10 interviews, harvested via in-person engagements to secure immediacy, authenticity, and relevance, encapsulating perceptual and experiential facets across corporate governance indices, audit committee independence, management qualifications, and regulatory clarity for thorough objective fulfillment, with direct interaction minimizing misinterpretations in a culturally diverse setting.</w:t>
      </w:r>
    </w:p>
    <w:p>
      <w:pPr>
        <w:pStyle w:val="BodyText"/>
        <w:spacing w:lineRule="auto" w:line="480"/>
        <w:ind w:hanging="0" w:start="0" w:end="0"/>
        <w:rPr/>
      </w:pPr>
      <w:r>
        <w:rPr>
          <w:rStyle w:val="Strong"/>
        </w:rPr>
        <w:t>3.5.3.2 Secondary Data</w:t>
      </w:r>
    </w:p>
    <w:p>
      <w:pPr>
        <w:pStyle w:val="BodyText"/>
        <w:spacing w:lineRule="auto" w:line="480"/>
        <w:ind w:hanging="0" w:start="0" w:end="0"/>
        <w:rPr/>
      </w:pPr>
      <w:r>
        <w:rPr>
          <w:rStyle w:val="Strong"/>
        </w:rPr>
        <w:t>Secondary data encompasses NPL ratios from 2009 (37%, post-crisis peak) to April 2024 (approximately 5.62%), derived from quarterly CBN bulletins (sector aggregates), NDIC reports (granular soundness indicators), World Bank/IMF Financial Soundness Indicators (global benchmarks), and DMB audits (bank-specific).</w:t>
      </w:r>
      <w:r>
        <w:rPr/>
        <w:t xml:space="preserve"> Reliability is strengthened through cross-checking (e.g., reconciling CBN's reported NPL ratio of 5.62% with NDIC's loan loss provisions, which are calculated as estimated amounts set aside to cover potential losses on NPLs based on historical loss rates, recovery expectations, and regulatory guidelines under the International Financial Reporting Standard 9 [IFRS 9], ensuring &lt;2% discrepancies in aggregated figures), sensitivity tests for data opacity (e.g., adjusting for misclassifications using literature-derived thresholds from Olojede et al., 2020), and inclusion of control variables in regression models (e.g., GDP growth and inflation rates to isolate governance effects from macroeconomic influences, as these are standard controls in empirical studies on CG and NPLs to account for external economic pressures that affect loan repayment and default risk without confounding internal governance variables; Natufe &amp; Evbayiro-Osagie, 2023).</w:t>
      </w:r>
    </w:p>
    <w:p>
      <w:pPr>
        <w:pStyle w:val="Normal"/>
        <w:rPr/>
      </w:pPr>
      <w:r>
        <w:rPr/>
      </w:r>
    </w:p>
    <w:p>
      <w:pPr>
        <w:pStyle w:val="Normal"/>
        <w:rPr/>
      </w:pPr>
      <w:r>
        <w:rPr/>
      </w:r>
    </w:p>
    <w:p>
      <w:pPr>
        <w:pStyle w:val="Normal"/>
        <w:spacing w:lineRule="auto" w:line="240"/>
        <w:jc w:val="start"/>
        <w:rPr/>
      </w:pPr>
      <w:r>
        <w:rPr/>
      </w:r>
      <w:r>
        <w:br w:type="page"/>
      </w:r>
    </w:p>
    <w:p>
      <w:pPr>
        <w:pStyle w:val="Heading2"/>
        <w:spacing w:before="0" w:after="0"/>
        <w:rPr/>
      </w:pPr>
      <w:r>
        <w:rPr/>
        <w:t>3.3 Variable Definition and Measurement</w:t>
      </w:r>
    </w:p>
    <w:p>
      <w:pPr>
        <w:pStyle w:val="BodyText"/>
        <w:rPr>
          <w:strike/>
          <w:color w:themeColor="accent1" w:themeShade="bf" w:val="2F5496"/>
        </w:rPr>
      </w:pPr>
      <w:r>
        <w:rPr>
          <w:rStyle w:val="Strong"/>
          <w:strike/>
          <w:color w:themeColor="accent1" w:themeShade="bf" w:val="2F5496"/>
        </w:rPr>
        <w:t>Variables are operationalized to align with the corporate governance indices (disclosure, practice, compliance), ensuring theoretical fidelity and empirical precision.</w:t>
      </w:r>
    </w:p>
    <w:p>
      <w:pPr>
        <w:pStyle w:val="BodyText"/>
        <w:spacing w:lineRule="auto" w:line="480"/>
        <w:ind w:hanging="0" w:start="0" w:end="0"/>
        <w:rPr>
          <w:strike/>
          <w:color w:themeColor="accent1" w:themeShade="bf" w:val="2F5496"/>
        </w:rPr>
      </w:pPr>
      <w:r>
        <w:rPr>
          <w:rStyle w:val="Strong"/>
          <w:strike/>
          <w:color w:themeColor="accent1" w:themeShade="bf" w:val="2F5496"/>
        </w:rPr>
        <w:t>Dependent Variable</w:t>
      </w:r>
    </w:p>
    <w:p>
      <w:pPr>
        <w:pStyle w:val="BodyText"/>
        <w:numPr>
          <w:ilvl w:val="0"/>
          <w:numId w:val="6"/>
        </w:numPr>
        <w:tabs>
          <w:tab w:val="clear" w:pos="720"/>
          <w:tab w:val="left" w:pos="0" w:leader="none"/>
        </w:tabs>
        <w:spacing w:lineRule="auto" w:line="480"/>
        <w:ind w:hanging="283" w:start="709"/>
        <w:rPr>
          <w:strike/>
          <w:color w:themeColor="accent1" w:themeShade="bf" w:val="2F5496"/>
        </w:rPr>
      </w:pPr>
      <w:r>
        <w:rPr>
          <w:rStyle w:val="Strong"/>
          <w:strike/>
          <w:color w:themeColor="accent1" w:themeShade="bf" w:val="2F5496"/>
        </w:rPr>
        <w:t>Non-performing loan ratio (NPLR)</w:t>
      </w:r>
      <w:r>
        <w:rPr>
          <w:strike/>
          <w:color w:themeColor="accent1" w:themeShade="bf" w:val="2F5496"/>
        </w:rPr>
        <w:t xml:space="preserve">: Defined as IFRS-9 Stage-3 credit-impaired assets divided by gross loans and advances, expressed as a percentage. This captures exposures with significant credit deterioration, ensuring consistency across the 2018 IFRS-9 transition and post-2009 reforms (CBN, 2018). NPLR's validity as a default proxy is affirmed by its alignment with CBN's 5% threshold and emerging-market literature (Natufe &amp; Evbayiro-Osagie, 2023; Fernando et al., </w:t>
      </w:r>
      <w:r>
        <w:rPr>
          <w:rStyle w:val="Strong"/>
          <w:strike/>
          <w:color w:themeColor="accent1" w:themeShade="bf" w:val="2F5496"/>
        </w:rPr>
        <w:t>2019</w:t>
      </w:r>
      <w:r>
        <w:rPr>
          <w:strike/>
          <w:color w:themeColor="accent1" w:themeShade="bf" w:val="2F5496"/>
        </w:rPr>
        <w:t xml:space="preserve">). </w:t>
      </w:r>
    </w:p>
    <w:p>
      <w:pPr>
        <w:pStyle w:val="BodyText"/>
        <w:rPr>
          <w:strike/>
          <w:color w:themeColor="accent1" w:themeShade="bf" w:val="2F5496"/>
        </w:rPr>
      </w:pPr>
      <w:r>
        <w:rPr>
          <w:rStyle w:val="Strong"/>
          <w:strike/>
          <w:color w:themeColor="accent1" w:themeShade="bf" w:val="2F5496"/>
        </w:rPr>
        <w:t>ndependent Variables (Corporate Governance Indices)</w:t>
      </w:r>
    </w:p>
    <w:p>
      <w:pPr>
        <w:pStyle w:val="BodyText"/>
        <w:numPr>
          <w:ilvl w:val="0"/>
          <w:numId w:val="7"/>
        </w:numPr>
        <w:tabs>
          <w:tab w:val="clear" w:pos="720"/>
          <w:tab w:val="left" w:pos="0" w:leader="none"/>
        </w:tabs>
        <w:spacing w:lineRule="auto" w:line="480" w:before="0" w:after="0"/>
        <w:ind w:hanging="283" w:start="709"/>
        <w:rPr>
          <w:strike/>
          <w:color w:themeColor="accent1" w:themeShade="bf" w:val="2F5496"/>
        </w:rPr>
      </w:pPr>
      <w:r>
        <w:rPr>
          <w:rStyle w:val="Strong"/>
          <w:strike/>
          <w:color w:themeColor="accent1" w:themeShade="bf" w:val="2F5496"/>
        </w:rPr>
        <w:t>(i) Disclosure (CGDI)</w:t>
      </w:r>
      <w:r>
        <w:rPr>
          <w:strike/>
          <w:color w:themeColor="accent1" w:themeShade="bf" w:val="2F5496"/>
        </w:rPr>
        <w:t xml:space="preserve">: A 60-item checklist based on OECD (2015) and CBN (2018) templates, scoring 1 per disclosed item (e.g., board composition, risk policies) in annual reports or governance statements, scaled 0–100. This measures informational breadth and timeliness. </w:t>
      </w:r>
    </w:p>
    <w:p>
      <w:pPr>
        <w:pStyle w:val="BodyText"/>
        <w:numPr>
          <w:ilvl w:val="0"/>
          <w:numId w:val="7"/>
        </w:numPr>
        <w:tabs>
          <w:tab w:val="clear" w:pos="720"/>
          <w:tab w:val="left" w:pos="0" w:leader="none"/>
        </w:tabs>
        <w:spacing w:lineRule="auto" w:line="480" w:before="0" w:after="0"/>
        <w:ind w:hanging="283" w:start="709"/>
        <w:rPr>
          <w:strike/>
          <w:color w:themeColor="accent1" w:themeShade="bf" w:val="2F5496"/>
        </w:rPr>
      </w:pPr>
      <w:r>
        <w:rPr>
          <w:rStyle w:val="Strong"/>
          <w:strike/>
          <w:color w:themeColor="accent1" w:themeShade="bf" w:val="2F5496"/>
        </w:rPr>
        <w:t>(ii) Practice (OPEFF)</w:t>
      </w:r>
      <w:r>
        <w:rPr>
          <w:strike/>
          <w:color w:themeColor="accent1" w:themeShade="bf" w:val="2F5496"/>
        </w:rPr>
        <w:t xml:space="preserve">: 100 × (1 – cost-to-income ratio), where higher scores reflect efficient, controlled processes mitigating underwriting errors (COSO, 2013). </w:t>
      </w:r>
    </w:p>
    <w:p>
      <w:pPr>
        <w:pStyle w:val="BodyText"/>
        <w:numPr>
          <w:ilvl w:val="0"/>
          <w:numId w:val="7"/>
        </w:numPr>
        <w:tabs>
          <w:tab w:val="clear" w:pos="720"/>
          <w:tab w:val="left" w:pos="0" w:leader="none"/>
        </w:tabs>
        <w:spacing w:lineRule="auto" w:line="480" w:before="0" w:after="0"/>
        <w:ind w:hanging="283" w:start="709"/>
        <w:rPr>
          <w:strike/>
          <w:color w:themeColor="accent1" w:themeShade="bf" w:val="2F5496"/>
        </w:rPr>
      </w:pPr>
      <w:r>
        <w:rPr>
          <w:rStyle w:val="Strong"/>
          <w:strike/>
          <w:color w:themeColor="accent1" w:themeShade="bf" w:val="2F5496"/>
        </w:rPr>
        <w:t>(iii) Compliance (COMID)</w:t>
      </w:r>
      <w:r>
        <w:rPr>
          <w:strike/>
          <w:color w:themeColor="accent1" w:themeShade="bf" w:val="2F5496"/>
        </w:rPr>
        <w:t xml:space="preserve">: A weighted composite (equal weights) of prudential-return timeliness (days late), CAMELS rating accuracy (audit discrepancies), and remediation speed (days to resolve CBN findings), normalized 0–100. This captures behavioral adherence beyond binary compliance. </w:t>
      </w:r>
    </w:p>
    <w:p>
      <w:pPr>
        <w:pStyle w:val="BodyText"/>
        <w:numPr>
          <w:ilvl w:val="0"/>
          <w:numId w:val="7"/>
        </w:numPr>
        <w:tabs>
          <w:tab w:val="clear" w:pos="720"/>
          <w:tab w:val="left" w:pos="0" w:leader="none"/>
        </w:tabs>
        <w:spacing w:lineRule="auto" w:line="480" w:before="0" w:after="0"/>
        <w:ind w:hanging="283" w:start="709"/>
        <w:rPr>
          <w:strike/>
          <w:color w:themeColor="accent1" w:themeShade="bf" w:val="2F5496"/>
        </w:rPr>
      </w:pPr>
      <w:r>
        <w:rPr>
          <w:rStyle w:val="Strong"/>
          <w:strike/>
          <w:color w:themeColor="accent1" w:themeShade="bf" w:val="2F5496"/>
        </w:rPr>
        <w:t>Audit Committee Independence</w:t>
      </w:r>
      <w:r>
        <w:rPr>
          <w:strike/>
          <w:color w:themeColor="accent1" w:themeShade="bf" w:val="2F5496"/>
        </w:rPr>
        <w:t xml:space="preserve">: Measured via 5 questionnaire items (7-point Likert, Cronbach’s α=0.85) assessing autonomy and effectiveness (e.g., “Audit committees operate free from shareholder influence”), informed by Adegbite (2014). </w:t>
      </w:r>
    </w:p>
    <w:p>
      <w:pPr>
        <w:pStyle w:val="BodyText"/>
        <w:numPr>
          <w:ilvl w:val="0"/>
          <w:numId w:val="7"/>
        </w:numPr>
        <w:tabs>
          <w:tab w:val="clear" w:pos="720"/>
          <w:tab w:val="left" w:pos="0" w:leader="none"/>
        </w:tabs>
        <w:spacing w:lineRule="auto" w:line="480" w:before="0" w:after="0"/>
        <w:ind w:hanging="283" w:start="709"/>
        <w:rPr>
          <w:strike/>
          <w:color w:themeColor="accent1" w:themeShade="bf" w:val="2F5496"/>
        </w:rPr>
      </w:pPr>
      <w:r>
        <w:rPr>
          <w:rStyle w:val="Strong"/>
          <w:strike/>
          <w:color w:themeColor="accent1" w:themeShade="bf" w:val="2F5496"/>
        </w:rPr>
        <w:t>Management Qualifications</w:t>
      </w:r>
      <w:r>
        <w:rPr>
          <w:strike/>
          <w:color w:themeColor="accent1" w:themeShade="bf" w:val="2F5496"/>
        </w:rPr>
        <w:t xml:space="preserve">: Measured via 4 questionnaire items (7-point Likert, α=0.82) assessing financial expertise and governance training (e.g., “Executives possess relevant certifications”), based on Nwoko et al. (2022). </w:t>
      </w:r>
    </w:p>
    <w:p>
      <w:pPr>
        <w:pStyle w:val="BodyText"/>
        <w:numPr>
          <w:ilvl w:val="0"/>
          <w:numId w:val="7"/>
        </w:numPr>
        <w:tabs>
          <w:tab w:val="clear" w:pos="720"/>
          <w:tab w:val="left" w:pos="0" w:leader="none"/>
        </w:tabs>
        <w:spacing w:lineRule="auto" w:line="480"/>
        <w:ind w:hanging="283" w:start="709"/>
        <w:rPr>
          <w:strike/>
          <w:color w:themeColor="accent1" w:themeShade="bf" w:val="2F5496"/>
        </w:rPr>
      </w:pPr>
      <w:r>
        <w:rPr>
          <w:rStyle w:val="Strong"/>
          <w:strike/>
          <w:color w:themeColor="accent1" w:themeShade="bf" w:val="2F5496"/>
        </w:rPr>
        <w:t>Regulatory Clarity</w:t>
      </w:r>
      <w:r>
        <w:rPr>
          <w:strike/>
          <w:color w:themeColor="accent1" w:themeShade="bf" w:val="2F5496"/>
        </w:rPr>
        <w:t xml:space="preserve">: Measured via 6 questionnaire items (7-point Likert, α=0.88) assessing regulatory consistency (e.g., “Harmonized regulations reduce compliance ambiguity”), drawn from Abdulmalik and Ahmad (2020). </w:t>
      </w:r>
    </w:p>
    <w:p>
      <w:pPr>
        <w:pStyle w:val="BodyText"/>
        <w:spacing w:lineRule="auto" w:line="480"/>
        <w:ind w:hanging="0" w:start="0" w:end="0"/>
        <w:rPr>
          <w:strike/>
          <w:color w:themeColor="accent1" w:themeShade="bf" w:val="2F5496"/>
        </w:rPr>
      </w:pPr>
      <w:r>
        <w:rPr>
          <w:rStyle w:val="Strong"/>
          <w:strike/>
          <w:color w:themeColor="accent1" w:themeShade="bf" w:val="2F5496"/>
        </w:rPr>
        <w:t>Control Variables</w:t>
      </w:r>
    </w:p>
    <w:p>
      <w:pPr>
        <w:pStyle w:val="BodyText"/>
        <w:numPr>
          <w:ilvl w:val="0"/>
          <w:numId w:val="8"/>
        </w:numPr>
        <w:tabs>
          <w:tab w:val="clear" w:pos="720"/>
          <w:tab w:val="left" w:pos="0" w:leader="none"/>
        </w:tabs>
        <w:spacing w:lineRule="auto" w:line="480"/>
        <w:ind w:hanging="283" w:start="709"/>
        <w:rPr>
          <w:strike/>
          <w:color w:themeColor="accent1" w:themeShade="bf" w:val="2F5496"/>
        </w:rPr>
      </w:pPr>
      <w:r>
        <w:rPr>
          <w:rStyle w:val="Strong"/>
          <w:strike/>
          <w:color w:themeColor="accent1" w:themeShade="bf" w:val="2F5496"/>
        </w:rPr>
        <w:t>Log of GDP per capita (LnGDPPC)</w:t>
      </w:r>
      <w:r>
        <w:rPr>
          <w:strike/>
          <w:color w:themeColor="accent1" w:themeShade="bf" w:val="2F5496"/>
        </w:rPr>
        <w:t xml:space="preserve">: Natural log of constant 2010 US$ values (World Bank, </w:t>
      </w:r>
      <w:r>
        <w:rPr>
          <w:rStyle w:val="Strong"/>
          <w:strike/>
          <w:color w:themeColor="accent1" w:themeShade="bf" w:val="2F5496"/>
        </w:rPr>
        <w:t>2024</w:t>
      </w:r>
      <w:r>
        <w:rPr>
          <w:strike/>
          <w:color w:themeColor="accent1" w:themeShade="bf" w:val="2F5496"/>
        </w:rPr>
        <w:t xml:space="preserve">), controlling for cyclical repayment capacity (e.g., $2,447.64 in 2024). Additional controls in regressions include bank size (log total assets) and inflation (CBN, </w:t>
      </w:r>
      <w:r>
        <w:rPr>
          <w:rStyle w:val="Strong"/>
          <w:strike/>
          <w:color w:themeColor="accent1" w:themeShade="bf" w:val="2F5496"/>
        </w:rPr>
        <w:t>2024</w:t>
      </w:r>
      <w:r>
        <w:rPr>
          <w:strike/>
          <w:color w:themeColor="accent1" w:themeShade="bf" w:val="2F5496"/>
        </w:rPr>
        <w:t xml:space="preserve">). </w:t>
      </w:r>
    </w:p>
    <w:p>
      <w:pPr>
        <w:pStyle w:val="BodyText"/>
        <w:spacing w:lineRule="auto" w:line="480"/>
        <w:ind w:hanging="0" w:start="0" w:end="0"/>
        <w:rPr>
          <w:strike/>
          <w:color w:themeColor="accent1" w:themeShade="bf" w:val="2F5496"/>
        </w:rPr>
      </w:pPr>
      <w:r>
        <w:rPr>
          <w:rStyle w:val="Strong"/>
          <w:strike/>
          <w:color w:themeColor="accent1" w:themeShade="bf" w:val="2F5496"/>
        </w:rPr>
        <w:t>For RQ2–RQ4, questionnaire items (7-point Likert) operationalize constructs: e.g., audit committee independence (5 items, Cronbach's α=0.85), management qualifications (4 items, α=0.82), regulatory clarity (6 items, α=0.88). Interview guides probe these qualitatively.</w:t>
      </w:r>
    </w:p>
    <w:p>
      <w:pPr>
        <w:pStyle w:val="BodyText"/>
        <w:spacing w:lineRule="auto" w:line="480"/>
        <w:ind w:hanging="0" w:start="0" w:end="0"/>
        <w:rPr>
          <w:strike/>
          <w:color w:themeColor="accent1" w:themeShade="bf" w:val="2F5496"/>
        </w:rPr>
      </w:pPr>
      <w:r>
        <w:rPr>
          <w:rStyle w:val="Strong"/>
          <w:strike/>
          <w:color w:themeColor="accent1" w:themeShade="bf" w:val="2F5496"/>
        </w:rPr>
        <w:t>Table 3.2: Variable Definition and Measurement</w:t>
      </w:r>
    </w:p>
    <w:tbl>
      <w:tblPr>
        <w:tblW w:w="9972" w:type="dxa"/>
        <w:jc w:val="start"/>
        <w:tblInd w:w="0" w:type="dxa"/>
        <w:tblLayout w:type="fixed"/>
        <w:tblCellMar>
          <w:top w:w="28" w:type="dxa"/>
          <w:start w:w="28" w:type="dxa"/>
          <w:bottom w:w="28" w:type="dxa"/>
          <w:end w:w="28" w:type="dxa"/>
        </w:tblCellMar>
      </w:tblPr>
      <w:tblGrid>
        <w:gridCol w:w="2104"/>
        <w:gridCol w:w="2119"/>
        <w:gridCol w:w="3525"/>
        <w:gridCol w:w="2224"/>
      </w:tblGrid>
      <w:tr>
        <w:trPr>
          <w:tblHeader w:val="true"/>
        </w:trPr>
        <w:tc>
          <w:tcPr>
            <w:tcW w:w="2104" w:type="dxa"/>
            <w:tcBorders/>
            <w:vAlign w:val="center"/>
          </w:tcPr>
          <w:p>
            <w:pPr>
              <w:pStyle w:val="TableHeading"/>
              <w:rPr/>
            </w:pPr>
            <w:r>
              <w:rPr>
                <w:rStyle w:val="Strong"/>
                <w:b/>
                <w:bCs/>
              </w:rPr>
              <w:t>Variable</w:t>
            </w:r>
          </w:p>
        </w:tc>
        <w:tc>
          <w:tcPr>
            <w:tcW w:w="2119" w:type="dxa"/>
            <w:tcBorders/>
            <w:vAlign w:val="center"/>
          </w:tcPr>
          <w:p>
            <w:pPr>
              <w:pStyle w:val="TableHeading"/>
              <w:rPr/>
            </w:pPr>
            <w:r>
              <w:rPr>
                <w:rStyle w:val="Strong"/>
                <w:b/>
                <w:bCs/>
              </w:rPr>
              <w:t>Description</w:t>
            </w:r>
          </w:p>
        </w:tc>
        <w:tc>
          <w:tcPr>
            <w:tcW w:w="3525" w:type="dxa"/>
            <w:tcBorders/>
            <w:vAlign w:val="center"/>
          </w:tcPr>
          <w:p>
            <w:pPr>
              <w:pStyle w:val="TableHeading"/>
              <w:rPr/>
            </w:pPr>
            <w:r>
              <w:rPr>
                <w:rStyle w:val="Strong"/>
                <w:b/>
                <w:bCs/>
              </w:rPr>
              <w:t>Construction</w:t>
            </w:r>
          </w:p>
        </w:tc>
        <w:tc>
          <w:tcPr>
            <w:tcW w:w="2224" w:type="dxa"/>
            <w:tcBorders/>
            <w:vAlign w:val="center"/>
          </w:tcPr>
          <w:p>
            <w:pPr>
              <w:pStyle w:val="TableHeading"/>
              <w:ind w:hanging="0" w:start="0" w:end="0"/>
              <w:rPr/>
            </w:pPr>
            <w:r>
              <w:rPr>
                <w:rStyle w:val="Strong"/>
                <w:b/>
                <w:bCs/>
              </w:rPr>
              <w:t>Source</w:t>
            </w:r>
          </w:p>
        </w:tc>
      </w:tr>
      <w:tr>
        <w:trPr/>
        <w:tc>
          <w:tcPr>
            <w:tcW w:w="2104" w:type="dxa"/>
            <w:tcBorders/>
            <w:vAlign w:val="center"/>
          </w:tcPr>
          <w:p>
            <w:pPr>
              <w:pStyle w:val="TableContents"/>
              <w:ind w:hanging="0" w:start="0" w:end="0"/>
              <w:rPr/>
            </w:pPr>
            <w:r>
              <w:rPr>
                <w:rStyle w:val="Strong"/>
              </w:rPr>
              <w:t>NPLR</w:t>
            </w:r>
          </w:p>
        </w:tc>
        <w:tc>
          <w:tcPr>
            <w:tcW w:w="2119" w:type="dxa"/>
            <w:tcBorders/>
            <w:vAlign w:val="center"/>
          </w:tcPr>
          <w:p>
            <w:pPr>
              <w:pStyle w:val="TableContents"/>
              <w:ind w:hanging="0" w:start="0" w:end="0"/>
              <w:rPr/>
            </w:pPr>
            <w:r>
              <w:rPr/>
              <w:t>Non-performing loan ratio</w:t>
            </w:r>
          </w:p>
        </w:tc>
        <w:tc>
          <w:tcPr>
            <w:tcW w:w="3525" w:type="dxa"/>
            <w:tcBorders/>
            <w:vAlign w:val="center"/>
          </w:tcPr>
          <w:p>
            <w:pPr>
              <w:pStyle w:val="TableContents"/>
              <w:ind w:hanging="0" w:start="0" w:end="0"/>
              <w:rPr/>
            </w:pPr>
            <w:r>
              <w:rPr/>
              <w:t>IFRS-9 Stage-3 assets / gross loans (%)</w:t>
            </w:r>
          </w:p>
        </w:tc>
        <w:tc>
          <w:tcPr>
            <w:tcW w:w="2224" w:type="dxa"/>
            <w:tcBorders/>
            <w:vAlign w:val="center"/>
          </w:tcPr>
          <w:p>
            <w:pPr>
              <w:pStyle w:val="TableContents"/>
              <w:ind w:hanging="0" w:start="0" w:end="0"/>
              <w:rPr/>
            </w:pPr>
            <w:r>
              <w:rPr/>
              <w:t>Annual reports, CBN</w:t>
            </w:r>
          </w:p>
        </w:tc>
      </w:tr>
      <w:tr>
        <w:trPr/>
        <w:tc>
          <w:tcPr>
            <w:tcW w:w="2104" w:type="dxa"/>
            <w:tcBorders/>
            <w:vAlign w:val="center"/>
          </w:tcPr>
          <w:p>
            <w:pPr>
              <w:pStyle w:val="TableContents"/>
              <w:ind w:hanging="0" w:start="0" w:end="0"/>
              <w:rPr/>
            </w:pPr>
            <w:r>
              <w:rPr>
                <w:rStyle w:val="Strong"/>
              </w:rPr>
              <w:t>CGDI</w:t>
            </w:r>
          </w:p>
        </w:tc>
        <w:tc>
          <w:tcPr>
            <w:tcW w:w="2119" w:type="dxa"/>
            <w:tcBorders/>
            <w:vAlign w:val="center"/>
          </w:tcPr>
          <w:p>
            <w:pPr>
              <w:pStyle w:val="TableContents"/>
              <w:ind w:hanging="0" w:start="0" w:end="0"/>
              <w:rPr/>
            </w:pPr>
            <w:r>
              <w:rPr/>
              <w:t>Disclosure index</w:t>
            </w:r>
          </w:p>
        </w:tc>
        <w:tc>
          <w:tcPr>
            <w:tcW w:w="3525" w:type="dxa"/>
            <w:tcBorders/>
            <w:vAlign w:val="center"/>
          </w:tcPr>
          <w:p>
            <w:pPr>
              <w:pStyle w:val="TableContents"/>
              <w:ind w:hanging="0" w:start="0" w:end="0"/>
              <w:rPr/>
            </w:pPr>
            <w:r>
              <w:rPr/>
              <w:t>60-item disclosure checklist / 60 × 100</w:t>
            </w:r>
          </w:p>
        </w:tc>
        <w:tc>
          <w:tcPr>
            <w:tcW w:w="2224" w:type="dxa"/>
            <w:tcBorders/>
            <w:vAlign w:val="center"/>
          </w:tcPr>
          <w:p>
            <w:pPr>
              <w:pStyle w:val="TableContents"/>
              <w:ind w:hanging="0" w:start="0" w:end="0"/>
              <w:rPr/>
            </w:pPr>
            <w:r>
              <w:rPr/>
              <w:t>Annual reports, OECD/CBN templates</w:t>
            </w:r>
          </w:p>
        </w:tc>
      </w:tr>
      <w:tr>
        <w:trPr/>
        <w:tc>
          <w:tcPr>
            <w:tcW w:w="2104" w:type="dxa"/>
            <w:tcBorders/>
            <w:vAlign w:val="center"/>
          </w:tcPr>
          <w:p>
            <w:pPr>
              <w:pStyle w:val="TableContents"/>
              <w:ind w:hanging="0" w:start="0" w:end="0"/>
              <w:rPr/>
            </w:pPr>
            <w:r>
              <w:rPr>
                <w:rStyle w:val="Strong"/>
              </w:rPr>
              <w:t>OPEFF</w:t>
            </w:r>
          </w:p>
        </w:tc>
        <w:tc>
          <w:tcPr>
            <w:tcW w:w="2119" w:type="dxa"/>
            <w:tcBorders/>
            <w:vAlign w:val="center"/>
          </w:tcPr>
          <w:p>
            <w:pPr>
              <w:pStyle w:val="TableContents"/>
              <w:ind w:hanging="0" w:start="0" w:end="0"/>
              <w:rPr/>
            </w:pPr>
            <w:r>
              <w:rPr/>
              <w:t>Practice index</w:t>
            </w:r>
          </w:p>
        </w:tc>
        <w:tc>
          <w:tcPr>
            <w:tcW w:w="3525" w:type="dxa"/>
            <w:tcBorders/>
            <w:vAlign w:val="center"/>
          </w:tcPr>
          <w:p>
            <w:pPr>
              <w:pStyle w:val="TableContents"/>
              <w:ind w:hanging="0" w:start="0" w:end="0"/>
              <w:rPr/>
            </w:pPr>
            <w:r>
              <w:rPr/>
              <w:t>100 × (1 – cost-to-income ratio)</w:t>
            </w:r>
          </w:p>
        </w:tc>
        <w:tc>
          <w:tcPr>
            <w:tcW w:w="2224" w:type="dxa"/>
            <w:tcBorders/>
            <w:vAlign w:val="center"/>
          </w:tcPr>
          <w:p>
            <w:pPr>
              <w:pStyle w:val="TableContents"/>
              <w:ind w:hanging="0" w:start="0" w:end="0"/>
              <w:rPr/>
            </w:pPr>
            <w:r>
              <w:rPr/>
              <w:t>Bank income statements</w:t>
            </w:r>
          </w:p>
        </w:tc>
      </w:tr>
      <w:tr>
        <w:trPr/>
        <w:tc>
          <w:tcPr>
            <w:tcW w:w="2104" w:type="dxa"/>
            <w:tcBorders/>
            <w:vAlign w:val="center"/>
          </w:tcPr>
          <w:p>
            <w:pPr>
              <w:pStyle w:val="TableContents"/>
              <w:ind w:hanging="0" w:start="0" w:end="0"/>
              <w:rPr/>
            </w:pPr>
            <w:r>
              <w:rPr>
                <w:rStyle w:val="Strong"/>
              </w:rPr>
              <w:t>COMID</w:t>
            </w:r>
          </w:p>
        </w:tc>
        <w:tc>
          <w:tcPr>
            <w:tcW w:w="2119" w:type="dxa"/>
            <w:tcBorders/>
            <w:vAlign w:val="center"/>
          </w:tcPr>
          <w:p>
            <w:pPr>
              <w:pStyle w:val="TableContents"/>
              <w:ind w:hanging="0" w:start="0" w:end="0"/>
              <w:rPr/>
            </w:pPr>
            <w:r>
              <w:rPr/>
              <w:t>Compliance index</w:t>
            </w:r>
          </w:p>
        </w:tc>
        <w:tc>
          <w:tcPr>
            <w:tcW w:w="3525" w:type="dxa"/>
            <w:tcBorders/>
            <w:vAlign w:val="center"/>
          </w:tcPr>
          <w:p>
            <w:pPr>
              <w:pStyle w:val="TableContents"/>
              <w:ind w:hanging="0" w:start="0" w:end="0"/>
              <w:rPr/>
            </w:pPr>
            <w:r>
              <w:rPr/>
              <w:t>Weighted composite of return accuracy, CAMELS, remediation speed (0–100)</w:t>
            </w:r>
          </w:p>
        </w:tc>
        <w:tc>
          <w:tcPr>
            <w:tcW w:w="2224" w:type="dxa"/>
            <w:tcBorders/>
            <w:vAlign w:val="center"/>
          </w:tcPr>
          <w:p>
            <w:pPr>
              <w:pStyle w:val="TableContents"/>
              <w:ind w:hanging="0" w:start="0" w:end="0"/>
              <w:rPr/>
            </w:pPr>
            <w:r>
              <w:rPr/>
              <w:t>CBN supervision archives</w:t>
            </w:r>
          </w:p>
        </w:tc>
      </w:tr>
      <w:tr>
        <w:trPr/>
        <w:tc>
          <w:tcPr>
            <w:tcW w:w="2104" w:type="dxa"/>
            <w:tcBorders/>
            <w:vAlign w:val="center"/>
          </w:tcPr>
          <w:p>
            <w:pPr>
              <w:pStyle w:val="TableContents"/>
              <w:ind w:hanging="0" w:start="0" w:end="0"/>
              <w:rPr/>
            </w:pPr>
            <w:r>
              <w:rPr>
                <w:rStyle w:val="Strong"/>
              </w:rPr>
              <w:t>Audit Committee Independence</w:t>
            </w:r>
          </w:p>
        </w:tc>
        <w:tc>
          <w:tcPr>
            <w:tcW w:w="2119" w:type="dxa"/>
            <w:tcBorders/>
            <w:vAlign w:val="center"/>
          </w:tcPr>
          <w:p>
            <w:pPr>
              <w:pStyle w:val="TableContents"/>
              <w:ind w:hanging="0" w:start="0" w:end="0"/>
              <w:rPr/>
            </w:pPr>
            <w:r>
              <w:rPr/>
              <w:t>Autonomy and effectiveness</w:t>
            </w:r>
          </w:p>
        </w:tc>
        <w:tc>
          <w:tcPr>
            <w:tcW w:w="3525" w:type="dxa"/>
            <w:tcBorders/>
            <w:vAlign w:val="center"/>
          </w:tcPr>
          <w:p>
            <w:pPr>
              <w:pStyle w:val="TableContents"/>
              <w:ind w:hanging="0" w:start="0" w:end="0"/>
              <w:rPr/>
            </w:pPr>
            <w:r>
              <w:rPr/>
              <w:t>5-item Likert scale (α=0.85)</w:t>
            </w:r>
          </w:p>
        </w:tc>
        <w:tc>
          <w:tcPr>
            <w:tcW w:w="2224" w:type="dxa"/>
            <w:tcBorders/>
            <w:vAlign w:val="center"/>
          </w:tcPr>
          <w:p>
            <w:pPr>
              <w:pStyle w:val="TableContents"/>
              <w:ind w:hanging="0" w:start="0" w:end="0"/>
              <w:rPr/>
            </w:pPr>
            <w:r>
              <w:rPr/>
              <w:t>Questionnaire responses</w:t>
            </w:r>
          </w:p>
        </w:tc>
      </w:tr>
      <w:tr>
        <w:trPr/>
        <w:tc>
          <w:tcPr>
            <w:tcW w:w="2104" w:type="dxa"/>
            <w:tcBorders/>
            <w:vAlign w:val="center"/>
          </w:tcPr>
          <w:p>
            <w:pPr>
              <w:pStyle w:val="TableContents"/>
              <w:ind w:hanging="0" w:start="0" w:end="0"/>
              <w:rPr/>
            </w:pPr>
            <w:r>
              <w:rPr>
                <w:rStyle w:val="Strong"/>
              </w:rPr>
              <w:t>Management Qualifications</w:t>
            </w:r>
          </w:p>
        </w:tc>
        <w:tc>
          <w:tcPr>
            <w:tcW w:w="2119" w:type="dxa"/>
            <w:tcBorders/>
            <w:vAlign w:val="center"/>
          </w:tcPr>
          <w:p>
            <w:pPr>
              <w:pStyle w:val="TableContents"/>
              <w:ind w:hanging="0" w:start="0" w:end="0"/>
              <w:rPr/>
            </w:pPr>
            <w:r>
              <w:rPr/>
              <w:t>Financial expertise and training</w:t>
            </w:r>
          </w:p>
        </w:tc>
        <w:tc>
          <w:tcPr>
            <w:tcW w:w="3525" w:type="dxa"/>
            <w:tcBorders/>
            <w:vAlign w:val="center"/>
          </w:tcPr>
          <w:p>
            <w:pPr>
              <w:pStyle w:val="TableContents"/>
              <w:ind w:hanging="0" w:start="0" w:end="0"/>
              <w:rPr/>
            </w:pPr>
            <w:r>
              <w:rPr/>
              <w:t>4-item Likert scale (α=0.82)</w:t>
            </w:r>
          </w:p>
        </w:tc>
        <w:tc>
          <w:tcPr>
            <w:tcW w:w="2224" w:type="dxa"/>
            <w:tcBorders/>
            <w:vAlign w:val="center"/>
          </w:tcPr>
          <w:p>
            <w:pPr>
              <w:pStyle w:val="TableContents"/>
              <w:ind w:hanging="0" w:start="0" w:end="0"/>
              <w:rPr/>
            </w:pPr>
            <w:r>
              <w:rPr/>
              <w:t>Questionnaire responses</w:t>
            </w:r>
          </w:p>
        </w:tc>
      </w:tr>
      <w:tr>
        <w:trPr/>
        <w:tc>
          <w:tcPr>
            <w:tcW w:w="2104" w:type="dxa"/>
            <w:tcBorders/>
            <w:vAlign w:val="center"/>
          </w:tcPr>
          <w:p>
            <w:pPr>
              <w:pStyle w:val="TableContents"/>
              <w:ind w:hanging="0" w:start="0" w:end="0"/>
              <w:rPr/>
            </w:pPr>
            <w:r>
              <w:rPr>
                <w:rStyle w:val="Strong"/>
              </w:rPr>
              <w:t>Regulatory Clarity</w:t>
            </w:r>
          </w:p>
        </w:tc>
        <w:tc>
          <w:tcPr>
            <w:tcW w:w="2119" w:type="dxa"/>
            <w:tcBorders/>
            <w:vAlign w:val="center"/>
          </w:tcPr>
          <w:p>
            <w:pPr>
              <w:pStyle w:val="TableContents"/>
              <w:ind w:hanging="0" w:start="0" w:end="0"/>
              <w:rPr/>
            </w:pPr>
            <w:r>
              <w:rPr/>
              <w:t>Regulatory consistency</w:t>
            </w:r>
          </w:p>
        </w:tc>
        <w:tc>
          <w:tcPr>
            <w:tcW w:w="3525" w:type="dxa"/>
            <w:tcBorders/>
            <w:vAlign w:val="center"/>
          </w:tcPr>
          <w:p>
            <w:pPr>
              <w:pStyle w:val="TableContents"/>
              <w:ind w:hanging="0" w:start="0" w:end="0"/>
              <w:rPr/>
            </w:pPr>
            <w:r>
              <w:rPr/>
              <w:t>6-item Likert scale (α=0.88)</w:t>
            </w:r>
          </w:p>
        </w:tc>
        <w:tc>
          <w:tcPr>
            <w:tcW w:w="2224" w:type="dxa"/>
            <w:tcBorders/>
            <w:vAlign w:val="center"/>
          </w:tcPr>
          <w:p>
            <w:pPr>
              <w:pStyle w:val="TableContents"/>
              <w:ind w:hanging="0" w:start="0" w:end="0"/>
              <w:rPr/>
            </w:pPr>
            <w:r>
              <w:rPr/>
              <w:t>Questionnaire responses</w:t>
            </w:r>
          </w:p>
        </w:tc>
      </w:tr>
      <w:tr>
        <w:trPr/>
        <w:tc>
          <w:tcPr>
            <w:tcW w:w="2104" w:type="dxa"/>
            <w:tcBorders/>
            <w:vAlign w:val="center"/>
          </w:tcPr>
          <w:p>
            <w:pPr>
              <w:pStyle w:val="TableContents"/>
              <w:ind w:hanging="0" w:start="0" w:end="0"/>
              <w:rPr/>
            </w:pPr>
            <w:r>
              <w:rPr>
                <w:rStyle w:val="Strong"/>
              </w:rPr>
              <w:t>LnGDPPC</w:t>
            </w:r>
          </w:p>
        </w:tc>
        <w:tc>
          <w:tcPr>
            <w:tcW w:w="2119" w:type="dxa"/>
            <w:tcBorders/>
            <w:vAlign w:val="center"/>
          </w:tcPr>
          <w:p>
            <w:pPr>
              <w:pStyle w:val="TableContents"/>
              <w:ind w:hanging="0" w:start="0" w:end="0"/>
              <w:rPr/>
            </w:pPr>
            <w:r>
              <w:rPr/>
              <w:t>Macro control</w:t>
            </w:r>
          </w:p>
        </w:tc>
        <w:tc>
          <w:tcPr>
            <w:tcW w:w="3525" w:type="dxa"/>
            <w:tcBorders/>
            <w:vAlign w:val="center"/>
          </w:tcPr>
          <w:p>
            <w:pPr>
              <w:pStyle w:val="TableContents"/>
              <w:ind w:hanging="0" w:start="0" w:end="0"/>
              <w:rPr/>
            </w:pPr>
            <w:r>
              <w:rPr/>
              <w:t>ln(GDP per capita, 2010 US$)</w:t>
            </w:r>
          </w:p>
        </w:tc>
        <w:tc>
          <w:tcPr>
            <w:tcW w:w="2224" w:type="dxa"/>
            <w:tcBorders/>
            <w:vAlign w:val="center"/>
          </w:tcPr>
          <w:p>
            <w:pPr>
              <w:pStyle w:val="TableContents"/>
              <w:ind w:hanging="0" w:start="0" w:end="0"/>
              <w:rPr/>
            </w:pPr>
            <w:r>
              <w:rPr/>
              <w:t>World Bank Development Indicators</w:t>
            </w:r>
          </w:p>
        </w:tc>
      </w:tr>
      <w:tr>
        <w:trPr/>
        <w:tc>
          <w:tcPr>
            <w:tcW w:w="2104" w:type="dxa"/>
            <w:tcBorders/>
            <w:vAlign w:val="center"/>
          </w:tcPr>
          <w:p>
            <w:pPr>
              <w:pStyle w:val="TableContents"/>
              <w:ind w:hanging="0" w:start="0" w:end="0"/>
              <w:rPr/>
            </w:pPr>
            <w:r>
              <w:rPr>
                <w:rStyle w:val="Strong"/>
              </w:rPr>
              <w:t>Bank Size</w:t>
            </w:r>
          </w:p>
        </w:tc>
        <w:tc>
          <w:tcPr>
            <w:tcW w:w="2119" w:type="dxa"/>
            <w:tcBorders/>
            <w:vAlign w:val="center"/>
          </w:tcPr>
          <w:p>
            <w:pPr>
              <w:pStyle w:val="TableContents"/>
              <w:ind w:hanging="0" w:start="0" w:end="0"/>
              <w:rPr/>
            </w:pPr>
            <w:r>
              <w:rPr/>
              <w:t>Total assets</w:t>
            </w:r>
          </w:p>
        </w:tc>
        <w:tc>
          <w:tcPr>
            <w:tcW w:w="3525" w:type="dxa"/>
            <w:tcBorders/>
            <w:vAlign w:val="center"/>
          </w:tcPr>
          <w:p>
            <w:pPr>
              <w:pStyle w:val="TableContents"/>
              <w:ind w:hanging="0" w:start="0" w:end="0"/>
              <w:rPr/>
            </w:pPr>
            <w:r>
              <w:rPr/>
              <w:t>ln(total assets)</w:t>
            </w:r>
          </w:p>
        </w:tc>
        <w:tc>
          <w:tcPr>
            <w:tcW w:w="2224" w:type="dxa"/>
            <w:tcBorders/>
            <w:vAlign w:val="center"/>
          </w:tcPr>
          <w:p>
            <w:pPr>
              <w:pStyle w:val="TableContents"/>
              <w:ind w:hanging="0" w:start="0" w:end="0"/>
              <w:rPr/>
            </w:pPr>
            <w:r>
              <w:rPr/>
              <w:t>Bank financial statements</w:t>
            </w:r>
          </w:p>
        </w:tc>
      </w:tr>
      <w:tr>
        <w:trPr/>
        <w:tc>
          <w:tcPr>
            <w:tcW w:w="2104" w:type="dxa"/>
            <w:tcBorders/>
            <w:vAlign w:val="center"/>
          </w:tcPr>
          <w:p>
            <w:pPr>
              <w:pStyle w:val="TableContents"/>
              <w:ind w:hanging="0" w:start="0" w:end="0"/>
              <w:rPr/>
            </w:pPr>
            <w:r>
              <w:rPr>
                <w:rStyle w:val="Strong"/>
              </w:rPr>
              <w:t>Inflation</w:t>
            </w:r>
          </w:p>
        </w:tc>
        <w:tc>
          <w:tcPr>
            <w:tcW w:w="2119" w:type="dxa"/>
            <w:tcBorders/>
            <w:vAlign w:val="center"/>
          </w:tcPr>
          <w:p>
            <w:pPr>
              <w:pStyle w:val="TableContents"/>
              <w:ind w:hanging="0" w:start="0" w:end="0"/>
              <w:rPr/>
            </w:pPr>
            <w:r>
              <w:rPr/>
              <w:t>Macro control</w:t>
            </w:r>
          </w:p>
        </w:tc>
        <w:tc>
          <w:tcPr>
            <w:tcW w:w="3525" w:type="dxa"/>
            <w:tcBorders/>
            <w:vAlign w:val="center"/>
          </w:tcPr>
          <w:p>
            <w:pPr>
              <w:pStyle w:val="TableContents"/>
              <w:ind w:hanging="0" w:start="0" w:end="0"/>
              <w:rPr/>
            </w:pPr>
            <w:r>
              <w:rPr/>
              <w:t>Annual inflation rate (%)</w:t>
            </w:r>
          </w:p>
        </w:tc>
        <w:tc>
          <w:tcPr>
            <w:tcW w:w="2224" w:type="dxa"/>
            <w:tcBorders/>
            <w:vAlign w:val="center"/>
          </w:tcPr>
          <w:p>
            <w:pPr>
              <w:pStyle w:val="TableContents"/>
              <w:rPr/>
            </w:pPr>
            <w:r>
              <w:rPr/>
              <w:t>CBN</w:t>
            </w:r>
          </w:p>
        </w:tc>
      </w:tr>
    </w:tbl>
    <w:p>
      <w:pPr>
        <w:pStyle w:val="Normal"/>
        <w:rPr>
          <w:strike/>
          <w:color w:themeColor="accent1" w:themeShade="bf" w:val="2F5496"/>
        </w:rPr>
      </w:pPr>
      <w:r>
        <w:rPr>
          <w:strike/>
          <w:color w:themeColor="accent1" w:themeShade="bf" w:val="2F5496"/>
        </w:rPr>
      </w:r>
      <w:r>
        <w:br w:type="page"/>
      </w:r>
    </w:p>
    <w:p>
      <w:pPr>
        <w:pStyle w:val="Heading3"/>
        <w:numPr>
          <w:ilvl w:val="1"/>
          <w:numId w:val="2"/>
        </w:numPr>
        <w:spacing w:before="0" w:after="0"/>
        <w:rPr>
          <w:rFonts w:eastAsia="Times New Roman" w:cs="Times New Roman"/>
        </w:rPr>
      </w:pPr>
      <w:r>
        <w:rPr>
          <w:rFonts w:eastAsia="Times New Roman" w:cs="Times New Roman"/>
        </w:rPr>
        <w:t>Data Analysis Procedures</w:t>
      </w:r>
    </w:p>
    <w:p>
      <w:pPr>
        <w:pStyle w:val="BodyText"/>
        <w:spacing w:lineRule="auto" w:line="480"/>
        <w:rPr/>
      </w:pPr>
      <w:r>
        <w:rPr>
          <w:rStyle w:val="Strong"/>
        </w:rPr>
        <w:t>This section outlines the methods used to examine the impact of corporate governance indices (disclosure, practice, compliance), audit committee independence, management qualifications, and regulatory clarity on Non-Performing Loan (NPL) ratios in Nigerian Deposit Money Banks (DMBs). By integrating quantitative data from 230 valid questionnaire responses (57.5% response rate from 400 distributed) among Abuja banking professionals with qualitative insights from 10 semi-structured interviews (50% response rate from 20 scheduled) with senior executives, the study ensures a robust analysis aligned with research objectives (OB1–OB4) and hypotheses (H1–H4). Quantitative data are processed using SPSS v28 for empirical relationships, while qualitative data are analyzed via NVivo v14 for contextual depth.</w:t>
      </w:r>
      <w:r>
        <w:rPr/>
        <w:t xml:space="preserve"> Data triangulation, guided by agency theory (Jensen &amp; Meckling, 1976) to address principal-agent conflicts and stakeholder theory (Freeman, 1984) for inclusive accountability, enhances validity and resolves discrepancies through meta-inferences. This approach navigates Nigeria’s </w:t>
      </w:r>
      <w:r>
        <w:rPr>
          <w:rStyle w:val="Strong"/>
        </w:rPr>
        <w:t>deposit money banking</w:t>
      </w:r>
      <w:r>
        <w:rPr/>
        <w:t xml:space="preserve"> sector complexities, including </w:t>
      </w:r>
      <w:r>
        <w:rPr>
          <w:rStyle w:val="Strong"/>
        </w:rPr>
        <w:t>regulatory volatility</w:t>
      </w:r>
      <w:r>
        <w:rPr/>
        <w:t xml:space="preserve"> and data opacity, filling post-</w:t>
      </w:r>
      <w:r>
        <w:rPr>
          <w:rStyle w:val="Strong"/>
        </w:rPr>
        <w:t>2009</w:t>
      </w:r>
      <w:r>
        <w:rPr/>
        <w:t xml:space="preserve"> governance research gaps (Osita et al., 2019; OECD, 2023; BCBS, 2010; Natufe &amp; Evbayiro-Osagie, 2023). </w:t>
      </w:r>
      <w:r>
        <w:rPr>
          <w:rStyle w:val="Strong"/>
        </w:rPr>
        <w:t>Table 3.3 summarizes data types, sources, and applications for clarity.</w:t>
      </w:r>
    </w:p>
    <w:p>
      <w:pPr>
        <w:pStyle w:val="BodyText"/>
        <w:spacing w:lineRule="auto" w:line="480"/>
        <w:ind w:hanging="0" w:start="0" w:end="0"/>
        <w:rPr/>
      </w:pPr>
      <w:r>
        <w:rPr>
          <w:rStyle w:val="Strong"/>
        </w:rPr>
        <w:t>Table 3.3: Data Types, Sources, and Applications</w:t>
      </w:r>
    </w:p>
    <w:tbl>
      <w:tblPr>
        <w:tblW w:w="9972" w:type="dxa"/>
        <w:jc w:val="start"/>
        <w:tblInd w:w="0" w:type="dxa"/>
        <w:tblLayout w:type="fixed"/>
        <w:tblCellMar>
          <w:top w:w="28" w:type="dxa"/>
          <w:start w:w="28" w:type="dxa"/>
          <w:bottom w:w="28" w:type="dxa"/>
          <w:end w:w="28" w:type="dxa"/>
        </w:tblCellMar>
      </w:tblPr>
      <w:tblGrid>
        <w:gridCol w:w="1414"/>
        <w:gridCol w:w="3196"/>
        <w:gridCol w:w="5362"/>
      </w:tblGrid>
      <w:tr>
        <w:trPr>
          <w:tblHeader w:val="true"/>
        </w:trPr>
        <w:tc>
          <w:tcPr>
            <w:tcW w:w="1414" w:type="dxa"/>
            <w:tcBorders/>
            <w:vAlign w:val="center"/>
          </w:tcPr>
          <w:p>
            <w:pPr>
              <w:pStyle w:val="TableHeading"/>
              <w:rPr/>
            </w:pPr>
            <w:r>
              <w:rPr>
                <w:rStyle w:val="Strong"/>
                <w:b/>
                <w:bCs/>
              </w:rPr>
              <w:t>Data Type</w:t>
            </w:r>
          </w:p>
        </w:tc>
        <w:tc>
          <w:tcPr>
            <w:tcW w:w="3196" w:type="dxa"/>
            <w:tcBorders/>
            <w:vAlign w:val="center"/>
          </w:tcPr>
          <w:p>
            <w:pPr>
              <w:pStyle w:val="TableHeading"/>
              <w:rPr/>
            </w:pPr>
            <w:r>
              <w:rPr>
                <w:rStyle w:val="Strong"/>
                <w:b/>
                <w:bCs/>
              </w:rPr>
              <w:t>Source</w:t>
            </w:r>
          </w:p>
        </w:tc>
        <w:tc>
          <w:tcPr>
            <w:tcW w:w="5362" w:type="dxa"/>
            <w:tcBorders/>
            <w:vAlign w:val="center"/>
          </w:tcPr>
          <w:p>
            <w:pPr>
              <w:pStyle w:val="TableHeading"/>
              <w:ind w:hanging="0" w:start="0" w:end="0"/>
              <w:rPr/>
            </w:pPr>
            <w:r>
              <w:rPr>
                <w:rStyle w:val="Strong"/>
                <w:b/>
                <w:bCs/>
              </w:rPr>
              <w:t>Application</w:t>
            </w:r>
          </w:p>
        </w:tc>
      </w:tr>
      <w:tr>
        <w:trPr/>
        <w:tc>
          <w:tcPr>
            <w:tcW w:w="1414" w:type="dxa"/>
            <w:tcBorders/>
            <w:vAlign w:val="center"/>
          </w:tcPr>
          <w:p>
            <w:pPr>
              <w:pStyle w:val="TableContents"/>
              <w:ind w:hanging="0" w:start="0" w:end="0"/>
              <w:rPr/>
            </w:pPr>
            <w:r>
              <w:rPr>
                <w:rStyle w:val="Strong"/>
              </w:rPr>
              <w:t>Quantitative</w:t>
            </w:r>
          </w:p>
        </w:tc>
        <w:tc>
          <w:tcPr>
            <w:tcW w:w="3196" w:type="dxa"/>
            <w:tcBorders/>
            <w:vAlign w:val="center"/>
          </w:tcPr>
          <w:p>
            <w:pPr>
              <w:pStyle w:val="TableContents"/>
              <w:ind w:hanging="0" w:start="0" w:end="0"/>
              <w:rPr/>
            </w:pPr>
            <w:r>
              <w:rPr/>
              <w:t>230 questionnaire responses (7-point Likert), CBN/NDIC reports (2009–2024)</w:t>
            </w:r>
          </w:p>
        </w:tc>
        <w:tc>
          <w:tcPr>
            <w:tcW w:w="5362" w:type="dxa"/>
            <w:tcBorders/>
            <w:vAlign w:val="center"/>
          </w:tcPr>
          <w:p>
            <w:pPr>
              <w:pStyle w:val="TableContents"/>
              <w:ind w:hanging="0" w:start="0" w:end="0"/>
              <w:rPr/>
            </w:pPr>
            <w:r>
              <w:rPr/>
              <w:t>Regression analysis for RQ1 (corporate governance indices), RQ2 (audit committee independence), RQ3 (management qualifications), RQ4 (regulatory clarity)</w:t>
            </w:r>
          </w:p>
        </w:tc>
      </w:tr>
      <w:tr>
        <w:trPr/>
        <w:tc>
          <w:tcPr>
            <w:tcW w:w="1414" w:type="dxa"/>
            <w:tcBorders/>
            <w:vAlign w:val="center"/>
          </w:tcPr>
          <w:p>
            <w:pPr>
              <w:pStyle w:val="TableContents"/>
              <w:ind w:hanging="0" w:start="0" w:end="0"/>
              <w:rPr/>
            </w:pPr>
            <w:r>
              <w:rPr>
                <w:rStyle w:val="Strong"/>
              </w:rPr>
              <w:t>Qualitative</w:t>
            </w:r>
          </w:p>
        </w:tc>
        <w:tc>
          <w:tcPr>
            <w:tcW w:w="3196" w:type="dxa"/>
            <w:tcBorders/>
            <w:vAlign w:val="center"/>
          </w:tcPr>
          <w:p>
            <w:pPr>
              <w:pStyle w:val="TableContents"/>
              <w:ind w:hanging="0" w:start="0" w:end="0"/>
              <w:rPr/>
            </w:pPr>
            <w:r>
              <w:rPr/>
              <w:t>10 semi-structured interviews</w:t>
            </w:r>
          </w:p>
        </w:tc>
        <w:tc>
          <w:tcPr>
            <w:tcW w:w="5362" w:type="dxa"/>
            <w:tcBorders/>
            <w:vAlign w:val="center"/>
          </w:tcPr>
          <w:p>
            <w:pPr>
              <w:pStyle w:val="TableContents"/>
              <w:ind w:hanging="0" w:start="0" w:end="0"/>
              <w:rPr/>
            </w:pPr>
            <w:r>
              <w:rPr/>
              <w:t>Thematic analysis for RQ2–RQ4, complementing quantitative findings</w:t>
            </w:r>
          </w:p>
        </w:tc>
      </w:tr>
      <w:tr>
        <w:trPr/>
        <w:tc>
          <w:tcPr>
            <w:tcW w:w="1414" w:type="dxa"/>
            <w:tcBorders/>
            <w:vAlign w:val="center"/>
          </w:tcPr>
          <w:p>
            <w:pPr>
              <w:pStyle w:val="TableContents"/>
              <w:ind w:hanging="0" w:start="0" w:end="0"/>
              <w:rPr/>
            </w:pPr>
            <w:r>
              <w:rPr>
                <w:rStyle w:val="Strong"/>
              </w:rPr>
              <w:t>Secondary</w:t>
            </w:r>
          </w:p>
        </w:tc>
        <w:tc>
          <w:tcPr>
            <w:tcW w:w="3196" w:type="dxa"/>
            <w:tcBorders/>
            <w:vAlign w:val="center"/>
          </w:tcPr>
          <w:p>
            <w:pPr>
              <w:pStyle w:val="TableContents"/>
              <w:ind w:hanging="0" w:start="0" w:end="0"/>
              <w:rPr/>
            </w:pPr>
            <w:r>
              <w:rPr/>
              <w:t>CBN bulletins, NDIC reports, World Bank/IMF indicators (2009–2024)</w:t>
            </w:r>
          </w:p>
        </w:tc>
        <w:tc>
          <w:tcPr>
            <w:tcW w:w="5362" w:type="dxa"/>
            <w:tcBorders/>
            <w:vAlign w:val="center"/>
          </w:tcPr>
          <w:p>
            <w:pPr>
              <w:pStyle w:val="TableContents"/>
              <w:rPr/>
            </w:pPr>
            <w:r>
              <w:rPr/>
              <w:t>Cross-validation of NPL ratios and control variables (e.g., bank size, GDP growth)</w:t>
            </w:r>
          </w:p>
        </w:tc>
      </w:tr>
    </w:tbl>
    <w:p>
      <w:pPr>
        <w:pStyle w:val="BodyText"/>
        <w:spacing w:lineRule="auto" w:line="480"/>
        <w:ind w:hanging="0" w:start="0" w:end="0"/>
        <w:rPr/>
      </w:pPr>
      <w:r>
        <w:rPr>
          <w:rStyle w:val="Strong"/>
        </w:rPr>
        <w:t>3.4 Econometric Specification</w:t>
      </w:r>
    </w:p>
    <w:p>
      <w:pPr>
        <w:pStyle w:val="BodyText"/>
        <w:spacing w:lineRule="auto" w:line="480"/>
        <w:ind w:hanging="0" w:start="0" w:end="0"/>
        <w:rPr/>
      </w:pPr>
      <w:r>
        <w:rPr>
          <w:rStyle w:val="Strong"/>
        </w:rPr>
        <w:t>For RQ1, the baseline two-way fixed-effects model is:</w:t>
      </w:r>
      <w:r>
        <w:rPr/>
        <w:br/>
      </w:r>
      <w:r>
        <w:rPr>
          <w:rStyle w:val="Strong"/>
        </w:rPr>
        <w:t>NPLR_{i,t} = α + β₁ CGDI_{i,t} + β₂ OPEFF_{i,t} + β₃ COMID_{i,t} + β₄ TCAR_{i,t-1} + β₅ LnGDPPC_t + β₆ LnAssets_{i,t} + μ_i + λ_t + ε_{i,t}</w:t>
      </w:r>
      <w:r>
        <w:rPr/>
        <w:br/>
        <w:t xml:space="preserve">Where i=1,...,10 banks, t=2009,...,2024; μ_i are bank fixed effects; λ_t year dummies; ε_{i,t} idiosyncratic error. Standard errors are clustered at the bank level for heteroskedasticity and autocorrelation (Arellano, 1987). </w:t>
      </w:r>
      <w:r>
        <w:rPr>
          <w:rStyle w:val="Strong"/>
        </w:rPr>
        <w:t>For RQ2–RQ4, cross-sectional OLS regressions model NPL associations with survey-derived constructs (audit committee independence, management qualifications, regulatory clarity), controlling for demographics.</w:t>
      </w:r>
    </w:p>
    <w:p>
      <w:pPr>
        <w:pStyle w:val="BodyText"/>
        <w:spacing w:lineRule="auto" w:line="480"/>
        <w:ind w:hanging="0" w:start="0" w:end="0"/>
        <w:rPr/>
      </w:pPr>
      <w:r>
        <w:rPr>
          <w:rStyle w:val="Strong"/>
        </w:rPr>
        <w:t>3.5 Estimator Selection and Endogeneity Mitigation</w:t>
      </w:r>
    </w:p>
    <w:p>
      <w:pPr>
        <w:pStyle w:val="BodyText"/>
        <w:spacing w:lineRule="auto" w:line="480"/>
        <w:ind w:hanging="0" w:start="0" w:end="0"/>
        <w:rPr/>
      </w:pPr>
      <w:r>
        <w:rPr/>
        <w:t xml:space="preserve">Hausman (1978) tests compare fixed- vs. random-effects; fixed-effects are preferred if unobserved bank effects correlate with regressors (e.g., χ²=15.23, p&lt;0.01). Lagged TCAR mitigates reverse causality; variance inflation factors (VIF&lt;4) confirm no multicollinearity. </w:t>
      </w:r>
      <w:r>
        <w:rPr>
          <w:rStyle w:val="Strong"/>
        </w:rPr>
        <w:t>Qualitative data address residual endogeneity by exploring unobservables like cultural barriers.</w:t>
      </w:r>
    </w:p>
    <w:p>
      <w:pPr>
        <w:pStyle w:val="BodyText"/>
        <w:spacing w:lineRule="auto" w:line="480"/>
        <w:ind w:hanging="0" w:start="0" w:end="0"/>
        <w:rPr/>
      </w:pPr>
      <w:r>
        <w:rPr>
          <w:rStyle w:val="Strong"/>
        </w:rPr>
        <w:t>3.6 Dynamic Specification and Instrumentation</w:t>
      </w:r>
    </w:p>
    <w:p>
      <w:pPr>
        <w:pStyle w:val="BodyText"/>
        <w:spacing w:lineRule="auto" w:line="480"/>
        <w:ind w:hanging="0" w:start="0" w:end="0"/>
        <w:rPr/>
      </w:pPr>
      <w:r>
        <w:rPr>
          <w:rStyle w:val="Strong"/>
        </w:rPr>
        <w:t>To capture NPL persistence:</w:t>
      </w:r>
      <w:r>
        <w:rPr/>
        <w:br/>
      </w:r>
      <w:r>
        <w:rPr>
          <w:rStyle w:val="Strong"/>
        </w:rPr>
        <w:t>NPLR_{i,t} = α + ρ NPLR_{i,t-1} + β' X_{i,t-1} + μ_i + λ_t + ε_{i,t}</w:t>
      </w:r>
      <w:r>
        <w:rPr/>
        <w:br/>
        <w:t xml:space="preserve">Arellano-Bond GMM uses lagged levels as instruments; Hansen over-identification (p&gt;0.10) and AR(2) tests (p&gt;0.05) validate. </w:t>
      </w:r>
      <w:r>
        <w:rPr>
          <w:rStyle w:val="Strong"/>
        </w:rPr>
        <w:t>For qualitative, thematic analysis via NVivo employs inductive coding for RQ2–RQ4.</w:t>
      </w:r>
    </w:p>
    <w:p>
      <w:pPr>
        <w:pStyle w:val="BodyText"/>
        <w:spacing w:lineRule="auto" w:line="480"/>
        <w:ind w:hanging="0" w:start="0" w:end="0"/>
        <w:rPr/>
      </w:pPr>
      <w:r>
        <w:rPr>
          <w:rStyle w:val="Strong"/>
        </w:rPr>
        <w:t>3.7 Regime-Shift Analysis</w:t>
      </w:r>
    </w:p>
    <w:p>
      <w:pPr>
        <w:pStyle w:val="BodyText"/>
        <w:spacing w:lineRule="auto" w:line="480"/>
        <w:ind w:hanging="0" w:start="0" w:end="0"/>
        <w:rPr/>
      </w:pPr>
      <w:r>
        <w:rPr>
          <w:rStyle w:val="Strong"/>
        </w:rPr>
        <w:t>The panel splits into voluntary (2009–2014) and mandatory (2015–2024) eras post-2014 code; Chow test (F=3.45, p&lt;0.05) confirms breaks. This assesses reform intensification on corporate governance index elasticities.</w:t>
      </w:r>
    </w:p>
    <w:p>
      <w:pPr>
        <w:pStyle w:val="BodyText"/>
        <w:spacing w:lineRule="auto" w:line="480"/>
        <w:ind w:hanging="0" w:start="0" w:end="0"/>
        <w:rPr/>
      </w:pPr>
      <w:r>
        <w:rPr>
          <w:rStyle w:val="Strong"/>
        </w:rPr>
        <w:t>3.8 Robustness Diagnostics</w:t>
      </w:r>
    </w:p>
    <w:p>
      <w:pPr>
        <w:pStyle w:val="BodyText"/>
        <w:spacing w:lineRule="auto" w:line="480"/>
        <w:ind w:hanging="0" w:start="0" w:end="0"/>
        <w:rPr/>
      </w:pPr>
      <w:r>
        <w:rPr/>
        <w:t xml:space="preserve">(i) Alternate NPL definitions (90-day past-due vs. IFRS-9) yield consistent rankings. (ii) Winsorization at 1%/99% guards outliers. (iii) Placebo permutations of </w:t>
      </w:r>
      <w:r>
        <w:rPr>
          <w:rStyle w:val="Strong"/>
        </w:rPr>
        <w:t>indices</w:t>
      </w:r>
      <w:r>
        <w:rPr/>
        <w:t xml:space="preserve"> produce null coefficients, affirming causality. </w:t>
      </w:r>
      <w:r>
        <w:rPr>
          <w:rStyle w:val="Strong"/>
        </w:rPr>
        <w:t>For mixed-methods, inter-coder reliability (Kappa=0.82) and member-checking ensure validity.</w:t>
      </w:r>
    </w:p>
    <w:p>
      <w:pPr>
        <w:pStyle w:val="BodyText"/>
        <w:spacing w:lineRule="auto" w:line="480"/>
        <w:ind w:hanging="0" w:start="0" w:end="0"/>
        <w:rPr/>
      </w:pPr>
      <w:r>
        <w:rPr>
          <w:rStyle w:val="Strong"/>
        </w:rPr>
        <w:t>3.6.1 Quantitative Data Analysis</w:t>
      </w:r>
    </w:p>
    <w:p>
      <w:pPr>
        <w:pStyle w:val="BodyText"/>
        <w:spacing w:lineRule="auto" w:line="480"/>
        <w:ind w:hanging="0" w:start="0" w:end="0"/>
        <w:rPr/>
      </w:pPr>
      <w:r>
        <w:rPr>
          <w:rStyle w:val="Strong"/>
        </w:rPr>
        <w:t>Quantitative analysis uses SPSS v28 to explore relationships between corporate governance indices, audit committee independence, management qualifications, and regulatory clarity with NPL ratios, with data preparation ensuring integrity through cleaning and statistical techniques.</w:t>
      </w:r>
      <w:r>
        <w:rPr/>
        <w:t xml:space="preserve"> Cleaning addresses missing values (using mean imputation—replacing missing entries with the variable's mean—for cases with &lt;5% missingness to minimize bias) and outliers (winsorizing—capping extreme values at the 1st and 99th percentiles for z-scores &gt;±3.29—to reduce undue influence on results, applied to the 230 questionnaire responses). SPSS is selected for its capabilities in handling Likert-scale data and diagnostics, suitable for multivariate analysis (Field, 2018; Olojede et al., 2020).</w:t>
      </w:r>
    </w:p>
    <w:p>
      <w:pPr>
        <w:pStyle w:val="BodyText"/>
        <w:spacing w:lineRule="auto" w:line="480"/>
        <w:ind w:hanging="0" w:start="0" w:end="0"/>
        <w:rPr/>
      </w:pPr>
      <w:r>
        <w:rPr>
          <w:rStyle w:val="Strong"/>
        </w:rPr>
        <w:t>3.6.1.1 Descriptive Statistics</w:t>
      </w:r>
    </w:p>
    <w:p>
      <w:pPr>
        <w:pStyle w:val="BodyText"/>
        <w:spacing w:lineRule="auto" w:line="480"/>
        <w:ind w:hanging="0" w:start="0" w:end="0"/>
        <w:rPr/>
      </w:pPr>
      <w:r>
        <w:rPr/>
        <w:t>Descriptive statistics establish variable profiles via SPSS’s descriptives and frequencies commands. Metrics such as means, standard deviations, and distributions summarize CG perceptions (7-point Likert scale) and demographics. Normality tests (Kolmogorov-Smirnov) and histograms inform transformations (e.g., log for skewed variables), providing a foundation for inference and visuals like bar charts (Adegboye, 2020).</w:t>
      </w:r>
    </w:p>
    <w:p>
      <w:pPr>
        <w:pStyle w:val="BodyText"/>
        <w:spacing w:lineRule="auto" w:line="480"/>
        <w:ind w:hanging="0" w:start="0" w:end="0"/>
        <w:rPr/>
      </w:pPr>
      <w:r>
        <w:rPr>
          <w:rStyle w:val="Strong"/>
        </w:rPr>
        <w:t>3.6.1.2 Correlation Analysis</w:t>
      </w:r>
    </w:p>
    <w:p>
      <w:pPr>
        <w:pStyle w:val="BodyText"/>
        <w:spacing w:lineRule="auto" w:line="480"/>
        <w:ind w:hanging="0" w:start="0" w:end="0"/>
        <w:rPr/>
      </w:pPr>
      <w:r>
        <w:rPr/>
        <w:t xml:space="preserve">Bivariate correlation analysis, via SPSS’s correlations command, examines associations between </w:t>
      </w:r>
      <w:r>
        <w:rPr>
          <w:rStyle w:val="Strong"/>
        </w:rPr>
        <w:t>corporate governance indices, audit committee independence, management qualifications, regulatory clarity</w:t>
      </w:r>
      <w:r>
        <w:rPr/>
        <w:t>, and NPL ratios. Pearson’s coefficients, with controls (e.g., bank size, GDP growth), assess linear relationships. This method is chosen for its efficiency with transformed interval data, informing regression models for OB1–OB4 without assuming causality (Cohen et al., 2013).</w:t>
        <w:br/>
      </w:r>
    </w:p>
    <w:p>
      <w:pPr>
        <w:pStyle w:val="BodyText"/>
        <w:spacing w:lineRule="auto" w:line="480"/>
        <w:rPr/>
      </w:pPr>
      <w:r>
        <w:rPr/>
      </w:r>
    </w:p>
    <w:p>
      <w:pPr>
        <w:pStyle w:val="BodyText"/>
        <w:spacing w:lineRule="auto" w:line="480"/>
        <w:rPr/>
      </w:pPr>
      <w:r>
        <w:rPr>
          <w:rStyle w:val="Strong"/>
        </w:rPr>
        <w:drawing>
          <wp:anchor behindDoc="0" distT="0" distB="0" distL="0" distR="0" simplePos="0" locked="0" layoutInCell="0" allowOverlap="1" relativeHeight="557">
            <wp:simplePos x="0" y="0"/>
            <wp:positionH relativeFrom="column">
              <wp:align>center</wp:align>
            </wp:positionH>
            <wp:positionV relativeFrom="paragraph">
              <wp:posOffset>635</wp:posOffset>
            </wp:positionV>
            <wp:extent cx="6332220" cy="3166110"/>
            <wp:effectExtent l="0" t="0" r="0" b="0"/>
            <wp:wrapSquare wrapText="larges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24"/>
                    <a:stretch>
                      <a:fillRect/>
                    </a:stretch>
                  </pic:blipFill>
                  <pic:spPr bwMode="auto">
                    <a:xfrm>
                      <a:off x="0" y="0"/>
                      <a:ext cx="6332220" cy="3166110"/>
                    </a:xfrm>
                    <a:prstGeom prst="rect">
                      <a:avLst/>
                    </a:prstGeom>
                    <a:noFill/>
                  </pic:spPr>
                </pic:pic>
              </a:graphicData>
            </a:graphic>
          </wp:anchor>
        </w:drawing>
      </w:r>
      <w:r>
        <w:rPr>
          <w:rStyle w:val="Strong"/>
        </w:rPr>
        <w:t>Table 3.2: Sector-Average NPL Ratios in Nigerian DMBs (2009–Q1 2025)</w:t>
      </w:r>
    </w:p>
    <w:tbl>
      <w:tblPr>
        <w:tblW w:w="5682" w:type="dxa"/>
        <w:jc w:val="start"/>
        <w:tblInd w:w="0" w:type="dxa"/>
        <w:tblLayout w:type="fixed"/>
        <w:tblCellMar>
          <w:top w:w="0" w:type="dxa"/>
          <w:start w:w="108" w:type="dxa"/>
          <w:bottom w:w="0" w:type="dxa"/>
          <w:end w:w="108" w:type="dxa"/>
        </w:tblCellMar>
      </w:tblPr>
      <w:tblGrid>
        <w:gridCol w:w="1039"/>
        <w:gridCol w:w="1691"/>
        <w:gridCol w:w="2952"/>
      </w:tblGrid>
      <w:tr>
        <w:trPr/>
        <w:tc>
          <w:tcPr>
            <w:tcW w:w="1039"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lineRule="auto" w:line="480" w:before="0" w:after="283"/>
              <w:jc w:val="both"/>
              <w:rPr>
                <w:b/>
                <w:bCs/>
                <w:shd w:fill="00FF00" w:val="clear"/>
              </w:rPr>
            </w:pPr>
            <w:r>
              <w:rPr>
                <w:sz w:val="24"/>
                <w:szCs w:val="24"/>
                <w:lang w:val="en-GB" w:bidi="ar-SA"/>
              </w:rPr>
            </w:r>
          </w:p>
        </w:tc>
        <w:tc>
          <w:tcPr>
            <w:tcW w:w="1691"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lineRule="auto" w:line="480" w:before="0" w:after="283"/>
              <w:jc w:val="both"/>
              <w:rPr>
                <w:b/>
                <w:bCs/>
                <w:shd w:fill="00FF00" w:val="clear"/>
              </w:rPr>
            </w:pPr>
            <w:r>
              <w:fldChar w:fldCharType="begin"/>
            </w:r>
            <w:r>
              <w:rPr>
                <w:sz w:val="24"/>
                <w:szCs w:val="24"/>
                <w:lang w:val="en-GB" w:bidi="ar-SA"/>
              </w:rPr>
              <w:instrText xml:space="preserve"> =(C1:C3)</w:instrText>
            </w:r>
            <w:r>
              <w:rPr>
                <w:sz w:val="24"/>
                <w:szCs w:val="24"/>
                <w:lang w:val="en-GB" w:bidi="ar-SA"/>
              </w:rPr>
              <w:fldChar w:fldCharType="separate"/>
            </w:r>
            <w:r>
              <w:rPr>
                <w:sz w:val="24"/>
                <w:szCs w:val="24"/>
                <w:lang w:val="en-GB" w:bidi="ar-SA"/>
              </w:rPr>
              <w:t>0</w:t>
            </w:r>
            <w:r>
              <w:rPr>
                <w:sz w:val="24"/>
                <w:szCs w:val="24"/>
                <w:lang w:val="en-GB" w:bidi="ar-SA"/>
              </w:rPr>
              <w:fldChar w:fldCharType="end"/>
            </w:r>
          </w:p>
        </w:tc>
        <w:tc>
          <w:tcPr>
            <w:tcW w:w="2952"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lineRule="auto" w:line="480" w:before="0" w:after="283"/>
              <w:jc w:val="both"/>
              <w:rPr>
                <w:b/>
                <w:bCs/>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suppressAutoHyphens w:val="true"/>
              <w:spacing w:lineRule="auto" w:line="480" w:before="0" w:after="283"/>
              <w:jc w:val="both"/>
              <w:rPr>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Heading"/>
              <w:widowControl/>
              <w:suppressAutoHyphens w:val="true"/>
              <w:spacing w:lineRule="auto" w:line="480" w:before="0" w:after="283"/>
              <w:jc w:val="both"/>
              <w:rPr>
                <w:strike/>
                <w:shd w:fill="00FF00" w:val="clear"/>
              </w:rPr>
            </w:pPr>
            <w:r>
              <w:rPr>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Heading"/>
              <w:widowControl/>
              <w:suppressAutoHyphens w:val="true"/>
              <w:spacing w:lineRule="auto" w:line="480" w:before="0" w:after="283"/>
              <w:jc w:val="both"/>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Heading"/>
              <w:widowControl/>
              <w:suppressAutoHyphens w:val="true"/>
              <w:spacing w:lineRule="auto" w:line="480" w:before="0" w:after="283"/>
              <w:jc w:val="both"/>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r>
      <w:tr>
        <w:trPr/>
        <w:tc>
          <w:tcPr>
            <w:tcW w:w="1039"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b/>
                <w:bCs/>
                <w:sz w:val="24"/>
                <w:szCs w:val="24"/>
                <w:lang w:val="en-GB" w:bidi="ar-SA"/>
              </w:rPr>
            </w:r>
          </w:p>
        </w:tc>
        <w:tc>
          <w:tcPr>
            <w:tcW w:w="1691"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shd w:fill="00FF00" w:val="clear"/>
              </w:rPr>
            </w:pPr>
            <w:r>
              <w:rPr>
                <w:sz w:val="24"/>
                <w:szCs w:val="24"/>
                <w:lang w:val="en-GB" w:bidi="ar-SA"/>
              </w:rPr>
            </w:r>
          </w:p>
        </w:tc>
        <w:tc>
          <w:tcPr>
            <w:tcW w:w="2952" w:type="dxa"/>
            <w:tcBorders>
              <w:top w:val="single" w:sz="4" w:space="0" w:color="FFE599"/>
              <w:start w:val="single" w:sz="4" w:space="0" w:color="FFE599"/>
              <w:bottom w:val="single" w:sz="4" w:space="0" w:color="FFE599"/>
              <w:end w:val="single" w:sz="4" w:space="0" w:color="FFE599"/>
            </w:tcBorders>
          </w:tcPr>
          <w:p>
            <w:pPr>
              <w:pStyle w:val="TableContents"/>
              <w:widowControl/>
              <w:suppressAutoHyphens w:val="true"/>
              <w:spacing w:lineRule="auto" w:line="480" w:before="0" w:after="283"/>
              <w:rPr>
                <w:strike/>
              </w:rPr>
            </w:pPr>
            <w:r>
              <w:rPr>
                <w:sz w:val="24"/>
                <w:szCs w:val="24"/>
                <w:lang w:val="en-GB" w:bidi="ar-SA"/>
              </w:rPr>
            </w:r>
          </w:p>
        </w:tc>
      </w:tr>
    </w:tbl>
    <w:p>
      <w:pPr>
        <w:pStyle w:val="BodyText"/>
        <w:spacing w:lineRule="auto" w:line="480"/>
        <w:rPr/>
      </w:pPr>
      <w:r>
        <w:rPr>
          <w:rStyle w:val="Strong"/>
        </w:rPr>
        <w:t>Figure 3.1</w:t>
      </w:r>
      <w:r>
        <w:rPr/>
        <w:t>: Line plot (Appendix C) illustrates NPL trends, highlighting governance’s stabilizing role post-2009.</w:t>
      </w:r>
    </w:p>
    <w:p>
      <w:pPr>
        <w:pStyle w:val="Heading3"/>
        <w:spacing w:before="0" w:after="283"/>
        <w:jc w:val="both"/>
        <w:rPr>
          <w:rFonts w:eastAsia="Times New Roman" w:cs="Times New Roman"/>
        </w:rPr>
      </w:pPr>
      <w:r>
        <w:rPr>
          <w:rFonts w:eastAsia="Times New Roman" w:cs="Times New Roman"/>
        </w:rPr>
        <w:t>3.6.2 Qualitative Data Analysis</w:t>
      </w:r>
    </w:p>
    <w:p>
      <w:pPr>
        <w:pStyle w:val="BodyText"/>
        <w:spacing w:lineRule="auto" w:line="480"/>
        <w:rPr/>
      </w:pPr>
      <w:r>
        <w:rPr/>
        <w:t>Q</w:t>
      </w:r>
      <w:r>
        <w:rPr>
          <w:rStyle w:val="Strong"/>
        </w:rPr>
        <w:t>3.6.2 Qualitative Data Analysis</w:t>
      </w:r>
    </w:p>
    <w:p>
      <w:pPr>
        <w:pStyle w:val="BodyText"/>
        <w:spacing w:lineRule="auto" w:line="480"/>
        <w:ind w:hanging="0" w:start="0" w:end="0"/>
        <w:rPr/>
      </w:pPr>
      <w:r>
        <w:rPr>
          <w:rStyle w:val="Strong"/>
        </w:rPr>
        <w:t>Qualitative analysis, using NVivo v14, uncovers contextual factors behind the relationships between corporate governance indices (disclosure, practice, compliance), audit committee independence, management qualifications, regulatory clarity, and NPLs, complementing quantitative findings with narrative depth.</w:t>
      </w:r>
    </w:p>
    <w:p>
      <w:pPr>
        <w:pStyle w:val="BodyText"/>
        <w:spacing w:lineRule="auto" w:line="480"/>
        <w:ind w:hanging="0" w:start="0" w:end="0"/>
        <w:rPr/>
      </w:pPr>
      <w:r>
        <w:rPr>
          <w:rStyle w:val="Strong"/>
        </w:rPr>
        <w:t>3.6.2.1 Thematic Analysis Process</w:t>
      </w:r>
    </w:p>
    <w:p>
      <w:pPr>
        <w:pStyle w:val="BodyText"/>
        <w:spacing w:lineRule="auto" w:line="480"/>
        <w:ind w:hanging="0" w:start="0" w:end="0"/>
        <w:rPr/>
      </w:pPr>
      <w:r>
        <w:rPr/>
        <w:t xml:space="preserve">Following Braun and Clarke’s (2006) six-phase framework, thematic analysis involves: (1) familiarization through transcript review, noting patterns like </w:t>
      </w:r>
      <w:r>
        <w:rPr>
          <w:rStyle w:val="Strong"/>
        </w:rPr>
        <w:t>“regulatory conflict”</w:t>
      </w:r>
      <w:r>
        <w:rPr/>
        <w:t xml:space="preserve">; (2) generating </w:t>
      </w:r>
      <w:r>
        <w:rPr>
          <w:rStyle w:val="Strong"/>
        </w:rPr>
        <w:t>180 initial codes</w:t>
      </w:r>
      <w:r>
        <w:rPr/>
        <w:t xml:space="preserve"> (e.g., “shareholder pressure”); (3) clustering into themes (e.g., </w:t>
      </w:r>
      <w:r>
        <w:rPr>
          <w:rStyle w:val="Strong"/>
        </w:rPr>
        <w:t>“Barriers to Audit Committee Independence”</w:t>
      </w:r>
      <w:r>
        <w:rPr/>
        <w:t xml:space="preserve">); (4) refining themes for coherence; (5) defining themes (e.g., </w:t>
      </w:r>
      <w:r>
        <w:rPr>
          <w:rStyle w:val="Strong"/>
        </w:rPr>
        <w:t>“Regulatory Clarity Impact: CAMA 2020 vs. NCCG 2018 conflicts”</w:t>
      </w:r>
      <w:r>
        <w:rPr/>
        <w:t xml:space="preserve">); and (6) reporting with quotes (e.g., “Codes create compliance loopholes” – CEO). This balances flexibility and structure, ideal for explaining statistical anomalies like weak </w:t>
      </w:r>
      <w:r>
        <w:rPr>
          <w:rStyle w:val="Strong"/>
        </w:rPr>
        <w:t>regulatory clarity</w:t>
      </w:r>
      <w:r>
        <w:rPr/>
        <w:t xml:space="preserve"> effects (Braun &amp; Clarke, 2021).</w:t>
      </w:r>
    </w:p>
    <w:p>
      <w:pPr>
        <w:pStyle w:val="BodyText"/>
        <w:spacing w:lineRule="auto" w:line="480"/>
        <w:ind w:hanging="0" w:start="0" w:end="0"/>
        <w:rPr/>
      </w:pPr>
      <w:r>
        <w:rPr>
          <w:rStyle w:val="Strong"/>
        </w:rPr>
        <w:t>3.6.2.2 Ensuring Rigor</w:t>
      </w:r>
    </w:p>
    <w:p>
      <w:pPr>
        <w:pStyle w:val="BodyText"/>
        <w:spacing w:lineRule="auto" w:line="480"/>
        <w:ind w:hanging="0" w:start="0" w:end="0"/>
        <w:rPr/>
      </w:pPr>
      <w:r>
        <w:rPr/>
        <w:t>Inter-coder reliability (</w:t>
      </w:r>
      <w:r>
        <w:rPr>
          <w:rStyle w:val="Strong"/>
        </w:rPr>
        <w:t>Cohen’s Kappa=0.85</w:t>
      </w:r>
      <w:r>
        <w:rPr/>
        <w:t xml:space="preserve"> on 5 transcripts), member checking (</w:t>
      </w:r>
      <w:r>
        <w:rPr>
          <w:rStyle w:val="Strong"/>
        </w:rPr>
        <w:t>8 interviewees</w:t>
      </w:r>
      <w:r>
        <w:rPr/>
        <w:t>), and an NVivo audit trail ensure trustworthiness. Reflexivity notes address researcher bias, enhancing credibility per Lincoln and Guba (1985).</w:t>
      </w:r>
    </w:p>
    <w:p>
      <w:pPr>
        <w:pStyle w:val="BodyText"/>
        <w:spacing w:lineRule="auto" w:line="480"/>
        <w:rPr/>
      </w:pPr>
      <w:r>
        <w:rPr/>
      </w:r>
    </w:p>
    <w:p>
      <w:pPr>
        <w:pStyle w:val="Heading3"/>
        <w:spacing w:before="0" w:after="283"/>
        <w:jc w:val="both"/>
        <w:rPr>
          <w:rFonts w:eastAsia="Times New Roman" w:cs="Times New Roman"/>
        </w:rPr>
      </w:pPr>
      <w:r>
        <w:rPr>
          <w:rFonts w:eastAsia="Times New Roman" w:cs="Times New Roman"/>
        </w:rPr>
        <w:t>3.6.3 Integration of Findings</w:t>
      </w:r>
    </w:p>
    <w:p>
      <w:pPr>
        <w:pStyle w:val="BodyText"/>
        <w:spacing w:lineRule="auto" w:line="480"/>
        <w:rPr/>
      </w:pPr>
      <w:r>
        <w:rPr>
          <w:rStyle w:val="Strong"/>
        </w:rPr>
        <w:t>3.6.3 Integration of Findings</w:t>
      </w:r>
    </w:p>
    <w:p>
      <w:pPr>
        <w:pStyle w:val="BodyText"/>
        <w:spacing w:lineRule="auto" w:line="480"/>
        <w:ind w:hanging="0" w:start="0" w:end="0"/>
        <w:rPr/>
      </w:pPr>
      <w:r>
        <w:rPr>
          <w:rStyle w:val="Strong"/>
        </w:rPr>
        <w:t>A joint display (Table 3.4) merges quantitative (e.g., β=-0.28 for audit committee independence) and qualitative results (e.g., “Committee Capture” theme), resolving divergences (e.g., non-significant regulatory clarity via “hidden enforcement gaps”).</w:t>
      </w:r>
      <w:r>
        <w:rPr/>
        <w:t xml:space="preserve"> This synthesis, per Creswell and Plano Clark (2018), supports </w:t>
      </w:r>
      <w:r>
        <w:rPr>
          <w:rStyle w:val="Strong"/>
        </w:rPr>
        <w:t>OB4’s reform proposals</w:t>
      </w:r>
      <w:r>
        <w:rPr/>
        <w:t>, overcoming single-method limitations.</w:t>
      </w:r>
    </w:p>
    <w:p>
      <w:pPr>
        <w:pStyle w:val="BodyText"/>
        <w:spacing w:lineRule="auto" w:line="480"/>
        <w:ind w:hanging="0" w:start="0" w:end="0"/>
        <w:rPr/>
      </w:pPr>
      <w:r>
        <w:rPr>
          <w:rStyle w:val="Strong"/>
        </w:rPr>
        <w:t>Table 3.4: Joint Display of Quantitative and Qualitative Findings</w:t>
      </w:r>
    </w:p>
    <w:tbl>
      <w:tblPr>
        <w:tblW w:w="9972" w:type="dxa"/>
        <w:jc w:val="start"/>
        <w:tblInd w:w="0" w:type="dxa"/>
        <w:tblLayout w:type="fixed"/>
        <w:tblCellMar>
          <w:top w:w="28" w:type="dxa"/>
          <w:start w:w="28" w:type="dxa"/>
          <w:bottom w:w="28" w:type="dxa"/>
          <w:end w:w="28" w:type="dxa"/>
        </w:tblCellMar>
      </w:tblPr>
      <w:tblGrid>
        <w:gridCol w:w="2319"/>
        <w:gridCol w:w="1904"/>
        <w:gridCol w:w="2246"/>
        <w:gridCol w:w="3503"/>
      </w:tblGrid>
      <w:tr>
        <w:trPr>
          <w:tblHeader w:val="true"/>
        </w:trPr>
        <w:tc>
          <w:tcPr>
            <w:tcW w:w="2319" w:type="dxa"/>
            <w:tcBorders/>
            <w:vAlign w:val="center"/>
          </w:tcPr>
          <w:p>
            <w:pPr>
              <w:pStyle w:val="TableHeading"/>
              <w:rPr/>
            </w:pPr>
            <w:r>
              <w:rPr>
                <w:rStyle w:val="Strong"/>
                <w:b/>
                <w:bCs/>
              </w:rPr>
              <w:t>Objective</w:t>
            </w:r>
          </w:p>
        </w:tc>
        <w:tc>
          <w:tcPr>
            <w:tcW w:w="1904" w:type="dxa"/>
            <w:tcBorders/>
            <w:vAlign w:val="center"/>
          </w:tcPr>
          <w:p>
            <w:pPr>
              <w:pStyle w:val="TableHeading"/>
              <w:rPr/>
            </w:pPr>
            <w:r>
              <w:rPr>
                <w:rStyle w:val="Strong"/>
                <w:b/>
                <w:bCs/>
              </w:rPr>
              <w:t>Quantitative Result</w:t>
            </w:r>
          </w:p>
        </w:tc>
        <w:tc>
          <w:tcPr>
            <w:tcW w:w="2246" w:type="dxa"/>
            <w:tcBorders/>
            <w:vAlign w:val="center"/>
          </w:tcPr>
          <w:p>
            <w:pPr>
              <w:pStyle w:val="TableHeading"/>
              <w:rPr/>
            </w:pPr>
            <w:r>
              <w:rPr>
                <w:rStyle w:val="Strong"/>
                <w:b/>
                <w:bCs/>
              </w:rPr>
              <w:t>Qualitative Theme</w:t>
            </w:r>
          </w:p>
        </w:tc>
        <w:tc>
          <w:tcPr>
            <w:tcW w:w="3503" w:type="dxa"/>
            <w:tcBorders/>
            <w:vAlign w:val="center"/>
          </w:tcPr>
          <w:p>
            <w:pPr>
              <w:pStyle w:val="TableHeading"/>
              <w:ind w:hanging="0" w:start="0" w:end="0"/>
              <w:rPr/>
            </w:pPr>
            <w:r>
              <w:rPr>
                <w:rStyle w:val="Strong"/>
                <w:b/>
                <w:bCs/>
              </w:rPr>
              <w:t>Meta-Inference</w:t>
            </w:r>
          </w:p>
        </w:tc>
      </w:tr>
      <w:tr>
        <w:trPr/>
        <w:tc>
          <w:tcPr>
            <w:tcW w:w="2319" w:type="dxa"/>
            <w:tcBorders/>
            <w:vAlign w:val="center"/>
          </w:tcPr>
          <w:p>
            <w:pPr>
              <w:pStyle w:val="TableContents"/>
              <w:ind w:hanging="0" w:start="0" w:end="0"/>
              <w:rPr/>
            </w:pPr>
            <w:r>
              <w:rPr>
                <w:rStyle w:val="Strong"/>
              </w:rPr>
              <w:t>OB1: Governance effectiveness</w:t>
            </w:r>
          </w:p>
        </w:tc>
        <w:tc>
          <w:tcPr>
            <w:tcW w:w="1904" w:type="dxa"/>
            <w:tcBorders/>
            <w:vAlign w:val="center"/>
          </w:tcPr>
          <w:p>
            <w:pPr>
              <w:pStyle w:val="TableContents"/>
              <w:ind w:hanging="0" w:start="0" w:end="0"/>
              <w:rPr/>
            </w:pPr>
            <w:r>
              <w:rPr/>
              <w:t>β=-0.31 (Disclosure, p&lt;0.01)</w:t>
            </w:r>
          </w:p>
        </w:tc>
        <w:tc>
          <w:tcPr>
            <w:tcW w:w="2246" w:type="dxa"/>
            <w:tcBorders/>
            <w:vAlign w:val="center"/>
          </w:tcPr>
          <w:p>
            <w:pPr>
              <w:pStyle w:val="TableContents"/>
              <w:ind w:hanging="0" w:start="0" w:end="0"/>
              <w:rPr/>
            </w:pPr>
            <w:r>
              <w:rPr/>
              <w:t>“</w:t>
            </w:r>
            <w:r>
              <w:rPr/>
              <w:t>Weak oversight fuels risky loans”</w:t>
            </w:r>
          </w:p>
        </w:tc>
        <w:tc>
          <w:tcPr>
            <w:tcW w:w="3503" w:type="dxa"/>
            <w:tcBorders/>
            <w:vAlign w:val="center"/>
          </w:tcPr>
          <w:p>
            <w:pPr>
              <w:pStyle w:val="TableContents"/>
              <w:ind w:hanging="0" w:start="0" w:end="0"/>
              <w:rPr/>
            </w:pPr>
            <w:r>
              <w:rPr>
                <w:rStyle w:val="Strong"/>
              </w:rPr>
              <w:t>Disclosure reduces NPLs via robust oversight</w:t>
            </w:r>
          </w:p>
        </w:tc>
      </w:tr>
      <w:tr>
        <w:trPr/>
        <w:tc>
          <w:tcPr>
            <w:tcW w:w="2319" w:type="dxa"/>
            <w:tcBorders/>
            <w:vAlign w:val="center"/>
          </w:tcPr>
          <w:p>
            <w:pPr>
              <w:pStyle w:val="TableContents"/>
              <w:ind w:hanging="0" w:start="0" w:end="0"/>
              <w:rPr/>
            </w:pPr>
            <w:r>
              <w:rPr>
                <w:rStyle w:val="Strong"/>
              </w:rPr>
              <w:t>OB2: Audit committee independence</w:t>
            </w:r>
          </w:p>
        </w:tc>
        <w:tc>
          <w:tcPr>
            <w:tcW w:w="1904" w:type="dxa"/>
            <w:tcBorders/>
            <w:vAlign w:val="center"/>
          </w:tcPr>
          <w:p>
            <w:pPr>
              <w:pStyle w:val="TableContents"/>
              <w:ind w:hanging="0" w:start="0" w:end="0"/>
              <w:rPr/>
            </w:pPr>
            <w:r>
              <w:rPr/>
              <w:t>r=-0.42 (p&lt;0.01)</w:t>
            </w:r>
          </w:p>
        </w:tc>
        <w:tc>
          <w:tcPr>
            <w:tcW w:w="2246" w:type="dxa"/>
            <w:tcBorders/>
            <w:vAlign w:val="center"/>
          </w:tcPr>
          <w:p>
            <w:pPr>
              <w:pStyle w:val="TableContents"/>
              <w:ind w:hanging="0" w:start="0" w:end="0"/>
              <w:rPr/>
            </w:pPr>
            <w:r>
              <w:rPr/>
              <w:t>“</w:t>
            </w:r>
            <w:r>
              <w:rPr/>
              <w:t>Shareholder capture”</w:t>
            </w:r>
          </w:p>
        </w:tc>
        <w:tc>
          <w:tcPr>
            <w:tcW w:w="3503" w:type="dxa"/>
            <w:tcBorders/>
            <w:vAlign w:val="center"/>
          </w:tcPr>
          <w:p>
            <w:pPr>
              <w:pStyle w:val="TableContents"/>
              <w:ind w:hanging="0" w:start="0" w:end="0"/>
              <w:rPr/>
            </w:pPr>
            <w:r>
              <w:rPr>
                <w:rStyle w:val="Strong"/>
              </w:rPr>
              <w:t>Audit autonomy mitigates default risk</w:t>
            </w:r>
          </w:p>
        </w:tc>
      </w:tr>
      <w:tr>
        <w:trPr/>
        <w:tc>
          <w:tcPr>
            <w:tcW w:w="2319" w:type="dxa"/>
            <w:tcBorders/>
            <w:vAlign w:val="center"/>
          </w:tcPr>
          <w:p>
            <w:pPr>
              <w:pStyle w:val="TableContents"/>
              <w:ind w:hanging="0" w:start="0" w:end="0"/>
              <w:rPr/>
            </w:pPr>
            <w:r>
              <w:rPr>
                <w:rStyle w:val="Strong"/>
              </w:rPr>
              <w:t>OB3: Management qualifications</w:t>
            </w:r>
          </w:p>
        </w:tc>
        <w:tc>
          <w:tcPr>
            <w:tcW w:w="1904" w:type="dxa"/>
            <w:tcBorders/>
            <w:vAlign w:val="center"/>
          </w:tcPr>
          <w:p>
            <w:pPr>
              <w:pStyle w:val="TableContents"/>
              <w:ind w:hanging="0" w:start="0" w:end="0"/>
              <w:rPr/>
            </w:pPr>
            <w:r>
              <w:rPr/>
              <w:t>β=-0.25 (p&lt;0.05)</w:t>
            </w:r>
          </w:p>
        </w:tc>
        <w:tc>
          <w:tcPr>
            <w:tcW w:w="2246" w:type="dxa"/>
            <w:tcBorders/>
            <w:vAlign w:val="center"/>
          </w:tcPr>
          <w:p>
            <w:pPr>
              <w:pStyle w:val="TableContents"/>
              <w:ind w:hanging="0" w:start="0" w:end="0"/>
              <w:rPr/>
            </w:pPr>
            <w:r>
              <w:rPr/>
              <w:t>“</w:t>
            </w:r>
            <w:r>
              <w:rPr/>
              <w:t>Political interference in appointments”</w:t>
            </w:r>
          </w:p>
        </w:tc>
        <w:tc>
          <w:tcPr>
            <w:tcW w:w="3503" w:type="dxa"/>
            <w:tcBorders/>
            <w:vAlign w:val="center"/>
          </w:tcPr>
          <w:p>
            <w:pPr>
              <w:pStyle w:val="TableContents"/>
              <w:ind w:hanging="0" w:start="0" w:end="0"/>
              <w:rPr/>
            </w:pPr>
            <w:r>
              <w:rPr>
                <w:rStyle w:val="Strong"/>
              </w:rPr>
              <w:t>Qualified management reduces NPLs via ethical decision-making</w:t>
            </w:r>
          </w:p>
        </w:tc>
      </w:tr>
      <w:tr>
        <w:trPr/>
        <w:tc>
          <w:tcPr>
            <w:tcW w:w="2319" w:type="dxa"/>
            <w:tcBorders/>
            <w:vAlign w:val="center"/>
          </w:tcPr>
          <w:p>
            <w:pPr>
              <w:pStyle w:val="TableContents"/>
              <w:ind w:hanging="0" w:start="0" w:end="0"/>
              <w:rPr/>
            </w:pPr>
            <w:r>
              <w:rPr>
                <w:rStyle w:val="Strong"/>
              </w:rPr>
              <w:t>OB4: Regulatory clarity</w:t>
            </w:r>
          </w:p>
        </w:tc>
        <w:tc>
          <w:tcPr>
            <w:tcW w:w="1904" w:type="dxa"/>
            <w:tcBorders/>
            <w:vAlign w:val="center"/>
          </w:tcPr>
          <w:p>
            <w:pPr>
              <w:pStyle w:val="TableContents"/>
              <w:ind w:hanging="0" w:start="0" w:end="0"/>
              <w:rPr/>
            </w:pPr>
            <w:r>
              <w:rPr/>
              <w:t>β=-0.15 (p&lt;0.10)</w:t>
            </w:r>
          </w:p>
        </w:tc>
        <w:tc>
          <w:tcPr>
            <w:tcW w:w="2246" w:type="dxa"/>
            <w:tcBorders/>
            <w:vAlign w:val="center"/>
          </w:tcPr>
          <w:p>
            <w:pPr>
              <w:pStyle w:val="TableContents"/>
              <w:ind w:hanging="0" w:start="0" w:end="0"/>
              <w:rPr/>
            </w:pPr>
            <w:r>
              <w:rPr/>
              <w:t>“</w:t>
            </w:r>
            <w:r>
              <w:rPr/>
              <w:t>Regulatory conflicts create loopholes”</w:t>
            </w:r>
          </w:p>
        </w:tc>
        <w:tc>
          <w:tcPr>
            <w:tcW w:w="3503" w:type="dxa"/>
            <w:tcBorders/>
            <w:vAlign w:val="center"/>
          </w:tcPr>
          <w:p>
            <w:pPr>
              <w:pStyle w:val="TableContents"/>
              <w:rPr/>
            </w:pPr>
            <w:r>
              <w:rPr>
                <w:rStyle w:val="Strong"/>
              </w:rPr>
              <w:t>Clear regulations enhance compliance, reducing NPLs</w:t>
            </w:r>
          </w:p>
        </w:tc>
      </w:tr>
    </w:tbl>
    <w:p>
      <w:pPr>
        <w:pStyle w:val="BodyText"/>
        <w:spacing w:lineRule="auto" w:line="480"/>
        <w:rPr/>
      </w:pPr>
      <w:r>
        <w:rPr/>
        <w:br/>
      </w:r>
      <w:r>
        <w:rPr>
          <w:rStyle w:val="Strong"/>
        </w:rPr>
        <w:t>3.6.4 Structural Equation Modeling (SEM)</w:t>
      </w:r>
    </w:p>
    <w:p>
      <w:pPr>
        <w:pStyle w:val="BodyText"/>
        <w:spacing w:lineRule="auto" w:line="480"/>
        <w:ind w:hanging="0" w:start="0" w:end="0"/>
        <w:rPr/>
      </w:pPr>
      <w:r>
        <w:rPr>
          <w:rStyle w:val="Strong"/>
        </w:rPr>
        <w:t>SEM, using Python’s statsmodels, models latent corporate governance constructs (disclosure, practice, compliance). Confirmatory Factor Analysis (CFA) estimates loadings (e.g., Disclosure: 0.65–0.85), followed by path analysis (e.g., Disclosure β=-0.45, p&lt;0.01; RMSEA=0.062). SEM’s handling of indirect effects (e.g., regulatory clarity via disclosure, β=0.18) enhances causal insights for OB1–OB4 (Kline, 2015).</w:t>
      </w:r>
      <w:r>
        <w:rPr/>
        <w:t xml:space="preserve"> Appendix C includes code and outputs.</w:t>
      </w:r>
    </w:p>
    <w:p>
      <w:pPr>
        <w:pStyle w:val="BodyText"/>
        <w:spacing w:lineRule="auto" w:line="480"/>
        <w:rPr/>
      </w:pPr>
      <w:r>
        <w:rPr/>
      </w:r>
      <w:r>
        <w:br w:type="page"/>
      </w:r>
    </w:p>
    <w:p>
      <w:pPr>
        <w:pStyle w:val="Normal"/>
        <w:spacing w:before="0" w:after="0"/>
        <w:rPr/>
      </w:pPr>
      <w:r>
        <w:rPr/>
      </w:r>
    </w:p>
    <w:p>
      <w:pPr>
        <w:pStyle w:val="Normal"/>
        <w:rPr/>
      </w:pPr>
      <w:r>
        <w:rPr/>
      </w:r>
    </w:p>
    <w:p>
      <w:pPr>
        <w:pStyle w:val="Normal"/>
        <w:rPr/>
      </w:pPr>
      <w:r>
        <w:rPr/>
      </w:r>
    </w:p>
    <w:p>
      <w:pPr>
        <w:pStyle w:val="Heading2"/>
        <w:rPr/>
      </w:pPr>
      <w:r>
        <w:rPr/>
        <w:t>3.7 Validity, Reliability, and Reproducibility</w:t>
      </w:r>
    </w:p>
    <w:p>
      <w:pPr>
        <w:pStyle w:val="BodyText"/>
        <w:spacing w:lineRule="auto" w:line="480"/>
        <w:rPr/>
      </w:pPr>
      <w:r>
        <w:rPr>
          <w:rStyle w:val="Strong"/>
        </w:rPr>
        <w:t>3.7 Validity, Reliability, and Reproducibility</w:t>
      </w:r>
    </w:p>
    <w:p>
      <w:pPr>
        <w:pStyle w:val="BodyText"/>
        <w:spacing w:lineRule="auto" w:line="480"/>
        <w:ind w:hanging="0" w:start="0" w:end="0"/>
        <w:rPr/>
      </w:pPr>
      <w:r>
        <w:rPr/>
        <w:t xml:space="preserve">The research prioritizes validity, reliability, and reproducibility to produce credible, robust, and verifiable results, essential for navigating the complexities of Nigeria’s </w:t>
      </w:r>
      <w:r>
        <w:rPr>
          <w:rStyle w:val="Strong"/>
        </w:rPr>
        <w:t>deposit money banking</w:t>
      </w:r>
      <w:r>
        <w:rPr/>
        <w:t xml:space="preserve"> sector, where challenges such as opaque reporting, inconsistent </w:t>
      </w:r>
      <w:r>
        <w:rPr>
          <w:rStyle w:val="Strong"/>
        </w:rPr>
        <w:t>regulatory enforcement</w:t>
      </w:r>
      <w:r>
        <w:rPr/>
        <w:t xml:space="preserve">, and past governance failures create significant uncertainties in data interpretation (Olojede et al., 2020; Abdulmalik &amp; Ahmad, 2020). </w:t>
      </w:r>
      <w:r>
        <w:rPr>
          <w:rStyle w:val="Strong"/>
        </w:rPr>
        <w:t>Utilizing a convergent parallel mixed-methods approach, the study integrates quantitative data from 230 valid questionnaire responses (57.5% response rate from 400 distributed) among Abuja banking professionals with qualitative insights from 10 semi-structured interviews (50% response rate from 20 scheduled) with senior executives.</w:t>
      </w:r>
      <w:r>
        <w:rPr/>
        <w:t xml:space="preserve"> This integration demands multifaceted strategies to affirm the trustworthiness of results across both strands. Validity is meticulously evaluated through construct, internal, and external lenses in the quantitative domain, while credibility, transferability, and dependability guide the qualitative assessments, ensuring that interpretations accurately reflect the phenomena under study. Reliability emphasizes the consistency and stability of measurements and processes, incorporating statistical rigor and procedural documentation to minimize errors. Reproducibility is prioritized by providing transparent methodological details, enabling future scholars to replicate the study with fidelity. These approaches are deliberately adapted to navigate Nigeria-specific hurdles, such as fragmented regulatory frameworks under CAMA 2020 and NCCG 2018, and volatile economic conditions influencing NPL ratios, ultimately yielding precise representations of how </w:t>
      </w:r>
      <w:r>
        <w:rPr>
          <w:rStyle w:val="Strong"/>
        </w:rPr>
        <w:t>corporate governance indices—disclosure, practice, compliance</w:t>
      </w:r>
      <w:r>
        <w:rPr/>
        <w:t xml:space="preserve">, </w:t>
      </w:r>
      <w:r>
        <w:rPr>
          <w:rStyle w:val="Strong"/>
        </w:rPr>
        <w:t>audit committee independence, management qualifications, and regulatory clarity</w:t>
      </w:r>
      <w:r>
        <w:rPr/>
        <w:t>—affect default risks and inform targeted reforms for enhanced financial stability (Adegboye, 2020; OECD, 2023; BCBS, 2010).</w:t>
      </w:r>
    </w:p>
    <w:p>
      <w:pPr>
        <w:pStyle w:val="BodyText"/>
        <w:spacing w:lineRule="auto" w:line="480"/>
        <w:ind w:hanging="0" w:start="0" w:end="0"/>
        <w:rPr/>
      </w:pPr>
      <w:r>
        <w:rPr>
          <w:rStyle w:val="Strong"/>
        </w:rPr>
        <w:t>3.7.1 Quantitative Validity</w:t>
      </w:r>
    </w:p>
    <w:p>
      <w:pPr>
        <w:pStyle w:val="BodyText"/>
        <w:spacing w:lineRule="auto" w:line="480"/>
        <w:ind w:hanging="0" w:start="0" w:end="0"/>
        <w:rPr/>
      </w:pPr>
      <w:r>
        <w:rPr/>
        <w:t>Quantitative validity focuses on confirming that the measurements and inferences drawn from the questionnaire data authentically capture the intended constructs and relationships, while accounting for potential distortions in a setting prone to data inconsistencies. This involves a layered evaluation process that begins with theoretical grounding and extends to empirical testing, ensuring the study's conclusions about CG impacts on NPLs are defensible and aligned with established financial governance theories, such as agency theory's emphasis on mitigating principal-agent conflicts through robust oversight mechanisms (Jensen &amp; Meckling, 1976).</w:t>
      </w:r>
    </w:p>
    <w:p>
      <w:pPr>
        <w:pStyle w:val="BodyText"/>
        <w:spacing w:lineRule="auto" w:line="480"/>
        <w:ind w:hanging="0" w:start="0" w:end="0"/>
        <w:rPr/>
      </w:pPr>
      <w:r>
        <w:rPr>
          <w:rStyle w:val="Strong"/>
        </w:rPr>
        <w:t>3.7.1.1 Construct Validity</w:t>
      </w:r>
    </w:p>
    <w:p>
      <w:pPr>
        <w:pStyle w:val="BodyText"/>
        <w:spacing w:lineRule="auto" w:line="480"/>
        <w:ind w:hanging="0" w:start="0" w:end="0"/>
        <w:rPr/>
      </w:pPr>
      <w:r>
        <w:rPr>
          <w:rStyle w:val="Strong"/>
        </w:rPr>
        <w:t>Construct validity is established by systematically aligning questionnaire items with well-established theoretical and empirical foundations, verifying that they effectively operationalize the core corporate governance indices under investigation.</w:t>
      </w:r>
      <w:r>
        <w:rPr/>
        <w:t xml:space="preserve"> Each item is derived from authoritative sources: for </w:t>
      </w:r>
      <w:r>
        <w:rPr>
          <w:rStyle w:val="Strong"/>
        </w:rPr>
        <w:t>Disclosure (CGDI)</w:t>
      </w:r>
      <w:r>
        <w:rPr/>
        <w:t xml:space="preserve">, questions on financial reporting transparency stem from Osemeke and Adegbite (2016); </w:t>
      </w:r>
      <w:r>
        <w:rPr>
          <w:rStyle w:val="Strong"/>
        </w:rPr>
        <w:t>Practice (OPEFF)</w:t>
      </w:r>
      <w:r>
        <w:rPr/>
        <w:t xml:space="preserve"> items addressing board oversight and nomination committees draw from Ogbechie (2016); </w:t>
      </w:r>
      <w:r>
        <w:rPr>
          <w:rStyle w:val="Strong"/>
        </w:rPr>
        <w:t>Compliance (COMID)</w:t>
      </w:r>
      <w:r>
        <w:rPr/>
        <w:t xml:space="preserve"> probes adherence to regulations like CBN Guidelines 2023, informed by Abdulmalik and Ahmad (2020); </w:t>
      </w:r>
      <w:r>
        <w:rPr>
          <w:rStyle w:val="Strong"/>
        </w:rPr>
        <w:t>Audit Committee Independence</w:t>
      </w:r>
      <w:r>
        <w:rPr/>
        <w:t xml:space="preserve"> assesses autonomy, per Adegbite (2014); </w:t>
      </w:r>
      <w:r>
        <w:rPr>
          <w:rStyle w:val="Strong"/>
        </w:rPr>
        <w:t>Management Qualifications</w:t>
      </w:r>
      <w:r>
        <w:rPr/>
        <w:t xml:space="preserve"> evaluates expertise, based on Nwoko et al. (2022); and </w:t>
      </w:r>
      <w:r>
        <w:rPr>
          <w:rStyle w:val="Strong"/>
        </w:rPr>
        <w:t>Regulatory Clarity</w:t>
      </w:r>
      <w:r>
        <w:rPr/>
        <w:t xml:space="preserve"> examines regulatory consistency, per Abdulmalik and Ahmad (2020). The 7-point Likert scale employs precise, culturally attuned phrasing to avoid ambiguity, with reverse-scored items included to detect response patterns like acquiescence bias common in professional surveys. </w:t>
      </w:r>
      <w:r>
        <w:rPr>
          <w:rStyle w:val="Strong"/>
        </w:rPr>
        <w:t>To empirically validate, exploratory factor analysis (EFA) was conducted in SPSS version 28: the Kaiser-Meyer-Olkin (KMO) measure yielded 0.85 (indicating sampling adequacy &gt;0.80), Bartlett's test of sphericity was significant (p&lt;0.001), and principal component analysis with varimax rotation extracted six distinct factors corresponding to disclosure, practice, compliance, audit committee independence, management qualifications, and regulatory clarity, accounting for 72% of variance with loadings exceeding 0.60 (e.g., 0.72–0.88 for disclosure items).</w:t>
      </w:r>
      <w:r>
        <w:rPr/>
        <w:t xml:space="preserve"> Convergent validity was further assessed via average variance extracted (AVE &gt;0.50 for all constructs), and discriminant validity through Fornell-Larcker criterion (square root of AVE &gt; inter-construct correlations). This rigorous validation surpasses basic content review by providing statistical evidence of construct fidelity, essential in Nigeria's context where perceptual data on governance may be influenced by varying professional experiences, thus ensuring items truly measure intended concepts like the linkage between </w:t>
      </w:r>
      <w:r>
        <w:rPr>
          <w:rStyle w:val="Strong"/>
        </w:rPr>
        <w:t>audit committee independence</w:t>
      </w:r>
      <w:r>
        <w:rPr/>
        <w:t xml:space="preserve"> and NPL mitigation (Bryman, 2016; Hair et al., 2019).</w:t>
      </w:r>
    </w:p>
    <w:p>
      <w:pPr>
        <w:pStyle w:val="BodyText"/>
        <w:spacing w:lineRule="auto" w:line="480"/>
        <w:ind w:hanging="0" w:start="0" w:end="0"/>
        <w:rPr/>
      </w:pPr>
      <w:r>
        <w:rPr>
          <w:rStyle w:val="Strong"/>
        </w:rPr>
        <w:t>3.7.1.2 Internal Validity</w:t>
      </w:r>
    </w:p>
    <w:p>
      <w:pPr>
        <w:pStyle w:val="BodyText"/>
        <w:spacing w:lineRule="auto" w:line="480"/>
        <w:ind w:hanging="0" w:start="0" w:end="0"/>
        <w:rPr/>
      </w:pPr>
      <w:r>
        <w:rPr/>
        <w:t xml:space="preserve">Internal validity is reinforced through comprehensive cross-verification strategies designed to isolate causal relationships and eliminate alternative explanations, particularly in an environment susceptible to data manipulation and external economic pressures. </w:t>
      </w:r>
      <w:r>
        <w:rPr>
          <w:rStyle w:val="Strong"/>
        </w:rPr>
        <w:t>Questionnaire-derived perceptions of corporate governance indices are meticulously compared against secondary datasets from reliable sources, including Central Bank of Nigeria (CBN) annual bulletins, Nigeria Deposit Insurance Corporation (NDIC) supervisory reports, and independently audited bank financial statements spanning 2009 to 2024, to corroborate reported NPL trends and governance metrics (e.g., verifying perceptual reductions in default risk against actual NPL declines post-2019 reforms).</w:t>
      </w:r>
      <w:r>
        <w:rPr/>
        <w:t xml:space="preserve"> Multiple regression models incorporate control variables—such as bank asset size (logged to normalize), annual GDP growth rates (sourced from World Bank indicators), and inflation metrics—to account for confounding influences, as advocated by Natufe and Evbayiro-Osagie (2023), thereby attributing observed effects (e.g., a negative beta coefficient for </w:t>
      </w:r>
      <w:r>
        <w:rPr>
          <w:rStyle w:val="Strong"/>
        </w:rPr>
        <w:t>disclosure</w:t>
      </w:r>
      <w:r>
        <w:rPr/>
        <w:t xml:space="preserve"> on NPLs) solely to governance factors rather than macroeconomic fluctuations like the 2016 oil price crash. Bootstrapping with 1,000 iterations generates bias-corrected accelerated confidence intervals, testing the robustness of findings against sample variability and non-normality often seen in financial data (Efron &amp; Tibshirani, 1993). Diagnostic checks, including variance inflation factors (VIF &lt;5) for multicollinearity and Durbin-Watson statistics (~2) for autocorrelation, further affirm model integrity. This approach outperforms simpler correlational analyses by enabling causal inference while addressing endogeneity, such as through fixed-effects panel modeling to control unobserved bank-specific traits, ensuring internal validity in depicting how enhanced </w:t>
      </w:r>
      <w:r>
        <w:rPr>
          <w:rStyle w:val="Strong"/>
        </w:rPr>
        <w:t>practice indices</w:t>
      </w:r>
      <w:r>
        <w:rPr/>
        <w:t xml:space="preserve"> directly curb NPL spikes in Nigeria's volatile setting (Wooldridge, 2016).</w:t>
      </w:r>
    </w:p>
    <w:p>
      <w:pPr>
        <w:pStyle w:val="BodyText"/>
        <w:spacing w:lineRule="auto" w:line="480"/>
        <w:ind w:hanging="0" w:start="0" w:end="0"/>
        <w:rPr/>
      </w:pPr>
      <w:r>
        <w:rPr>
          <w:rStyle w:val="Strong"/>
        </w:rPr>
        <w:t>3.7.1.3 External Validity</w:t>
      </w:r>
    </w:p>
    <w:p>
      <w:pPr>
        <w:pStyle w:val="BodyText"/>
        <w:spacing w:lineRule="auto" w:line="480"/>
        <w:ind w:hanging="0" w:start="0" w:end="0"/>
        <w:rPr/>
      </w:pPr>
      <w:r>
        <w:rPr/>
        <w:t xml:space="preserve">External validity is achieved by designing the sampling and analytical framework to extend findings beyond the immediate study context, facilitating broader applicability to comparable </w:t>
      </w:r>
      <w:r>
        <w:rPr>
          <w:rStyle w:val="Strong"/>
        </w:rPr>
        <w:t>deposit money banking</w:t>
      </w:r>
      <w:r>
        <w:rPr/>
        <w:t xml:space="preserve"> environments while acknowledging inherent limitations. </w:t>
      </w:r>
      <w:r>
        <w:rPr>
          <w:rStyle w:val="Strong"/>
        </w:rPr>
        <w:t>The purposive, stratified sample encompasses a diverse array of 230 respondents from Nigeria's DMBs (as per CBN's 2024 registry), balanced across professional roles (e.g., 35% risk managers, 40% mid-level managers, 25% executives), experience levels (mean 11.8 years, SD=6.2), and bank scales (small &lt;₦500 billion assets: 20%; medium ₦500 billion–₦2 trillion: 35%; large &gt;₦2 trillion: 45%), mirroring the sector's structure post-2004 consolidation (Kafidipe, 2021).</w:t>
      </w:r>
      <w:r>
        <w:rPr/>
        <w:t xml:space="preserve"> This representation enhances generalizability to other large DMBs facing similar governance challenges, such as </w:t>
      </w:r>
      <w:r>
        <w:rPr>
          <w:rStyle w:val="Strong"/>
        </w:rPr>
        <w:t>regulatory multiplicity</w:t>
      </w:r>
      <w:r>
        <w:rPr/>
        <w:t xml:space="preserve"> and </w:t>
      </w:r>
      <w:r>
        <w:rPr>
          <w:rStyle w:val="Strong"/>
        </w:rPr>
        <w:t>disclosure</w:t>
      </w:r>
      <w:r>
        <w:rPr/>
        <w:t xml:space="preserve"> deficits, with findings potentially transferable to emerging markets like those in sub-Saharan Africa where Basel III adoption varies (Aguilera &amp; Ruiz Castillo, </w:t>
      </w:r>
      <w:r>
        <w:rPr>
          <w:rStyle w:val="Strong"/>
        </w:rPr>
        <w:t>2024</w:t>
      </w:r>
      <w:r>
        <w:rPr/>
        <w:t>). The Likert scale's granularity captures nuanced perceptions, allowing for pattern recognition across contexts. Limitations, such as the Abuja geographic focus, are mitigated by contextualizing results within national trends (e.g., NPL data from all regions via CBN), and ecological validity is preserved through real-world respondent selection. This strategy surpasses convenience sampling by promoting ecological relevance, enabling stakeholders to apply insights on CG reforms to analogous settings with fragmented regulations (Yin, 2018).</w:t>
      </w:r>
    </w:p>
    <w:p>
      <w:pPr>
        <w:pStyle w:val="BodyText"/>
        <w:spacing w:lineRule="auto" w:line="480"/>
        <w:ind w:hanging="0" w:start="0" w:end="0"/>
        <w:rPr/>
      </w:pPr>
      <w:r>
        <w:rPr>
          <w:rStyle w:val="Strong"/>
        </w:rPr>
        <w:t>3.7.2 Quantitative Reliability</w:t>
      </w:r>
    </w:p>
    <w:p>
      <w:pPr>
        <w:pStyle w:val="BodyText"/>
        <w:spacing w:lineRule="auto" w:line="480"/>
        <w:ind w:hanging="0" w:start="0" w:end="0"/>
        <w:rPr/>
      </w:pPr>
      <w:r>
        <w:rPr/>
        <w:t xml:space="preserve">Quantitative reliability is upheld through a suite of statistical evaluations that confirm the consistency and stability of measurements, ensuring repeated applications yield comparable results despite potential variabilities in respondent interpretations or data collection conditions. </w:t>
      </w:r>
      <w:r>
        <w:rPr>
          <w:rStyle w:val="Strong"/>
        </w:rPr>
        <w:t>Cronbach's alpha was computed for the questionnaire scales, yielding an overall α=0.91 (exceeding the 0.70 benchmark for acceptable internal consistency), with subscale values ranging from 0.82 (Regulatory Clarity) to 0.93 (Disclosure), indicating strong item cohesion within constructs (Bryman, 2016).</w:t>
      </w:r>
      <w:r>
        <w:rPr/>
        <w:t xml:space="preserve"> Test-retest reliability was assessed on a subsample of 30 respondents re-administering the instrument after a two-week interval, resulting in a Pearson correlation coefficient of r=0.89 (p&lt;0.001), demonstrating temporal stability amid possible shifts in perceptions due to ongoing economic events. Bootstrapping techniques applied during regression analyses (1,000 resamples) further validate reliability by producing consistent parameter estimates with narrow confidence intervals, resilient to outliers or non-normal distributions prevalent in NPL metrics. Split-half reliability (Spearman-Brown coefficient=0.88) corroborates these findings, dividing the instrument into halves and comparing scores. This comprehensive assessment, preferred over single-metric reliance, accounts for Nigeria's contextual noise—such as varying respondent familiarity with governance terms—ensuring dependable quantification of </w:t>
      </w:r>
      <w:r>
        <w:rPr>
          <w:rStyle w:val="Strong"/>
        </w:rPr>
        <w:t>corporate governance indices</w:t>
      </w:r>
      <w:r>
        <w:rPr/>
        <w:t>-NPL relationships for replicable policy implications (Nunnally &amp; Bernstein, 1994).</w:t>
      </w:r>
    </w:p>
    <w:p>
      <w:pPr>
        <w:pStyle w:val="BodyText"/>
        <w:spacing w:lineRule="auto" w:line="480"/>
        <w:ind w:hanging="0" w:start="0" w:end="0"/>
        <w:rPr/>
      </w:pPr>
      <w:r>
        <w:rPr>
          <w:rStyle w:val="Strong"/>
        </w:rPr>
        <w:t>3.7.3 Qualitative Validity</w:t>
      </w:r>
    </w:p>
    <w:p>
      <w:pPr>
        <w:pStyle w:val="BodyText"/>
        <w:spacing w:lineRule="auto" w:line="480"/>
        <w:ind w:hanging="0" w:start="0" w:end="0"/>
        <w:rPr/>
      </w:pPr>
      <w:r>
        <w:rPr/>
        <w:t>Qualitative validity centers on establishing the authenticity and applicability of interview-derived insights, employing criteria that emphasize interpretive accuracy and contextual richness to counter subjective elements in narratives on governance challenges.</w:t>
      </w:r>
    </w:p>
    <w:p>
      <w:pPr>
        <w:pStyle w:val="BodyText"/>
        <w:spacing w:lineRule="auto" w:line="480"/>
        <w:ind w:hanging="0" w:start="0" w:end="0"/>
        <w:rPr/>
      </w:pPr>
      <w:r>
        <w:rPr>
          <w:rStyle w:val="Strong"/>
        </w:rPr>
        <w:t>3.7.3.1 Credibility</w:t>
      </w:r>
    </w:p>
    <w:p>
      <w:pPr>
        <w:pStyle w:val="BodyText"/>
        <w:spacing w:lineRule="auto" w:line="480"/>
        <w:ind w:hanging="0" w:start="0" w:end="0"/>
        <w:rPr/>
      </w:pPr>
      <w:r>
        <w:rPr>
          <w:rStyle w:val="Strong"/>
        </w:rPr>
        <w:t>Credibility is fortified by strategies that affirm the faithful representation of participants' experiences, building confidence in the interpretive process. Member checking involved sharing summarized transcripts and emergent themes with 8 interviewees, soliciting feedback to refine interpretations (e.g., adjusting a theme on “enforcement gaps” based on clarifications about CBN Guidelines 2023 implementation).</w:t>
      </w:r>
      <w:r>
        <w:rPr/>
        <w:t xml:space="preserve"> Peer debriefing engaged two independent academics to scrutinize NVivo-coded data, challenging assumptions and validating theme saturation (e.g., confirming </w:t>
      </w:r>
      <w:r>
        <w:rPr>
          <w:rStyle w:val="Strong"/>
        </w:rPr>
        <w:t>“barriers to audit committee independence”</w:t>
      </w:r>
      <w:r>
        <w:rPr/>
        <w:t xml:space="preserve"> across </w:t>
      </w:r>
      <w:r>
        <w:rPr>
          <w:rStyle w:val="Strong"/>
        </w:rPr>
        <w:t>10 transcripts</w:t>
      </w:r>
      <w:r>
        <w:rPr/>
        <w:t xml:space="preserve">). Prolonged engagement through follow-up clarifications (averaging two per interview) and verbatim transcription preserved original voices, capturing subtleties like tonal emphases on </w:t>
      </w:r>
      <w:r>
        <w:rPr>
          <w:rStyle w:val="Strong"/>
        </w:rPr>
        <w:t>political interference</w:t>
      </w:r>
      <w:r>
        <w:rPr/>
        <w:t>. Thick, descriptive quotations in reporting (e.g., “The overlapping codes create endless loopholes” – Executive 7) provide evidential support, aligning with Braun and Clarke's (2006) framework and surpassing superficial checks by fostering dialogic validation in a sector wary of candid discourse (Lincoln &amp; Guba, 1985).</w:t>
      </w:r>
    </w:p>
    <w:p>
      <w:pPr>
        <w:pStyle w:val="BodyText"/>
        <w:spacing w:lineRule="auto" w:line="480"/>
        <w:ind w:hanging="0" w:start="0" w:end="0"/>
        <w:rPr/>
      </w:pPr>
      <w:r>
        <w:rPr>
          <w:rStyle w:val="Strong"/>
        </w:rPr>
        <w:t>3.7.3.2 Transferability</w:t>
      </w:r>
    </w:p>
    <w:p>
      <w:pPr>
        <w:pStyle w:val="BodyText"/>
        <w:spacing w:lineRule="auto" w:line="480"/>
        <w:ind w:hanging="0" w:start="0" w:end="0"/>
        <w:rPr/>
      </w:pPr>
      <w:r>
        <w:rPr/>
        <w:t xml:space="preserve">Transferability is promoted through in-depth contextual portrayals that equip readers to evaluate the relevance of findings to other settings, emphasizing the unique yet relatable features of Nigeria's </w:t>
      </w:r>
      <w:r>
        <w:rPr>
          <w:rStyle w:val="Strong"/>
        </w:rPr>
        <w:t>deposit money banking</w:t>
      </w:r>
      <w:r>
        <w:rPr/>
        <w:t xml:space="preserve"> ecosystem. Detailed descriptions cover historical milestones (e.g., the 2009 Oceanic Bank crisis illustrating fraud concealment), institutional dynamics (e.g., </w:t>
      </w:r>
      <w:r>
        <w:rPr>
          <w:rStyle w:val="Strong"/>
        </w:rPr>
        <w:t>regulatory tensions</w:t>
      </w:r>
      <w:r>
        <w:rPr/>
        <w:t xml:space="preserve"> between CAMA 2020 and NCCG 2018), and socio-economic influences (e.g., post-recession NPL volatility), drawing from Elias (2024) and Abdulmalik and Ahmad (2020). </w:t>
      </w:r>
      <w:r>
        <w:rPr>
          <w:rStyle w:val="Strong"/>
        </w:rPr>
        <w:t>Thematic narratives include exemplary cases, such as how unqualified management exacerbated 2017 defaults, enabling comparisons to similar emerging economies with Basel III gaps.</w:t>
      </w:r>
      <w:r>
        <w:rPr/>
        <w:t xml:space="preserve"> A contextual matrix in Appendix F outlines parallels (e.g., to South African banks per Aguilera &amp; Ruiz Castillo, </w:t>
      </w:r>
      <w:r>
        <w:rPr>
          <w:rStyle w:val="Strong"/>
        </w:rPr>
        <w:t>2024</w:t>
      </w:r>
      <w:r>
        <w:rPr/>
        <w:t>), facilitating judgments on applicability without overgeneralization. This approach, more robust than thin summaries, empowers transfer by providing a blueprint for adaptation in analogous governance-deficient markets (Merriam &amp; Tisdell, 2015).</w:t>
      </w:r>
    </w:p>
    <w:p>
      <w:pPr>
        <w:pStyle w:val="BodyText"/>
        <w:spacing w:lineRule="auto" w:line="480"/>
        <w:ind w:hanging="0" w:start="0" w:end="0"/>
        <w:rPr/>
      </w:pPr>
      <w:r>
        <w:rPr>
          <w:rStyle w:val="Strong"/>
        </w:rPr>
        <w:t>3.7.3.3 Dependability</w:t>
      </w:r>
    </w:p>
    <w:p>
      <w:pPr>
        <w:pStyle w:val="BodyText"/>
        <w:spacing w:lineRule="auto" w:line="480"/>
        <w:ind w:hanging="0" w:start="0" w:end="0"/>
        <w:rPr/>
      </w:pPr>
      <w:r>
        <w:rPr/>
        <w:t xml:space="preserve">Dependability is secured by thorough documentation and reflexive practices that render the qualitative process auditable and consistent, allowing for scrutiny of methodological decisions. An audit trail in NVivo logs all steps—from interview protocol development (semi-structured questions on </w:t>
      </w:r>
      <w:r>
        <w:rPr>
          <w:rStyle w:val="Strong"/>
        </w:rPr>
        <w:t>corporate governance indices</w:t>
      </w:r>
      <w:r>
        <w:rPr/>
        <w:t>) to coding iterations (</w:t>
      </w:r>
      <w:r>
        <w:rPr>
          <w:rStyle w:val="Strong"/>
        </w:rPr>
        <w:t>180 initial codes refined to 45 themes</w:t>
      </w:r>
      <w:r>
        <w:rPr/>
        <w:t xml:space="preserve">)—including memos on adjustments (e.g., expanding </w:t>
      </w:r>
      <w:r>
        <w:rPr>
          <w:rStyle w:val="Strong"/>
        </w:rPr>
        <w:t>“regulatory clarity”</w:t>
      </w:r>
      <w:r>
        <w:rPr/>
        <w:t xml:space="preserve"> based on early patterns). Reflexivity is formalized in a researcher journal, documenting potential biases (e.g., the author's Nigerian banking background might incline toward emphasizing </w:t>
      </w:r>
      <w:r>
        <w:rPr>
          <w:rStyle w:val="Strong"/>
        </w:rPr>
        <w:t>disclosure</w:t>
      </w:r>
      <w:r>
        <w:rPr/>
        <w:t xml:space="preserve"> deficits) and countermeasures (e.g., bracketing assumptions during analysis). Regular process reviews, such as midpoint theme audits, ensure adherence to Braun and Clarke's (2006) phases, with dependability queries (e.g., “How might economic news alter responses?”) guiding adaptations. This exceeds basic logging by incorporating reflexive accountability, ensuring stable interpretations amid Nigeria's dynamic regulatory shifts (Nowell et al., 2017).</w:t>
      </w:r>
    </w:p>
    <w:p>
      <w:pPr>
        <w:pStyle w:val="BodyText"/>
        <w:spacing w:lineRule="auto" w:line="480"/>
        <w:ind w:hanging="0" w:start="0" w:end="0"/>
        <w:rPr/>
      </w:pPr>
      <w:r>
        <w:rPr>
          <w:rStyle w:val="Strong"/>
        </w:rPr>
        <w:t>3.7.4 Qualitative Reliability</w:t>
      </w:r>
    </w:p>
    <w:p>
      <w:pPr>
        <w:pStyle w:val="BodyText"/>
        <w:spacing w:lineRule="auto" w:line="480"/>
        <w:ind w:hanging="0" w:start="0" w:end="0"/>
        <w:rPr/>
      </w:pPr>
      <w:r>
        <w:rPr/>
        <w:t xml:space="preserve">Qualitative reliability is demonstrated through inter-rater agreement protocols that verify the consistency of interpretive outcomes across analysts, minimizing subjective variances in theme identification. </w:t>
      </w:r>
      <w:r>
        <w:rPr>
          <w:rStyle w:val="Strong"/>
        </w:rPr>
        <w:t>A second coder, an independent researcher with governance expertise, independently analyzed 30% of transcripts (3 interviews) using the NVivo codebook, achieving Cohen's Kappa=0.85 (surpassing the 0.80 threshold for excellent agreement), with discrepancies (e.g., differing emphases on “political interference”) resolved through structured discussions and code refinements (Cohen, 1960).</w:t>
      </w:r>
      <w:r>
        <w:rPr/>
        <w:t xml:space="preserve"> Percentage agreement reached 92%, complemented by audit trails tracking revisions. This method, preferred over solo coding for its objectivity, ensures reproducible themes on issues like fraud concealment, bolstering reliability in narrative data prone to interpretive divergence (O'Connor &amp; Joffe, 2020).</w:t>
      </w:r>
    </w:p>
    <w:p>
      <w:pPr>
        <w:pStyle w:val="BodyText"/>
        <w:spacing w:lineRule="auto" w:line="480"/>
        <w:ind w:hanging="0" w:start="0" w:end="0"/>
        <w:rPr/>
      </w:pPr>
      <w:r>
        <w:rPr>
          <w:rStyle w:val="Strong"/>
        </w:rPr>
        <w:t>3.7.5 Instrument Reliability and Pilot Testing</w:t>
      </w:r>
    </w:p>
    <w:p>
      <w:pPr>
        <w:pStyle w:val="BodyText"/>
        <w:spacing w:lineRule="auto" w:line="480"/>
        <w:ind w:hanging="0" w:start="0" w:end="0"/>
        <w:rPr/>
      </w:pPr>
      <w:r>
        <w:rPr/>
        <w:t xml:space="preserve">Instrument reliability is rigorously evaluated through pilot testing to confirm the questionnaire's and interview guide's consistency in capturing data, with iterative refinements enhancing precision. </w:t>
      </w:r>
      <w:r>
        <w:rPr>
          <w:rStyle w:val="Strong"/>
        </w:rPr>
        <w:t>A pilot administered 15 questionnaires (approximately 6.5% of the main sample) to a diverse preliminary group (e.g., 5 risk managers, 5 managers, 5 executives), yielding Cronbach's alpha=0.85 overall, with subscales from 0.82 to 0.88, indicating strong internal consistency (Bryman, 2016).</w:t>
      </w:r>
      <w:r>
        <w:rPr/>
        <w:t xml:space="preserve"> Feedback prompted clarifications (e.g., rephrasing </w:t>
      </w:r>
      <w:r>
        <w:rPr>
          <w:rStyle w:val="Strong"/>
        </w:rPr>
        <w:t>regulatory clarity</w:t>
      </w:r>
      <w:r>
        <w:rPr/>
        <w:t xml:space="preserve"> items for cultural relevance, adding examples of CAMA conflicts) and inclusion of reverse-scored questions to counter bias. Test-retest on 15 pilots (two-week gap) produced r=0.86 (p&lt;0.001). For interviews, a pilot with 5 executives tested the guide, refining probes (e.g., deepening questions on </w:t>
      </w:r>
      <w:r>
        <w:rPr>
          <w:rStyle w:val="Strong"/>
        </w:rPr>
        <w:t>management qualifications</w:t>
      </w:r>
      <w:r>
        <w:rPr/>
        <w:t xml:space="preserve">), ensuring temporal stability. This process, extending beyond initial drafts, tailors instruments to Nigeria's context, supporting dependable data for </w:t>
      </w:r>
      <w:r>
        <w:rPr>
          <w:rStyle w:val="Strong"/>
        </w:rPr>
        <w:t>corporate governance indices</w:t>
      </w:r>
      <w:r>
        <w:rPr/>
        <w:t>-NPL analysis (Efron &amp; Tibshirani, 1993; Olojede et al., 2020).</w:t>
      </w:r>
    </w:p>
    <w:p>
      <w:pPr>
        <w:pStyle w:val="BodyText"/>
        <w:spacing w:lineRule="auto" w:line="480"/>
        <w:ind w:hanging="0" w:start="0" w:end="0"/>
        <w:rPr/>
      </w:pPr>
      <w:r>
        <w:rPr>
          <w:rStyle w:val="Strong"/>
        </w:rPr>
        <w:t>3.7.6 Integration of Methods and Enhanced Trustworthiness</w:t>
      </w:r>
    </w:p>
    <w:p>
      <w:pPr>
        <w:pStyle w:val="BodyText"/>
        <w:spacing w:lineRule="auto" w:line="480"/>
        <w:ind w:hanging="0" w:start="0" w:end="0"/>
        <w:rPr/>
      </w:pPr>
      <w:r>
        <w:rPr/>
        <w:t xml:space="preserve">The integration of quantitative and qualitative methods elevates overall trustworthiness by cross-referencing data sources to substantiate findings and address potential inconsistencies. </w:t>
      </w:r>
      <w:r>
        <w:rPr>
          <w:rStyle w:val="Strong"/>
        </w:rPr>
        <w:t>Questionnaire statistics (e.g., regression betas linking audit committee independence to NPL reductions) are compared with interview narratives (e.g., themes on committee capture explaining variances), using joint displays to merge evidence (e.g., a table aligning coefficients with quotes).</w:t>
      </w:r>
      <w:r>
        <w:rPr/>
        <w:t xml:space="preserve"> Secondary data (CBN/NDIC reports) further validates patterns, resolving divergences through meta-inferences (e.g., qualitative barriers elucidating non-significant quantitative links). This synthesis, per Creswell and Plano Clark (2018), provides a holistic view of governance deficiencies, surpassing single-method limitations amid data opacity.</w:t>
      </w:r>
    </w:p>
    <w:p>
      <w:pPr>
        <w:pStyle w:val="BodyText"/>
        <w:spacing w:lineRule="auto" w:line="480"/>
        <w:ind w:hanging="0" w:start="0" w:end="0"/>
        <w:rPr/>
      </w:pPr>
      <w:r>
        <w:rPr>
          <w:rStyle w:val="Strong"/>
        </w:rPr>
        <w:t>3.7.7 Reproducibility</w:t>
      </w:r>
    </w:p>
    <w:p>
      <w:pPr>
        <w:pStyle w:val="BodyText"/>
        <w:spacing w:lineRule="auto" w:line="480"/>
        <w:ind w:hanging="0" w:start="0" w:end="0"/>
        <w:rPr/>
      </w:pPr>
      <w:r>
        <w:rPr/>
        <w:t>Reproducibility is embedded through exhaustive documentation enabling exact replication, fostering scientific transparency. Methodological protocols detail every step (e.g., SPSS syntax for EFA: FACTOR /VARIABLES qu1-qu20 /EXTRACTION PC /ROTATION VARIMAX; NVivo coding hierarchies), with full instruments appended (questionnaire in Appendix E.1, interview guide in E.2). Anonymized datasets are available upon ethical request via institutional repositories, adhering to open science principles. Python/SPSS code snippets (e.g., for bootstrapping) and decision logs facilitate recreation, ensuring findings on CG reforms can be independently verified in similar contexts (Wilkinson et al., 2016).</w:t>
      </w:r>
    </w:p>
    <w:p>
      <w:pPr>
        <w:pStyle w:val="BodyText"/>
        <w:spacing w:lineRule="auto" w:line="480"/>
        <w:rPr/>
      </w:pPr>
      <w:r>
        <w:rPr/>
      </w:r>
    </w:p>
    <w:p>
      <w:pPr>
        <w:pStyle w:val="Heading2"/>
        <w:rPr/>
      </w:pPr>
      <w:r>
        <w:rPr/>
        <w:t>3.8 Ethical Considerations</w:t>
      </w:r>
    </w:p>
    <w:p>
      <w:pPr>
        <w:pStyle w:val="BodyText"/>
        <w:spacing w:lineRule="auto" w:line="480"/>
        <w:rPr/>
      </w:pPr>
      <w:r>
        <w:rPr>
          <w:rStyle w:val="Strong"/>
        </w:rPr>
        <w:t>3.8 Ethical Considerations</w:t>
      </w:r>
    </w:p>
    <w:p>
      <w:pPr>
        <w:pStyle w:val="BodyText"/>
        <w:spacing w:lineRule="auto" w:line="480"/>
        <w:ind w:hanging="0" w:start="0" w:end="0"/>
        <w:rPr/>
      </w:pPr>
      <w:r>
        <w:rPr/>
        <w:t xml:space="preserve">Ethical considerations are integral to the conduct of this research, serving as the foundational framework that safeguards the rights, dignity, and well-being of all participants while preserving the study's integrity and societal value. </w:t>
      </w:r>
      <w:r>
        <w:rPr>
          <w:rStyle w:val="Strong"/>
        </w:rPr>
        <w:t>In exploring corporate governance (CG) deficiencies in Nigerian Deposit Money Banks (DMBs)—a topic fraught with sensitivities around fraud concealment, regulatory conflicts, insider lending, and their linkages to Non-Performing Loans (NPLs)—ethical diligence is paramount to avoid exacerbating vulnerabilities or eroding trust in an already fragile sector (Sanusi, 2009; Olojede et al., 2020).</w:t>
      </w:r>
      <w:r>
        <w:rPr/>
        <w:t xml:space="preserve"> This includes not only compliance with legal mandates but also proactive measures to foster </w:t>
      </w:r>
      <w:r>
        <w:rPr>
          <w:rStyle w:val="Strong"/>
        </w:rPr>
        <w:t>disclosure, practice, and compliance</w:t>
      </w:r>
      <w:r>
        <w:rPr/>
        <w:t xml:space="preserve">, and accountability throughout the research lifecycle, from design to dissemination. By obtaining written informed consent from every participant and including blank and sample forms in Appendix D (with image references for illustrative purposes), the study ensures verifiable adherence to these principles. These safeguards are especially critical in Nigeria's post-consolidation </w:t>
      </w:r>
      <w:r>
        <w:rPr>
          <w:rStyle w:val="Strong"/>
        </w:rPr>
        <w:t>deposit money banking</w:t>
      </w:r>
      <w:r>
        <w:rPr/>
        <w:t xml:space="preserve"> landscape, where governance lapses have contributed to </w:t>
      </w:r>
      <w:r>
        <w:rPr>
          <w:rStyle w:val="Strong"/>
        </w:rPr>
        <w:t>425 bank failures</w:t>
      </w:r>
      <w:r>
        <w:rPr/>
        <w:t xml:space="preserve"> since 1988, including waves in 1994-1998 (31 failures) and the 2009 crisis (interventions in 10 banks, some leading to liquidations), underscoring the need for a respectful approach that balances investigative rigor with participant protection (Nigeria Deposit Insurance Corporation [NDIC], </w:t>
      </w:r>
      <w:r>
        <w:rPr>
          <w:rStyle w:val="Strong"/>
        </w:rPr>
        <w:t>2024</w:t>
      </w:r>
      <w:r>
        <w:rPr/>
        <w:t xml:space="preserve">; Udo, 2020). Ultimately, this ethical stance aligns with global standards like the Declaration of Helsinki (World Medical Association, 2013) and local guidelines from the Chartered Institute of Bankers of Nigeria (CIBN, </w:t>
      </w:r>
      <w:r>
        <w:rPr>
          <w:rStyle w:val="Strong"/>
        </w:rPr>
        <w:t>2023</w:t>
      </w:r>
      <w:r>
        <w:rPr/>
        <w:t>), aiming to generate knowledge that promotes financial stability without causing harm.</w:t>
      </w:r>
    </w:p>
    <w:p>
      <w:pPr>
        <w:pStyle w:val="BodyText"/>
        <w:spacing w:lineRule="auto" w:line="480"/>
        <w:ind w:hanging="0" w:start="0" w:end="0"/>
        <w:rPr/>
      </w:pPr>
      <w:r>
        <w:rPr>
          <w:rStyle w:val="Strong"/>
        </w:rPr>
        <w:t>3.8.1 Informed Consent</w:t>
      </w:r>
    </w:p>
    <w:p>
      <w:pPr>
        <w:pStyle w:val="BodyText"/>
        <w:spacing w:lineRule="auto" w:line="480"/>
        <w:ind w:hanging="0" w:start="0" w:end="0"/>
        <w:rPr/>
      </w:pPr>
      <w:r>
        <w:rPr/>
        <w:t xml:space="preserve">Informed consent represents a core ethical pillar, empowering participants to make autonomous decisions based on comprehensive information about the study's implications, thereby upholding principles of respect and self-determination. </w:t>
      </w:r>
      <w:r>
        <w:rPr>
          <w:rStyle w:val="Strong"/>
        </w:rPr>
        <w:t>The consent process begins with meticulously designed forms that articulate the research's objectives—such as evaluating corporate governance indices (disclosure, practice, compliance), audit committee independence, management qualifications, and regulatory clarity in relation to NPL ratios—while detailing procedural elements, including the duration and format of involvement (e.g., a 35-45 minute semi-structured interview or a 15-20 minute structured questionnaire).</w:t>
      </w:r>
      <w:r>
        <w:rPr/>
        <w:t xml:space="preserve"> Forms explicitly outline potential risks (e.g., discomfort from discussing sensitive governance issues) and benefits (e.g., contributing to sector-wide reforms), alongside unequivocal statements on voluntariness, the right to withdraw at any stage without penalty, and assurances of no direct incentives to prevent coercion. To enhance accessibility, forms are available in English (the primary business language in Nigerian banking) and incorporate simple, jargon-free explanations, with provisions for verbal translations if needed for diverse respondents. During in-person engagements in Abuja bank offices, the researcher provides oral overviews, answers queries in real-time, and allows time for reflection before signing, ensuring comprehension among varied groups like junior cashiers or senior executives. This multi-layered approach mitigates power imbalances inherent in professional hierarchies, where subordinates might feel pressured, and fosters genuine participation essential for eliciting honest insights on topics like </w:t>
      </w:r>
      <w:r>
        <w:rPr>
          <w:rStyle w:val="Strong"/>
        </w:rPr>
        <w:t>audit committee capture</w:t>
      </w:r>
      <w:r>
        <w:rPr/>
        <w:t xml:space="preserve"> (Abdulmalik &amp; Ahmad, 2020). By referencing Appendix D's blank form (Figure D.1) and a redacted sample (Figure D.2, with signatures blurred for privacy), the study promotes transparency and reproducibility, aligning with the Belmont Report's emphasis on informed consent as a continuous process rather than a one-time event (National Commission for the Protection of Human Subjects of Biomedical and Behavioral Research, 1979).</w:t>
      </w:r>
    </w:p>
    <w:p>
      <w:pPr>
        <w:pStyle w:val="BodyText"/>
        <w:spacing w:lineRule="auto" w:line="480"/>
        <w:ind w:hanging="0" w:start="0" w:end="0"/>
        <w:rPr/>
      </w:pPr>
      <w:r>
        <w:rPr>
          <w:rStyle w:val="Strong"/>
        </w:rPr>
        <w:t>3.8.2 Confidentiality and Anonymization</w:t>
      </w:r>
    </w:p>
    <w:p>
      <w:pPr>
        <w:pStyle w:val="BodyText"/>
        <w:spacing w:lineRule="auto" w:line="480"/>
        <w:ind w:hanging="0" w:start="0" w:end="0"/>
        <w:rPr/>
      </w:pPr>
      <w:r>
        <w:rPr/>
        <w:t xml:space="preserve">Confidentiality and anonymization are rigorously enforced to shield participants from potential repercussions, creating a secure environment that encourages forthright disclosures on contentious CG issues, such as </w:t>
      </w:r>
      <w:r>
        <w:rPr>
          <w:rStyle w:val="Strong"/>
        </w:rPr>
        <w:t>political interference in board nominations</w:t>
      </w:r>
      <w:r>
        <w:rPr/>
        <w:t xml:space="preserve"> or weaknesses in whistleblowing mechanisms. Upon data collection, all identifiable information is systematically stripped: questionnaires and interview recordings are assigned unique codes (e.g., Q001 for questionnaire respondents, I001 for interviewees), while transcripts undergo pseudonymization (e.g., replacing "CEO of Bank X" with "Senior Executive 1"). Advanced techniques, including data aggregation in reporting (e.g., presenting findings as sectoral trends rather than bank-specific), further obscure origins, preventing deductive disclosure in a close-knit industry where contextual details could reveal sources. This is vital in Nigeria's </w:t>
      </w:r>
      <w:r>
        <w:rPr>
          <w:rStyle w:val="Strong"/>
        </w:rPr>
        <w:t>deposit money banking</w:t>
      </w:r>
      <w:r>
        <w:rPr/>
        <w:t xml:space="preserve"> context, where weak </w:t>
      </w:r>
      <w:r>
        <w:rPr>
          <w:rStyle w:val="Strong"/>
        </w:rPr>
        <w:t>enforcement consistency</w:t>
      </w:r>
      <w:r>
        <w:rPr/>
        <w:t xml:space="preserve"> of protections has historically silenced critics, as evidenced by limited whistleblower cases amid rising NPLs (Olojede et al., 2020; Nwoko et al., 2022). Anonymization extends to secondary data handling, cross-referencing financial reports without linking to primary sources. By implementing these measures, the study not only complies with ethical norms but also enhances data validity, as participants are more likely to share unfiltered views on </w:t>
      </w:r>
      <w:r>
        <w:rPr>
          <w:rStyle w:val="Strong"/>
        </w:rPr>
        <w:t>regulatory multiplicity</w:t>
      </w:r>
      <w:r>
        <w:rPr/>
        <w:t xml:space="preserve"> under CAMA 2020 and NCCG 2018, ultimately supporting robust, unbiased recommendations for reform.</w:t>
      </w:r>
    </w:p>
    <w:p>
      <w:pPr>
        <w:pStyle w:val="BodyText"/>
        <w:spacing w:lineRule="auto" w:line="480"/>
        <w:ind w:hanging="0" w:start="0" w:end="0"/>
        <w:rPr/>
      </w:pPr>
      <w:r>
        <w:rPr>
          <w:rStyle w:val="Strong"/>
        </w:rPr>
        <w:t>3.8.3 Data Protection and Storage</w:t>
      </w:r>
    </w:p>
    <w:p>
      <w:pPr>
        <w:pStyle w:val="BodyText"/>
        <w:spacing w:lineRule="auto" w:line="480"/>
        <w:ind w:hanging="0" w:start="0" w:end="0"/>
        <w:rPr/>
      </w:pPr>
      <w:r>
        <w:rPr>
          <w:rStyle w:val="Strong"/>
        </w:rPr>
        <w:t>Robust data protection and storage protocols are implemented to safeguard sensitive information against breaches, ensuring compliance with evolving legal frameworks and minimizing risks in a digital age prone to cyber threats. The study adheres to the Nigeria Data Protection Act (NDPA) 2023, which establishes comprehensive rules for personal data processing, and preemptively aligns with the General Application and Implementation Directive (GAID) issued in 2024 (Nigeria Data Protection Commission [NDPC], 2024).</w:t>
      </w:r>
      <w:r>
        <w:rPr/>
        <w:t xml:space="preserve"> Under NDPA, data minimization principles limit collection to essentials (e.g., no unnecessary demographics), while purpose limitation restricts use to research objectives. Storage involves encrypted devices (AES-256 standard) with multi-factor authentication, hosted on secure, local servers to avoid cross-border transfer issues under GAID's adequacy requirements. Backups are encrypted and stored separately, with access logs monitored for anomalies. For audio recordings, temporary retention (until transcription) is followed by secure deletion using overwrite software to prevent recovery. Physical security includes locked facilities with restricted entry, and breach response plans entail immediate notification to participants and the NDPC if data is compromised. These measures exceed basic compliance, drawing from GDPR-inspired best practices (e.g., pseudonymization and encryption), and are tailored to </w:t>
      </w:r>
      <w:r>
        <w:rPr>
          <w:rStyle w:val="Strong"/>
        </w:rPr>
        <w:t>deposit money banking</w:t>
      </w:r>
      <w:r>
        <w:rPr/>
        <w:t xml:space="preserve"> research where data leaks could amplify financial instability, thereby reinforcing participant trust and the study's ethical credibility (European Union, 2016; NDPC, </w:t>
      </w:r>
      <w:r>
        <w:rPr>
          <w:rStyle w:val="Strong"/>
        </w:rPr>
        <w:t>2024</w:t>
      </w:r>
      <w:r>
        <w:rPr/>
        <w:t>).</w:t>
      </w:r>
    </w:p>
    <w:p>
      <w:pPr>
        <w:pStyle w:val="BodyText"/>
        <w:spacing w:lineRule="auto" w:line="480"/>
        <w:ind w:hanging="0" w:start="0" w:end="0"/>
        <w:rPr/>
      </w:pPr>
      <w:r>
        <w:rPr>
          <w:rStyle w:val="Strong"/>
        </w:rPr>
        <w:t>3.8.4 Ethical Approval and Oversight</w:t>
      </w:r>
    </w:p>
    <w:p>
      <w:pPr>
        <w:pStyle w:val="BodyText"/>
        <w:spacing w:lineRule="auto" w:line="480"/>
        <w:ind w:hanging="0" w:start="0" w:end="0"/>
        <w:rPr/>
      </w:pPr>
      <w:r>
        <w:rPr/>
        <w:t xml:space="preserve">Securing formal ethical approval provides independent validation of the study's design, ensuring alignment with institutional and international standards while addressing potential oversights. </w:t>
      </w:r>
      <w:r>
        <w:rPr>
          <w:rStyle w:val="Strong"/>
        </w:rPr>
        <w:t>Approval was granted by the University of Buckingham’s Research Ethics Committee (Reference: UB-REC-2024-012) after a detailed submission encompassing the proposal, risk-benefit analysis, consent templates, and data management strategy.</w:t>
      </w:r>
      <w:r>
        <w:rPr/>
        <w:t xml:space="preserve"> The committee's scrutiny focused on vulnerabilities in mixed-methods research, such as emotional distress from recalling governance crises (e.g., the 2009 interventions) or conflicts arising from in-person settings, mandating mitigants like optional debriefings. Oversight extends beyond approval: interim reviews monitor adherence, with provisions for amendments if new risks emerge, such as </w:t>
      </w:r>
      <w:r>
        <w:rPr>
          <w:rStyle w:val="Strong"/>
        </w:rPr>
        <w:t>regulatory changes</w:t>
      </w:r>
      <w:r>
        <w:rPr/>
        <w:t xml:space="preserve"> post-GAID issuance. This process integrates UKRI and ESRC frameworks, emphasizing societal impact in emerging markets (UK Research and Innovation, 2021; Economic and Social Research Council, 2021), and complements local oversight from bodies like the National Health Research Ethics Committee of Nigeria (NHREC) for financial sector parallels. By embedding this oversight, the study not only legitimizes its methods but also models ethical governance, mirroring the </w:t>
      </w:r>
      <w:r>
        <w:rPr>
          <w:rStyle w:val="Strong"/>
        </w:rPr>
        <w:t>disclosure</w:t>
      </w:r>
      <w:r>
        <w:rPr/>
        <w:t xml:space="preserve"> it advocates for DMBs.</w:t>
      </w:r>
    </w:p>
    <w:p>
      <w:pPr>
        <w:pStyle w:val="BodyText"/>
        <w:spacing w:lineRule="auto" w:line="480"/>
        <w:ind w:hanging="0" w:start="0" w:end="0"/>
        <w:rPr/>
      </w:pPr>
      <w:r>
        <w:rPr>
          <w:rStyle w:val="Strong"/>
        </w:rPr>
        <w:t>3.8.5 Participant Selection and Fairness</w:t>
      </w:r>
    </w:p>
    <w:p>
      <w:pPr>
        <w:pStyle w:val="BodyText"/>
        <w:spacing w:lineRule="auto" w:line="480"/>
        <w:ind w:hanging="0" w:start="0" w:end="0"/>
        <w:rPr/>
      </w:pPr>
      <w:r>
        <w:rPr/>
        <w:t xml:space="preserve">Participant selection emphasizes fairness and inclusivity to capture a representative spectrum of voices, mitigating biases that could undermine the study's validity or perpetuate inequities in banking discourse. </w:t>
      </w:r>
      <w:r>
        <w:rPr>
          <w:rStyle w:val="Strong"/>
        </w:rPr>
        <w:t>Employing purposive sampling stratified by role (e.g., 35% risk managers, 40% mid-level managers, 25% executives), bank size (small, medium, large per CBN classifications), and experience levels ensures diverse insights into CG impacts across hierarchies.</w:t>
      </w:r>
      <w:r>
        <w:rPr/>
        <w:t xml:space="preserve"> Recruitment via neutral channels (e.g., professional associations like CIBN) avoids favoritism, with explicit criteria disclosed to participants for transparency. Efforts to include underrepresented groups, such as women in senior roles (noting gender disparities in Nigerian banking), align with equity principles, while accommodating logistical needs (e.g., flexible scheduling) respects time constraints. This approach counters elite capture in research, where executive views often dominate, enabling a holistic examination of issues like </w:t>
      </w:r>
      <w:r>
        <w:rPr>
          <w:rStyle w:val="Strong"/>
        </w:rPr>
        <w:t>unqualified management</w:t>
      </w:r>
      <w:r>
        <w:rPr/>
        <w:t xml:space="preserve"> from ground-level perspectives (Kafidipe, 2021; Adegbite, 2014). By adhering to justice principles from the Belmont Report, the selection process enhances the ethical and scientific value, yielding findings applicable to the broader sector and supporting inclusive reforms.</w:t>
      </w:r>
    </w:p>
    <w:p>
      <w:pPr>
        <w:pStyle w:val="BodyText"/>
        <w:spacing w:lineRule="auto" w:line="480"/>
        <w:ind w:hanging="0" w:start="0" w:end="0"/>
        <w:rPr/>
      </w:pPr>
      <w:r>
        <w:rPr>
          <w:rStyle w:val="Strong"/>
        </w:rPr>
        <w:t>3.8.6 Minimizing Potential Harms and Managing Risks</w:t>
      </w:r>
    </w:p>
    <w:p>
      <w:pPr>
        <w:pStyle w:val="BodyText"/>
        <w:spacing w:lineRule="auto" w:line="480"/>
        <w:ind w:hanging="0" w:start="0" w:end="0"/>
        <w:rPr/>
      </w:pPr>
      <w:r>
        <w:rPr/>
        <w:t xml:space="preserve">A proactive risk management strategy minimizes harms, prioritizing non-maleficence by identifying and addressing threats to participants' professional, emotional, or reputational well-being. Potential harms include career risks from critiquing governance (e.g., fear of demotion for discussing fraud), mitigated through stringent anonymization and voluntariness reaffirmations during sessions. In-person interviews in private office spaces are framed as confidential dialogues, with options for remote alternatives to reduce perceived pressure. Emotional harms, such as distress from reliving crises like the 2017 NPL spikes, are addressed via post-interview debriefs offering resources (e.g., CIBN counseling referrals) and monitoring for signs of discomfort. Broader risks, like study findings fueling media sensationalism, are countered by balanced reporting focusing on systemic solutions rather than blame, with pre-publication reviews for sensitivity. Beneficence is realized through potential outcomes like policy recommendations for </w:t>
      </w:r>
      <w:r>
        <w:rPr>
          <w:rStyle w:val="Strong"/>
        </w:rPr>
        <w:t>harmonized regulations</w:t>
      </w:r>
      <w:r>
        <w:rPr/>
        <w:t xml:space="preserve">, weighed against risks in the ethics application. This comprehensive framework, informed by risk assessment matrices, ensures harms are anticipated and managed, fostering an ethical research environment that respects Nigeria's cultural and professional nuances (CIBN, </w:t>
      </w:r>
      <w:r>
        <w:rPr>
          <w:rStyle w:val="Strong"/>
        </w:rPr>
        <w:t>2023</w:t>
      </w:r>
      <w:r>
        <w:rPr/>
        <w:t>; Nwosu, 2020).</w:t>
      </w:r>
    </w:p>
    <w:p>
      <w:pPr>
        <w:pStyle w:val="BodyText"/>
        <w:spacing w:lineRule="auto" w:line="480"/>
        <w:ind w:hanging="0" w:start="0" w:end="0"/>
        <w:rPr/>
      </w:pPr>
      <w:r>
        <w:rPr>
          <w:rStyle w:val="Strong"/>
        </w:rPr>
        <w:t>3.8.7 Addressing Researcher Bias and Conflicts of Interest</w:t>
      </w:r>
    </w:p>
    <w:p>
      <w:pPr>
        <w:pStyle w:val="BodyText"/>
        <w:spacing w:lineRule="auto" w:line="480"/>
        <w:ind w:hanging="0" w:start="0" w:end="0"/>
        <w:rPr/>
      </w:pPr>
      <w:r>
        <w:rPr/>
        <w:t xml:space="preserve">Acknowledging and mitigating researcher bias is essential for objective inquiry, particularly in a field where personal experiences could influence interpretations of CG data. Reflexivity is practiced through a dedicated research journal logging preconceptions (e.g., the researcher's Nigerian finance background potentially biasing toward </w:t>
      </w:r>
      <w:r>
        <w:rPr>
          <w:rStyle w:val="Strong"/>
        </w:rPr>
        <w:t>regulatory critiques</w:t>
      </w:r>
      <w:r>
        <w:rPr/>
        <w:t xml:space="preserve">), reviewed periodically to adjust analytical lenses. Methodological safeguards, such as mixed-methods triangulation and blind coding for qualitative data, further neutralize subjectivity, with quantitative results cross-checked against independent benchmarks. Peer debriefing with unaffiliated academics provides external validation, refining themes like </w:t>
      </w:r>
      <w:r>
        <w:rPr>
          <w:rStyle w:val="Strong"/>
        </w:rPr>
        <w:t>“regulatory multiplicity”</w:t>
      </w:r>
      <w:r>
        <w:rPr/>
        <w:t xml:space="preserve"> to avoid overemphasis. Conflicts of interest are absent: the researcher declares no financial, professional, or personal ties to DMBs, regulators, or competitors, as verified in the ethics submission and updated annually. This disclosure, aligned with COPE guidelines (Committee on Publication Ethics, 2021), bolsters credibility, ensuring findings on NPL drivers remain impartial and contribute authentically to scholarly discourse.</w:t>
      </w:r>
    </w:p>
    <w:p>
      <w:pPr>
        <w:pStyle w:val="BodyText"/>
        <w:spacing w:lineRule="auto" w:line="480"/>
        <w:rPr/>
      </w:pPr>
      <w:r>
        <w:rPr/>
      </w:r>
      <w:r>
        <w:br w:type="page"/>
      </w:r>
    </w:p>
    <w:p>
      <w:pPr>
        <w:pStyle w:val="Heading2"/>
        <w:spacing w:before="0" w:after="0"/>
        <w:rPr/>
      </w:pPr>
      <w:r>
        <w:rPr/>
        <w:t>3.9 Limitations</w:t>
      </w:r>
    </w:p>
    <w:p>
      <w:pPr>
        <w:pStyle w:val="BodyText"/>
        <w:spacing w:lineRule="auto" w:line="480"/>
        <w:ind w:hanging="0" w:start="0" w:end="0"/>
        <w:rPr/>
      </w:pPr>
      <w:r>
        <w:rPr/>
        <w:t xml:space="preserve">This study strives to curtail assumptions by firmly rooting its analytical frameworks in verifiable empirical data and comprehensive validation protocols, thereby narrowing the avenue for unsupported assertions that could undermine the reliability of conclusions drawn about corporate governance (CG) dynamics in Nigerian Deposit Money Banks (DMBs). For instance, the regression analyses presuppose independence among predictors without perfect multicollinearity, a premise substantiated through rigorous Variance Inflation Factor (VIF) diagnostics (all VIF scores maintained below 4.5, averting coefficient inflation); concurrently, distributional assumptions like normality of residuals are meticulously examined via Shapiro-Wilk tests (yielding p-values &gt;0.05 after appropriate transformations, such as logarithmic adjustments for skewed NPL variables) and visual inspections of Q-Q plots and histograms, ensuring statistical inferences remain sound (Bryman, 2016; Wooldridge, 2016). </w:t>
      </w:r>
      <w:r>
        <w:rPr>
          <w:rStyle w:val="Strong"/>
        </w:rPr>
        <w:t>The pragmatic paradigm further eschews overreaching causal attributions, demanding convergent evidence from quantitative regressions and qualitative themes before positing relationships, such as the mitigating role of disclosure, practice, and compliance on default risks.</w:t>
      </w:r>
      <w:r>
        <w:rPr/>
        <w:t xml:space="preserve"> Through these data-oriented strategies—including exhaustive cross-verification of NPL figures against authoritative sources like Central Bank of Nigeria (CBN) bulletins and Nigeria Deposit Insurance Corporation (NDIC) reports, alongside bootstrapping to assess sample robustness—the investigation prioritizes tangible, observable patterns over speculative hypotheses. However, despite these safeguards, several inherent limitations endure, as detailed in the subsections below, which may influence the breadth, precision, and extrapolative power of the findings. These constraints are proactively addressed via methodological countermeasures, such as incorporating control variables for economic confounders and employing member checking for qualitative depth, yet they reveal critical junctures for methodological evolution in future research, especially within Nigeria's multifaceted </w:t>
      </w:r>
      <w:r>
        <w:rPr>
          <w:rStyle w:val="Strong"/>
        </w:rPr>
        <w:t>deposit money banking</w:t>
      </w:r>
      <w:r>
        <w:rPr/>
        <w:t xml:space="preserve"> ecosystem characterized by </w:t>
      </w:r>
      <w:r>
        <w:rPr>
          <w:rStyle w:val="Strong"/>
        </w:rPr>
        <w:t>regulatory flux</w:t>
      </w:r>
      <w:r>
        <w:rPr/>
        <w:t>, economic instability, and evolving global pressures like Basel III compliance.</w:t>
      </w:r>
    </w:p>
    <w:p>
      <w:pPr>
        <w:pStyle w:val="BodyText"/>
        <w:spacing w:lineRule="auto" w:line="480"/>
        <w:ind w:hanging="0" w:start="0" w:end="0"/>
        <w:rPr/>
      </w:pPr>
      <w:r>
        <w:rPr>
          <w:rStyle w:val="Strong"/>
        </w:rPr>
        <w:t>3.9.1 Response Bias in the Questionnaire</w:t>
      </w:r>
    </w:p>
    <w:p>
      <w:pPr>
        <w:pStyle w:val="BodyText"/>
        <w:spacing w:lineRule="auto" w:line="480"/>
        <w:ind w:hanging="0" w:start="0" w:end="0"/>
        <w:rPr/>
      </w:pPr>
      <w:r>
        <w:rPr/>
        <w:t xml:space="preserve">Response bias in the structured questionnaire emerges as a substantial limitation, wherein participants may inadvertently or deliberately offer answers that align with perceived social norms, institutional expectations, or self-preservation instincts, rather than providing raw, unfiltered reflections on governance realities, thereby introducing systematic distortions into the quantitative data. This phenomenon is particularly acute in the Nigerian </w:t>
      </w:r>
      <w:r>
        <w:rPr>
          <w:rStyle w:val="Strong"/>
        </w:rPr>
        <w:t>deposit money banking</w:t>
      </w:r>
      <w:r>
        <w:rPr/>
        <w:t xml:space="preserve"> context, where professionals navigating a landscape of stringent hierarchies, </w:t>
      </w:r>
      <w:r>
        <w:rPr>
          <w:rStyle w:val="Strong"/>
        </w:rPr>
        <w:t>political interconnections</w:t>
      </w:r>
      <w:r>
        <w:rPr/>
        <w:t xml:space="preserve">, and career vulnerabilities might opt for responses that portray CG practices in an unduly favorable light—such as overstating the effectiveness of </w:t>
      </w:r>
      <w:r>
        <w:rPr>
          <w:rStyle w:val="Strong"/>
        </w:rPr>
        <w:t>practice indices</w:t>
      </w:r>
      <w:r>
        <w:rPr/>
        <w:t xml:space="preserve"> or downplaying </w:t>
      </w:r>
      <w:r>
        <w:rPr>
          <w:rStyle w:val="Strong"/>
        </w:rPr>
        <w:t>disclosure</w:t>
      </w:r>
      <w:r>
        <w:rPr/>
        <w:t xml:space="preserve"> lapses—to evade potential backlash from superiors, regulators, or peers, resulting in artificially elevated Likert-scale scores (e.g., means skewed toward 4-5 on a 7-point scale for </w:t>
      </w:r>
      <w:r>
        <w:rPr>
          <w:rStyle w:val="Strong"/>
        </w:rPr>
        <w:t>compliance</w:t>
      </w:r>
      <w:r>
        <w:rPr/>
        <w:t xml:space="preserve"> items) and attenuated correlations between CG deficiencies and NPL elevations (Bryman, 2016; Podsakoff et al., 2003; Tourangeau &amp; Yan, 2007). For example, cashiers or mid-level managers might hesitate to criticize </w:t>
      </w:r>
      <w:r>
        <w:rPr>
          <w:rStyle w:val="Strong"/>
        </w:rPr>
        <w:t>board cronyism</w:t>
      </w:r>
      <w:r>
        <w:rPr/>
        <w:t xml:space="preserve"> due to fears of internal audits or job insecurity, while executives could embellish </w:t>
      </w:r>
      <w:r>
        <w:rPr>
          <w:rStyle w:val="Strong"/>
        </w:rPr>
        <w:t>regulatory compliance</w:t>
      </w:r>
      <w:r>
        <w:rPr/>
        <w:t xml:space="preserve"> to safeguard institutional reputations amid scrutiny from bodies like the CBN. Such biases not only inflate perceptions of efficacy in </w:t>
      </w:r>
      <w:r>
        <w:rPr>
          <w:rStyle w:val="Strong"/>
        </w:rPr>
        <w:t>indices</w:t>
      </w:r>
      <w:r>
        <w:rPr/>
        <w:t xml:space="preserve"> like </w:t>
      </w:r>
      <w:r>
        <w:rPr>
          <w:rStyle w:val="Strong"/>
        </w:rPr>
        <w:t>practice</w:t>
      </w:r>
      <w:r>
        <w:rPr/>
        <w:t xml:space="preserve"> but also obscure the true magnitude of issues like fraud concealment, leading to conservative estimates of governance impacts on default risks and potentially misleading reform priorities. To temper this, the instrument incorporated anonymity assurances in consent materials, randomized question sequencing to disrupt pattern recognition, and reverse-scored items (e.g., </w:t>
      </w:r>
      <w:r>
        <w:rPr>
          <w:rStyle w:val="Strong"/>
        </w:rPr>
        <w:t>"Audit committees are often influenced by shareholders"</w:t>
      </w:r>
      <w:r>
        <w:rPr/>
        <w:t xml:space="preserve"> reversed to detect inconsistency), alongside post-hoc checks for common method variance via Harman's single-factor test (loading &lt;50%). Nonetheless, these measures cannot wholly eliminate deeply ingrained response tendencies rooted in cultural norms of deference or professional self-protection, thereby constraining the findings' depth by possibly underrepresenting critical governance flaws and limiting generalizability to scenarios where respondents feel fully empowered to disclose. This limitation accentuates the broader methodological quandary in self-assessment tools within regulated sectors, where external observational data or behavioral proxies might offer complementary objectivity in future iterations.</w:t>
      </w:r>
    </w:p>
    <w:p>
      <w:pPr>
        <w:pStyle w:val="BodyText"/>
        <w:spacing w:lineRule="auto" w:line="480"/>
        <w:ind w:hanging="0" w:start="0" w:end="0"/>
        <w:rPr/>
      </w:pPr>
      <w:r>
        <w:rPr>
          <w:rStyle w:val="Strong"/>
        </w:rPr>
        <w:t>3.9.2 Subjectivity in Interviews</w:t>
      </w:r>
    </w:p>
    <w:p>
      <w:pPr>
        <w:pStyle w:val="BodyText"/>
        <w:spacing w:lineRule="auto" w:line="480"/>
        <w:ind w:hanging="0" w:start="0" w:end="0"/>
        <w:rPr/>
      </w:pPr>
      <w:r>
        <w:rPr/>
        <w:t xml:space="preserve">Subjectivity inherent in the semi-structured interviews constitutes a noteworthy limitation, as the interpretive nature of qualitative data collection and analysis can be swayed by participants' personal viewpoints, experiential filters, memory lapses, or strategic framing, potentially yielding narratives that selectively highlight or omit aspects of CG challenges and thereby introducing variability or partiality into the thematic outcomes. In the Nigerian </w:t>
      </w:r>
      <w:r>
        <w:rPr>
          <w:rStyle w:val="Strong"/>
        </w:rPr>
        <w:t>deposit money banking</w:t>
      </w:r>
      <w:r>
        <w:rPr/>
        <w:t xml:space="preserve"> sphere, where interviewees—predominantly senior executives—operate within a web of power dynamics, institutional loyalties, and socio-political sensitivities, this subjectivity might manifest as embellished accounts of reform successes (e.g., portraying CBN Guidelines 2023 as transformative despite </w:t>
      </w:r>
      <w:r>
        <w:rPr>
          <w:rStyle w:val="Strong"/>
        </w:rPr>
        <w:t>enforcement gaps</w:t>
      </w:r>
      <w:r>
        <w:rPr/>
        <w:t xml:space="preserve">) or minimized acknowledgments of persistent barriers like </w:t>
      </w:r>
      <w:r>
        <w:rPr>
          <w:rStyle w:val="Strong"/>
        </w:rPr>
        <w:t>political interference in board appointments</w:t>
      </w:r>
      <w:r>
        <w:rPr/>
        <w:t xml:space="preserve">, influenced by desires to project competence or avoid implicating networks (Braun &amp; Clarke, 2006; Silverman, 2021). For instance, a CEO might emphasize </w:t>
      </w:r>
      <w:r>
        <w:rPr>
          <w:rStyle w:val="Strong"/>
        </w:rPr>
        <w:t>“improved disclosure”</w:t>
      </w:r>
      <w:r>
        <w:rPr/>
        <w:t xml:space="preserve"> post-</w:t>
      </w:r>
      <w:r>
        <w:rPr>
          <w:rStyle w:val="Strong"/>
        </w:rPr>
        <w:t>2019</w:t>
      </w:r>
      <w:r>
        <w:rPr/>
        <w:t xml:space="preserve"> while glossing over </w:t>
      </w:r>
      <w:r>
        <w:rPr>
          <w:rStyle w:val="Strong"/>
        </w:rPr>
        <w:t>audit committee capture</w:t>
      </w:r>
      <w:r>
        <w:rPr/>
        <w:t xml:space="preserve"> due to shareholder ties, skewing themes toward optimism and understating the interplay between </w:t>
      </w:r>
      <w:r>
        <w:rPr>
          <w:rStyle w:val="Strong"/>
        </w:rPr>
        <w:t>regulatory clarity</w:t>
      </w:r>
      <w:r>
        <w:rPr/>
        <w:t xml:space="preserve"> and NPL escalations. This interpretive layer risks amplifying dominant voices, potentially marginalizing subtle dissent and leading to themes that overrepresent elite consensus rather than diverse realities. Mitigation strategies included neutral probing questions to elicit balanced responses, verbatim transcription for fidelity, member checking with </w:t>
      </w:r>
      <w:r>
        <w:rPr>
          <w:rStyle w:val="Strong"/>
        </w:rPr>
        <w:t>8 participants</w:t>
      </w:r>
      <w:r>
        <w:rPr/>
        <w:t xml:space="preserve"> to validate interpretations (resulting in minor refinements, e.g., clarifying </w:t>
      </w:r>
      <w:r>
        <w:rPr>
          <w:rStyle w:val="Strong"/>
        </w:rPr>
        <w:t>“cultural influences on qualifications”</w:t>
      </w:r>
      <w:r>
        <w:rPr/>
        <w:t>), and peer debriefing with external scholars to interrogate biases in coding. However, these cannot fully neutralize the reflexive interplay between interviewer and interviewee, where rapport-building might inadvertently encourage alignment with perceived expectations. Consequently, this subjectivity tempers the findings' interpretive richness, constraining generalizability by embedding context-specific lenses that may not fully translate to other banking hierarchies or cultural milieus, and underscoring the value of supplementary methods like document analysis for objective corroboration in pragmatic designs.</w:t>
      </w:r>
    </w:p>
    <w:p>
      <w:pPr>
        <w:pStyle w:val="BodyText"/>
        <w:spacing w:lineRule="auto" w:line="480"/>
        <w:ind w:hanging="0" w:start="0" w:end="0"/>
        <w:rPr/>
      </w:pPr>
      <w:r>
        <w:rPr>
          <w:rStyle w:val="Strong"/>
        </w:rPr>
        <w:t>3.9.3 Small Sample Size for Interviews</w:t>
      </w:r>
    </w:p>
    <w:p>
      <w:pPr>
        <w:pStyle w:val="BodyText"/>
        <w:spacing w:lineRule="auto" w:line="480"/>
        <w:ind w:hanging="0" w:start="0" w:end="0"/>
        <w:rPr/>
      </w:pPr>
      <w:r>
        <w:rPr>
          <w:rStyle w:val="Strong"/>
        </w:rPr>
        <w:t>The qualitative component's sample of 10 interviewees (50% response rate from 20 scheduled), while sufficient to reach thematic saturation—where no novel insights emerged after the 8th session, consistent with Guest et al. (2006) who advocate 6-12 for focused exploratory studies in relatively homogeneous expert groups—nevertheless imposes a limitation by curtailing the diversity and volume of perspectives, potentially overlooking fringe or emergent viewpoints on CG intricacies across Nigeria's DMBs (Guest et al., 2006; Central Bank of Nigeria [CBN], 2024).</w:t>
      </w:r>
      <w:r>
        <w:rPr/>
        <w:t xml:space="preserve"> Purposive sampling honed in on high-caliber informants (e.g., CEOs, board chairs, executive managers) for in-depth authority on </w:t>
      </w:r>
      <w:r>
        <w:rPr>
          <w:rStyle w:val="Strong"/>
        </w:rPr>
        <w:t>indices</w:t>
      </w:r>
      <w:r>
        <w:rPr/>
        <w:t xml:space="preserve"> like </w:t>
      </w:r>
      <w:r>
        <w:rPr>
          <w:rStyle w:val="Strong"/>
        </w:rPr>
        <w:t>management qualifications</w:t>
      </w:r>
      <w:r>
        <w:rPr/>
        <w:t xml:space="preserve"> or </w:t>
      </w:r>
      <w:r>
        <w:rPr>
          <w:rStyle w:val="Strong"/>
        </w:rPr>
        <w:t>audit committee independence</w:t>
      </w:r>
      <w:r>
        <w:rPr/>
        <w:t xml:space="preserve">, yet this elite focus may undervalue contributions from lower-tier staff or regional branches, where practical implementations of </w:t>
      </w:r>
      <w:r>
        <w:rPr>
          <w:rStyle w:val="Strong"/>
        </w:rPr>
        <w:t>practice indices</w:t>
      </w:r>
      <w:r>
        <w:rPr/>
        <w:t xml:space="preserve"> might reveal uncharted barriers, such as localized </w:t>
      </w:r>
      <w:r>
        <w:rPr>
          <w:rStyle w:val="Strong"/>
        </w:rPr>
        <w:t>regulatory misalignments</w:t>
      </w:r>
      <w:r>
        <w:rPr/>
        <w:t xml:space="preserve"> exacerbating NPLs in underserved areas (Kafidipe, 2021; Elias, 2024). Absent a formal power analysis—qualitative paradigms prioritize informational density over quantitative thresholds—the size was guided by saturation criteria, confirmed via iterative NVivo coding where theme redundancy plateaued. Logistical impediments, including coordinating in-person sessions with time-constrained leaders amid Abuja's traffic and security concerns, hindered scaling to 25-35 participants, though virtual modalities could facilitate this in extensions. This constraint diminishes representational breadth, limiting generalizability to the full DMB ecosystem by possibly privileging metropolitan, senior narratives over peripheral ones, and accentuating the trade-off between depth (rich, contextual quotes) and breadth in resource-bound mixed-methods inquiries, where hybrid sampling might yield more inclusive insights.</w:t>
      </w:r>
    </w:p>
    <w:p>
      <w:pPr>
        <w:pStyle w:val="BodyText"/>
        <w:spacing w:lineRule="auto" w:line="480"/>
        <w:ind w:hanging="0" w:start="0" w:end="0"/>
        <w:rPr/>
      </w:pPr>
      <w:r>
        <w:rPr>
          <w:rStyle w:val="Strong"/>
        </w:rPr>
        <w:t>3.9.4 Cross-Sectional Design</w:t>
      </w:r>
    </w:p>
    <w:p>
      <w:pPr>
        <w:pStyle w:val="BodyText"/>
        <w:spacing w:lineRule="auto" w:line="480"/>
        <w:ind w:hanging="0" w:start="0" w:end="0"/>
        <w:rPr/>
      </w:pPr>
      <w:r>
        <w:rPr>
          <w:rStyle w:val="Strong"/>
        </w:rPr>
        <w:t>The adoption of a cross-sectional design for RQ2–RQ4, which encapsulates governance perceptions and NPL snapshots from April 2024 data collection, fundamentally restricts the capacity to discern temporal causality or evolutionary trajectories, such as whether incremental enhancements in disclosure causally precede long-term NPL abatements or merely correlate amid concurrent economic recoveries (Natufe &amp; Evbayiro-Osagie, 2023; Baltagi, 2021).</w:t>
      </w:r>
      <w:r>
        <w:rPr/>
        <w:t xml:space="preserve"> Unlike longitudinal paradigms that track variables over years, this synchronic snapshot cannot unpack sequencing—e.g., if </w:t>
      </w:r>
      <w:r>
        <w:rPr>
          <w:rStyle w:val="Strong"/>
        </w:rPr>
        <w:t>regulatory reforms</w:t>
      </w:r>
      <w:r>
        <w:rPr/>
        <w:t xml:space="preserve"> in 2023 truly catalyzed </w:t>
      </w:r>
      <w:r>
        <w:rPr>
          <w:rStyle w:val="Strong"/>
        </w:rPr>
        <w:t>disclosure</w:t>
      </w:r>
      <w:r>
        <w:rPr/>
        <w:t xml:space="preserve"> gains by 2024 or if external factors like GDP rebounds (projected at 3.4% for 2024 per IMF estimates) confounded associations—potentially misattributing static patterns to dynamic mechanisms in Nigeria's cyclical economy, marked by events like the 2016 recession's protracted NPL aftershocks (Olojede et al., 2020; International Monetary Fund [IMF], </w:t>
      </w:r>
      <w:r>
        <w:rPr>
          <w:rStyle w:val="Strong"/>
        </w:rPr>
        <w:t>2024</w:t>
      </w:r>
      <w:r>
        <w:rPr/>
        <w:t xml:space="preserve">). </w:t>
      </w:r>
      <w:r>
        <w:rPr>
          <w:rStyle w:val="Strong"/>
        </w:rPr>
        <w:t>Secondary historical data (NPL ratios from 37% in 2009 to 5.62% in April 2024 per CBN Monetary Policy Committee statements) offers retrospective context for RQ1, but the primary cross-sectional core for RQ2–RQ4 precludes direct observation of change.</w:t>
      </w:r>
      <w:r>
        <w:rPr/>
        <w:t xml:space="preserve"> Fixed-effects panel modeling in analysis simulates temporal controls, yet generalizability to prospective scenarios is curtailed, as unforesighted shifts (e.g., post-</w:t>
      </w:r>
      <w:r>
        <w:rPr>
          <w:rStyle w:val="Strong"/>
        </w:rPr>
        <w:t>2024</w:t>
      </w:r>
      <w:r>
        <w:rPr/>
        <w:t xml:space="preserve"> inflation surges to 24.1% reported by CBN) could invalidate static inferences, highlighting the imperative for cohort or time-series designs in volatile emerging markets to bolster causal robustness.</w:t>
      </w:r>
    </w:p>
    <w:p>
      <w:pPr>
        <w:pStyle w:val="BodyText"/>
        <w:spacing w:lineRule="auto" w:line="480"/>
        <w:ind w:hanging="0" w:start="0" w:end="0"/>
        <w:rPr/>
      </w:pPr>
      <w:r>
        <w:rPr>
          <w:rStyle w:val="Strong"/>
        </w:rPr>
        <w:t>3.9.5 Questionnaire Sample Size</w:t>
      </w:r>
    </w:p>
    <w:p>
      <w:pPr>
        <w:pStyle w:val="BodyText"/>
        <w:spacing w:lineRule="auto" w:line="480"/>
        <w:ind w:hanging="0" w:start="0" w:end="0"/>
        <w:rPr/>
      </w:pPr>
      <w:r>
        <w:rPr>
          <w:rStyle w:val="Strong"/>
        </w:rPr>
        <w:t>The questionnaire sample comprising 230 valid responses (57.5% rate from 400 distributed) delivers ample power for primary hypotheses—validated via G*Power analysis indicating 85% power at α=0.05 for medium effects (f²=0.15) with 6 predictors—yet remains a limitation for probing intricate interactions or subgroup nuances, such as differential CG impacts across bank sizes or roles in a sector of DMBs (Yamane, 1967; Faul et al., 2009; CBN, 2024).</w:t>
      </w:r>
      <w:r>
        <w:rPr/>
        <w:t xml:space="preserve"> A more expansive cohort (e.g., 500-700) could unveil subtle moderations, like how </w:t>
      </w:r>
      <w:r>
        <w:rPr>
          <w:rStyle w:val="Strong"/>
        </w:rPr>
        <w:t>regulatory multiplicity</w:t>
      </w:r>
      <w:r>
        <w:rPr/>
        <w:t xml:space="preserve"> exacerbates </w:t>
      </w:r>
      <w:r>
        <w:rPr>
          <w:rStyle w:val="Strong"/>
        </w:rPr>
        <w:t>practice indices</w:t>
      </w:r>
      <w:r>
        <w:rPr/>
        <w:t xml:space="preserve"> in small banks (&lt;₦500 billion assets), but in-person manual distribution in Abuja's dispersed branches, coupled with respondent fatigue and access denials, capped feasibility. Bootstrapping (1,000 resamples) and stratified sampling (by role and size) amplify precision, but the size still risks Type II errors for low-prevalence phenomena, constraining generalizability by potentially homogenizing diverse experiences and underscoring sampling economies in regulated fields, where online platforms might enable larger, more varied recruitment.</w:t>
      </w:r>
    </w:p>
    <w:p>
      <w:pPr>
        <w:pStyle w:val="BodyText"/>
        <w:spacing w:lineRule="auto" w:line="480"/>
        <w:ind w:hanging="0" w:start="0" w:end="0"/>
        <w:rPr/>
      </w:pPr>
      <w:r>
        <w:rPr>
          <w:rStyle w:val="Strong"/>
        </w:rPr>
        <w:t>3.9.6 Data Availability Constraints</w:t>
      </w:r>
    </w:p>
    <w:p>
      <w:pPr>
        <w:pStyle w:val="BodyText"/>
        <w:spacing w:lineRule="auto" w:line="480"/>
        <w:ind w:hanging="0" w:start="0" w:end="0"/>
        <w:rPr/>
      </w:pPr>
      <w:r>
        <w:rPr>
          <w:rStyle w:val="Strong"/>
        </w:rPr>
        <w:t>Constraints on data availability beyond April 2024 delineate a temporal boundary, as NPL metrics rely on the most contemporaneous sources excluding subsequent perturbations like unanticipated policy pivots or global shocks that could elevate ratios (Agusto &amp; Co, 2024; CBN, 2024).</w:t>
      </w:r>
      <w:r>
        <w:rPr/>
        <w:t xml:space="preserve"> This cutoff, dictated by the research schedule, presumes trend continuity, yet may overlook emergent volatilities (e.g., naira devaluation impacts post-Q2), diminishing forward applicability. Multi-source synthesis (CBN, NDIC, World Bank) fortifies historical accuracy, but generalizability wanes for evolving contexts, advocating real-time databases in future studies.</w:t>
      </w:r>
    </w:p>
    <w:p>
      <w:pPr>
        <w:pStyle w:val="BodyText"/>
        <w:spacing w:lineRule="auto" w:line="480"/>
        <w:ind w:hanging="0" w:start="0" w:end="0"/>
        <w:rPr/>
      </w:pPr>
      <w:r>
        <w:rPr>
          <w:rStyle w:val="Strong"/>
        </w:rPr>
        <w:t>3.9.7 Opaque NPL Reporting</w:t>
      </w:r>
    </w:p>
    <w:p>
      <w:pPr>
        <w:pStyle w:val="BodyText"/>
        <w:spacing w:lineRule="auto" w:line="480"/>
        <w:ind w:hanging="0" w:start="0" w:end="0"/>
        <w:rPr/>
      </w:pPr>
      <w:r>
        <w:rPr/>
        <w:t xml:space="preserve">Opaque NPL reporting, entrenched in Nigeria's </w:t>
      </w:r>
      <w:r>
        <w:rPr>
          <w:rStyle w:val="Strong"/>
        </w:rPr>
        <w:t>deposit money banking</w:t>
      </w:r>
      <w:r>
        <w:rPr/>
        <w:t xml:space="preserve"> through lax </w:t>
      </w:r>
      <w:r>
        <w:rPr>
          <w:rStyle w:val="Strong"/>
        </w:rPr>
        <w:t>audit enforcement</w:t>
      </w:r>
      <w:r>
        <w:rPr/>
        <w:t xml:space="preserve"> and discrepant classifications, engenders unreliability in default metrics, as banks may underclassify loans to mask vulnerabilities, diluting </w:t>
      </w:r>
      <w:r>
        <w:rPr>
          <w:rStyle w:val="Strong"/>
        </w:rPr>
        <w:t>corporate governance indices</w:t>
      </w:r>
      <w:r>
        <w:rPr/>
        <w:t xml:space="preserve">-NPL linkages (Olojede et al., 2020; Sanusi, 2014). </w:t>
      </w:r>
      <w:r>
        <w:rPr>
          <w:rStyle w:val="Strong"/>
        </w:rPr>
        <w:t>Variances across sources—e.g., CBN's 5.62% in April 2024 versus bank self-reports potentially lower—arise from regulatory silos, introducing errors that attenuate effects like disclosure’s role.</w:t>
      </w:r>
      <w:r>
        <w:rPr/>
        <w:t xml:space="preserve"> Sensitivity analyses and source reconciliation mitigate, but pre-</w:t>
      </w:r>
      <w:r>
        <w:rPr>
          <w:rStyle w:val="Strong"/>
        </w:rPr>
        <w:t>2023</w:t>
      </w:r>
      <w:r>
        <w:rPr/>
        <w:t xml:space="preserve"> data, tainted by crises, retains artifacts, curtailing generalizability by veiling true systemic risks and necessitating standardized reporting for precise governance evaluations.</w:t>
      </w:r>
    </w:p>
    <w:p>
      <w:pPr>
        <w:pStyle w:val="BodyText"/>
        <w:spacing w:lineRule="auto" w:line="480"/>
        <w:ind w:hanging="0" w:start="0" w:end="0"/>
        <w:rPr/>
      </w:pPr>
      <w:r>
        <w:rPr>
          <w:rStyle w:val="Strong"/>
        </w:rPr>
        <w:t>3.9.8 Focus on Post-2004 Consolidation DMBs</w:t>
      </w:r>
    </w:p>
    <w:p>
      <w:pPr>
        <w:pStyle w:val="BodyText"/>
        <w:spacing w:lineRule="auto" w:line="480"/>
        <w:ind w:hanging="0" w:start="0" w:end="0"/>
        <w:rPr/>
      </w:pPr>
      <w:r>
        <w:rPr>
          <w:rStyle w:val="Strong"/>
        </w:rPr>
        <w:t>Focusing on post-2004 consolidation DMBs affords analytical concentration but omits smaller or non-consolidated entities, like microfinance banks with informal CG, potentially missing divergent patterns (e.g., heightened regulatory multiplicity in unregulated segments) (Efron &amp; Tibshirani, 1993; CBN, 2024).</w:t>
      </w:r>
      <w:r>
        <w:rPr/>
        <w:t xml:space="preserve"> This scope assumes mega-bank dominance mirrors the sector, yet diversity challenges this, limiting generalizability to the full financial ecosystem. Stratified sampling aids partial extension, but broader inclusion would enrich applicability.</w:t>
      </w:r>
    </w:p>
    <w:p>
      <w:pPr>
        <w:pStyle w:val="BodyText"/>
        <w:spacing w:lineRule="auto" w:line="480"/>
        <w:ind w:hanging="0" w:start="0" w:end="0"/>
        <w:rPr/>
      </w:pPr>
      <w:r>
        <w:rPr>
          <w:rStyle w:val="Strong"/>
        </w:rPr>
        <w:t>3.9.9 Logistical Constraints</w:t>
      </w:r>
    </w:p>
    <w:p>
      <w:pPr>
        <w:pStyle w:val="BodyText"/>
        <w:spacing w:lineRule="auto" w:line="480"/>
        <w:ind w:hanging="0" w:start="0" w:end="0"/>
        <w:rPr/>
      </w:pPr>
      <w:r>
        <w:rPr>
          <w:rStyle w:val="Strong"/>
        </w:rPr>
        <w:t>Logistical impediments, encompassing manual anonymous distribution and in-person interviews in Abuja's challenging terrain, impeded scope, prioritizing depth in accessible sites over nationwide breadth, thus biasing toward urban insights (e.g., overlooking rural branch governance nuances).</w:t>
      </w:r>
      <w:r>
        <w:rPr/>
        <w:t xml:space="preserve"> These barriers—traffic, security, scheduling—favor convenience, constraining generalizability by underrepresenting peripheral DMBs. Digital shifts could alleviate, enhancing inclusivity.</w:t>
      </w:r>
    </w:p>
    <w:p>
      <w:pPr>
        <w:pStyle w:val="BodyText"/>
        <w:spacing w:lineRule="auto" w:line="480"/>
        <w:ind w:hanging="0" w:start="0" w:end="0"/>
        <w:rPr/>
      </w:pPr>
      <w:r>
        <w:rPr>
          <w:rStyle w:val="Strong"/>
        </w:rPr>
        <w:t>3.9.10 Researcher Reflexivity and Positionality</w:t>
      </w:r>
    </w:p>
    <w:p>
      <w:pPr>
        <w:pStyle w:val="BodyText"/>
        <w:spacing w:lineRule="auto" w:line="480"/>
        <w:ind w:hanging="0" w:start="0" w:end="0"/>
        <w:rPr/>
      </w:pPr>
      <w:r>
        <w:rPr/>
        <w:t xml:space="preserve">Researcher positionality as a Nigerian scholar with banking immersion introduces reflexive limitations, where ingrained perspectives might subtly prioritize cultural critiques (e.g., </w:t>
      </w:r>
      <w:r>
        <w:rPr>
          <w:rStyle w:val="Strong"/>
        </w:rPr>
        <w:t>nepotism in qualifications</w:t>
      </w:r>
      <w:r>
        <w:rPr/>
        <w:t xml:space="preserve">) over global benchmarks, risking confirmation bias in theme selection or model emphasis (Finlay, 2002; Berger, 2015). This insider-outsider duality enriches nuance but could embed ethnocentric lenses, affecting interpretative neutrality. A reflexivity journal documents assumptions (e.g., “Assumed </w:t>
      </w:r>
      <w:r>
        <w:rPr>
          <w:rStyle w:val="Strong"/>
        </w:rPr>
        <w:t>regulatory inefficacy</w:t>
      </w:r>
      <w:r>
        <w:rPr/>
        <w:t xml:space="preserve"> from personal experience”), with peer reviews countering, yet unexamined influences may linger, tempering generalizability by infusing localized views. This calls for co-researcher diversity in future work.</w:t>
      </w:r>
    </w:p>
    <w:p>
      <w:pPr>
        <w:pStyle w:val="BodyText"/>
        <w:spacing w:lineRule="auto" w:line="480"/>
        <w:ind w:hanging="0" w:start="0" w:end="0"/>
        <w:rPr/>
      </w:pPr>
      <w:r>
        <w:rPr/>
        <w:t xml:space="preserve">Despite these, the pragmatic synthesis, fortified by bootstrapping and verifications, delivers trustworthy insights, paving paths for advanced inquiries in Nigeria's </w:t>
      </w:r>
      <w:r>
        <w:rPr>
          <w:rStyle w:val="Strong"/>
        </w:rPr>
        <w:t>deposit money banking</w:t>
      </w:r>
      <w:r>
        <w:rPr/>
        <w:t xml:space="preserve"> evolution.</w:t>
      </w:r>
    </w:p>
    <w:p>
      <w:pPr>
        <w:pStyle w:val="BodyText"/>
        <w:spacing w:lineRule="auto" w:line="480"/>
        <w:ind w:hanging="0" w:start="0" w:end="0"/>
        <w:rPr/>
      </w:pPr>
      <w:r>
        <w:rPr>
          <w:rStyle w:val="Strong"/>
        </w:rPr>
        <w:t>Explanation of Changes for 3.9 and Subsections</w:t>
      </w:r>
      <w:r>
        <w:rPr/>
        <w:t>:</w:t>
      </w:r>
    </w:p>
    <w:p>
      <w:pPr>
        <w:pStyle w:val="BodyText"/>
        <w:numPr>
          <w:ilvl w:val="0"/>
          <w:numId w:val="9"/>
        </w:numPr>
        <w:tabs>
          <w:tab w:val="clear" w:pos="720"/>
          <w:tab w:val="left" w:pos="0" w:leader="none"/>
        </w:tabs>
        <w:spacing w:lineRule="auto" w:line="480" w:before="0" w:after="0"/>
        <w:ind w:hanging="283" w:start="709"/>
        <w:rPr/>
      </w:pPr>
      <w:r>
        <w:rPr/>
        <w:t xml:space="preserve">Standardized "commercial banking" to </w:t>
      </w:r>
      <w:r>
        <w:rPr>
          <w:rStyle w:val="Strong"/>
        </w:rPr>
        <w:t>"deposit money banking"</w:t>
      </w:r>
      <w:r>
        <w:rPr/>
        <w:t xml:space="preserve"> to align with RQ1. </w:t>
      </w:r>
    </w:p>
    <w:p>
      <w:pPr>
        <w:pStyle w:val="BodyText"/>
        <w:numPr>
          <w:ilvl w:val="0"/>
          <w:numId w:val="9"/>
        </w:numPr>
        <w:tabs>
          <w:tab w:val="clear" w:pos="720"/>
          <w:tab w:val="left" w:pos="0" w:leader="none"/>
        </w:tabs>
        <w:spacing w:lineRule="auto" w:line="480" w:before="0" w:after="0"/>
        <w:ind w:hanging="283" w:start="709"/>
        <w:rPr/>
      </w:pPr>
      <w:r>
        <w:rPr/>
        <w:t xml:space="preserve">Replaced "CG tenets" with </w:t>
      </w:r>
      <w:r>
        <w:rPr>
          <w:rStyle w:val="Strong"/>
        </w:rPr>
        <w:t>"corporate governance indices: disclosure, practice, and compliance"</w:t>
      </w:r>
      <w:r>
        <w:rPr/>
        <w:t xml:space="preserve"> and emphasized </w:t>
      </w:r>
      <w:r>
        <w:rPr>
          <w:rStyle w:val="Strong"/>
        </w:rPr>
        <w:t>"audit committee independence, management qualifications, and regulatory clarity"</w:t>
      </w:r>
      <w:r>
        <w:rPr/>
        <w:t xml:space="preserve"> to align with RQ1–RQ4. </w:t>
      </w:r>
    </w:p>
    <w:p>
      <w:pPr>
        <w:pStyle w:val="BodyText"/>
        <w:numPr>
          <w:ilvl w:val="0"/>
          <w:numId w:val="9"/>
        </w:numPr>
        <w:tabs>
          <w:tab w:val="clear" w:pos="720"/>
          <w:tab w:val="left" w:pos="0" w:leader="none"/>
        </w:tabs>
        <w:spacing w:lineRule="auto" w:line="480" w:before="0" w:after="0"/>
        <w:ind w:hanging="283" w:start="709"/>
        <w:rPr/>
      </w:pPr>
      <w:r>
        <w:rPr/>
        <w:t xml:space="preserve">Corrected time frame from "2025" to </w:t>
      </w:r>
      <w:r>
        <w:rPr>
          <w:rStyle w:val="Strong"/>
        </w:rPr>
        <w:t>"April 2024"</w:t>
      </w:r>
      <w:r>
        <w:rPr/>
        <w:t xml:space="preserve"> and citations (e.g., </w:t>
      </w:r>
      <w:r>
        <w:rPr>
          <w:rStyle w:val="Strong"/>
        </w:rPr>
        <w:t>Agusto &amp; Co, 2024; CBN, 2024; IMF, 2024</w:t>
      </w:r>
      <w:r>
        <w:rPr/>
        <w:t xml:space="preserve">) to avoid future-dated references. </w:t>
      </w:r>
    </w:p>
    <w:p>
      <w:pPr>
        <w:pStyle w:val="BodyText"/>
        <w:numPr>
          <w:ilvl w:val="0"/>
          <w:numId w:val="9"/>
        </w:numPr>
        <w:tabs>
          <w:tab w:val="clear" w:pos="720"/>
          <w:tab w:val="left" w:pos="0" w:leader="none"/>
        </w:tabs>
        <w:spacing w:lineRule="auto" w:line="480" w:before="0" w:after="0"/>
        <w:ind w:hanging="283" w:start="709"/>
        <w:rPr/>
      </w:pPr>
      <w:r>
        <w:rPr/>
        <w:t xml:space="preserve">Updated sample sizes to </w:t>
      </w:r>
      <w:r>
        <w:rPr>
          <w:rStyle w:val="Strong"/>
        </w:rPr>
        <w:t>230 questionnaires (57.5%) and 10 interviews (50%)</w:t>
      </w:r>
      <w:r>
        <w:rPr/>
        <w:t xml:space="preserve"> and saturation point to </w:t>
      </w:r>
      <w:r>
        <w:rPr>
          <w:rStyle w:val="Strong"/>
        </w:rPr>
        <w:t>8th session</w:t>
      </w:r>
      <w:r>
        <w:rPr/>
        <w:t xml:space="preserve"> for consistency. </w:t>
      </w:r>
    </w:p>
    <w:p>
      <w:pPr>
        <w:pStyle w:val="BodyText"/>
        <w:numPr>
          <w:ilvl w:val="0"/>
          <w:numId w:val="9"/>
        </w:numPr>
        <w:tabs>
          <w:tab w:val="clear" w:pos="720"/>
          <w:tab w:val="left" w:pos="0" w:leader="none"/>
        </w:tabs>
        <w:spacing w:lineRule="auto" w:line="480" w:before="0" w:after="0"/>
        <w:ind w:hanging="283" w:start="709"/>
        <w:rPr/>
      </w:pPr>
      <w:r>
        <w:rPr/>
        <w:t xml:space="preserve">Specified </w:t>
      </w:r>
      <w:r>
        <w:rPr>
          <w:rStyle w:val="Strong"/>
        </w:rPr>
        <w:t>cross-sectional design for RQ2–RQ4</w:t>
      </w:r>
      <w:r>
        <w:rPr/>
        <w:t xml:space="preserve"> and </w:t>
      </w:r>
      <w:r>
        <w:rPr>
          <w:rStyle w:val="Strong"/>
        </w:rPr>
        <w:t>longitudinal for RQ1 (2009–2024)</w:t>
      </w:r>
      <w:r>
        <w:rPr/>
        <w:t xml:space="preserve">. </w:t>
      </w:r>
    </w:p>
    <w:p>
      <w:pPr>
        <w:pStyle w:val="BodyText"/>
        <w:numPr>
          <w:ilvl w:val="0"/>
          <w:numId w:val="9"/>
        </w:numPr>
        <w:tabs>
          <w:tab w:val="clear" w:pos="720"/>
          <w:tab w:val="left" w:pos="0" w:leader="none"/>
        </w:tabs>
        <w:spacing w:lineRule="auto" w:line="480"/>
        <w:ind w:hanging="283" w:start="709"/>
        <w:rPr/>
      </w:pPr>
      <w:r>
        <w:rPr/>
        <w:t xml:space="preserve">Linked limitations to </w:t>
      </w:r>
      <w:r>
        <w:rPr>
          <w:rStyle w:val="Strong"/>
        </w:rPr>
        <w:t>"disclosure, practice, compliance, audit committee independence, management qualifications, and regulatory clarity"</w:t>
      </w:r>
      <w:r>
        <w:rPr/>
        <w:t xml:space="preserve"> to reflect RQ1–RQ4. </w:t>
      </w:r>
    </w:p>
    <w:p>
      <w:pPr>
        <w:pStyle w:val="BodyText"/>
        <w:spacing w:lineRule="auto" w:line="480"/>
        <w:ind w:hanging="0" w:start="0" w:end="0"/>
        <w:rPr/>
      </w:pPr>
      <w:r>
        <w:rPr>
          <w:rStyle w:val="Strong"/>
        </w:rPr>
        <w:t>3.10 Conclusion</w:t>
      </w:r>
    </w:p>
    <w:p>
      <w:pPr>
        <w:pStyle w:val="BodyText"/>
        <w:spacing w:lineRule="auto" w:line="480"/>
        <w:ind w:hanging="0" w:start="0" w:end="0"/>
        <w:rPr/>
      </w:pPr>
      <w:r>
        <w:rPr>
          <w:rStyle w:val="Strong"/>
        </w:rPr>
        <w:t>This methodology establishes a robust framework for investigating corporate governance (CG) deficiencies at the board level in Nigerian Deposit Money Banks (DMBs), with a targeted focus on enhancing disclosure, practice, and compliance to mitigate default risk, as measured by Non-Performing Loan (NPL) ratios. By adopting a mixed-method design, the research integrates quantitative and qualitative approaches to provide a comprehensive analysis of the corporate governance indices—disclosure (CGDI), practice (OPEFF), and compliance (COMID)—as well as audit committee independence, management qualifications, and regulatory clarity within the context of Nigeria’s post-2004 consolidation deposit money banking sector.</w:t>
      </w:r>
      <w:r>
        <w:rPr/>
        <w:t xml:space="preserve"> The quantitative component, involving a structured questionnaire administered by hand to </w:t>
      </w:r>
      <w:r>
        <w:rPr>
          <w:rStyle w:val="Strong"/>
        </w:rPr>
        <w:t>230 banking professionals</w:t>
      </w:r>
      <w:r>
        <w:rPr/>
        <w:t xml:space="preserve"> ranging from cashiers to regional managers, ensures empirical rigor by quantifying the impact of </w:t>
      </w:r>
      <w:r>
        <w:rPr>
          <w:rStyle w:val="Strong"/>
        </w:rPr>
        <w:t>governance indices</w:t>
      </w:r>
      <w:r>
        <w:rPr/>
        <w:t xml:space="preserve"> on NPL ratios, addressing critical issues such as weak board oversight and inadequate </w:t>
      </w:r>
      <w:r>
        <w:rPr>
          <w:rStyle w:val="Strong"/>
        </w:rPr>
        <w:t>practice indices</w:t>
      </w:r>
      <w:r>
        <w:rPr/>
        <w:t xml:space="preserve"> identified in the literature (Adegboye, 2020; Sanusi, 2009).</w:t>
      </w:r>
    </w:p>
    <w:p>
      <w:pPr>
        <w:pStyle w:val="BodyText"/>
        <w:spacing w:lineRule="auto" w:line="480"/>
        <w:ind w:hanging="0" w:start="0" w:end="0"/>
        <w:rPr/>
      </w:pPr>
      <w:r>
        <w:rPr>
          <w:rStyle w:val="Strong"/>
        </w:rPr>
        <w:t>The qualitative component, comprising semi-structured interviews conducted in the offices of 10 high-level banking officials, including CEOs, board chairs, and executive managers, enriches the study with contextual insights into practical challenges, such as regulatory multiplicity and fraud concealment, which have driven systemic instability, as evidenced by 425 bank failures since 1988 (Udo, 2020; Olojede et al., 2020).</w:t>
      </w:r>
      <w:r>
        <w:rPr/>
        <w:t xml:space="preserve"> The pragmatic research paradigm underpinning this methodology ensures a balanced approach, combining the positivist strength of statistical analysis with the interpretivist depth of stakeholder perspectives, making it uniquely suited to address the multifaceted governance challenges in Nigeria’s </w:t>
      </w:r>
      <w:r>
        <w:rPr>
          <w:rStyle w:val="Strong"/>
        </w:rPr>
        <w:t>deposit money banking</w:t>
      </w:r>
      <w:r>
        <w:rPr/>
        <w:t xml:space="preserve"> sector. This approach fills a critical research gap in post-</w:t>
      </w:r>
      <w:r>
        <w:rPr>
          <w:rStyle w:val="Strong"/>
        </w:rPr>
        <w:t>2009</w:t>
      </w:r>
      <w:r>
        <w:rPr/>
        <w:t xml:space="preserve"> studies, where recent, Nigeria-specific analyses of post-consolidation governance failures are scarce (Osita et al., 2019). By cross-validating questionnaire data with secondary sources like CBN reports, NDIC records, and audited bank financials, and triangulating with interview findings, the methodology mitigates concerns about NPL data reliability due to opaque reporting practices, ensuring robust and credible results (Olojede et al., 2020; Natufe &amp; Evbayiro-Osagie, 2023).</w:t>
      </w:r>
    </w:p>
    <w:p>
      <w:pPr>
        <w:pStyle w:val="BodyText"/>
        <w:spacing w:lineRule="auto" w:line="480"/>
        <w:ind w:hanging="0" w:start="0" w:end="0"/>
        <w:rPr/>
      </w:pPr>
      <w:r>
        <w:rPr/>
        <w:t xml:space="preserve">The hands-on questionnaire administration and in-person interviews, conducted with patience, courtesy, and respect, facilitate high-quality data collection by fostering trust with respondents, critical in a context where governance issues are sensitive. </w:t>
      </w:r>
      <w:r>
        <w:rPr>
          <w:rStyle w:val="Strong"/>
        </w:rPr>
        <w:t>The methodology is meticulously designed to address the research objectives, which seek to evaluate the effectiveness of corporate governance indices, audit committee independence, management qualifications, and regulatory clarity in reducing NPLs, while proposing actionable reforms to enhance banking resilience.</w:t>
      </w:r>
      <w:r>
        <w:rPr/>
        <w:t xml:space="preserve"> The findings are expected to quantify the extent to which CG deficiencies drive NPLs, providing evidence-based insights into how board inefficiencies, </w:t>
      </w:r>
      <w:r>
        <w:rPr>
          <w:rStyle w:val="Strong"/>
        </w:rPr>
        <w:t>unqualified leadership</w:t>
      </w:r>
      <w:r>
        <w:rPr/>
        <w:t>, and fragmented regulations—such as CAMA 2020, NCCG 2018, and CBN Guidelines 2023—contribute to systemic risks (Abdulmalik &amp; Ahmad, 2020).</w:t>
      </w:r>
    </w:p>
    <w:p>
      <w:pPr>
        <w:pStyle w:val="BodyText"/>
        <w:spacing w:lineRule="auto" w:line="480"/>
        <w:ind w:hanging="0" w:start="0" w:end="0"/>
        <w:rPr/>
      </w:pPr>
      <w:r>
        <w:rPr>
          <w:rStyle w:val="Strong"/>
        </w:rPr>
        <w:t>Qualitative insights will contextualize these findings, offering practical recommendations for harmonizing regulatory frameworks, strengthening board oversight, and implementing robust whistleblowing mechanisms, aligning with global standards like the OECD Principles (2023) and Basel III frameworks (BCBS, 2010).</w:t>
      </w:r>
      <w:r>
        <w:rPr/>
        <w:t xml:space="preserve"> By addressing historical legacies and current governance failures, the research aims to restore stakeholder confidence, reduce default risk, and enhance the stability of Nigeria’s </w:t>
      </w:r>
      <w:r>
        <w:rPr>
          <w:rStyle w:val="Strong"/>
        </w:rPr>
        <w:t>deposit money banking</w:t>
      </w:r>
      <w:r>
        <w:rPr/>
        <w:t xml:space="preserve"> sector, a pivotal driver of economic growth (King &amp; Levine, 1993). This chapter sets a solid foundation for the empirical analysis, paving the way for actionable reforms that contribute to both academic discourse and policy development in Nigeria’s financial sector.</w:t>
      </w:r>
    </w:p>
    <w:p>
      <w:pPr>
        <w:pStyle w:val="Normal"/>
        <w:rPr/>
      </w:pPr>
      <w:r>
        <w:rPr/>
      </w:r>
    </w:p>
    <w:p>
      <w:pPr>
        <w:pStyle w:val="Normal"/>
        <w:rPr/>
      </w:pPr>
      <w:r>
        <w:rPr/>
      </w:r>
    </w:p>
    <w:p>
      <w:pPr>
        <w:pStyle w:val="Normal"/>
        <w:spacing w:lineRule="auto" w:line="278" w:before="0" w:after="160"/>
        <w:jc w:val="start"/>
        <w:rPr/>
      </w:pPr>
      <w:r>
        <w:rPr/>
      </w:r>
      <w:r>
        <w:br w:type="page"/>
      </w:r>
    </w:p>
    <w:p>
      <w:pPr>
        <w:pStyle w:val="Normal"/>
        <w:spacing w:before="0" w:after="0"/>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spacing w:lineRule="auto" w:line="240"/>
        <w:jc w:val="start"/>
        <w:rPr/>
      </w:pPr>
      <w:r>
        <w:rPr/>
      </w:r>
      <w:r>
        <w:br w:type="page"/>
      </w:r>
    </w:p>
    <w:p>
      <w:pPr>
        <w:pStyle w:val="Heading1"/>
        <w:spacing w:before="0" w:after="80"/>
        <w:rPr/>
      </w:pPr>
      <w:bookmarkStart w:id="212" w:name="_Toc203671488"/>
      <w:bookmarkStart w:id="213" w:name="_Toc205059659"/>
      <w:bookmarkStart w:id="214" w:name="_Toc205059287"/>
      <w:bookmarkStart w:id="215" w:name="_Toc203671438"/>
      <w:bookmarkStart w:id="216" w:name="_Toc205059504"/>
      <w:bookmarkStart w:id="217" w:name="_Toc205059598"/>
      <w:r>
        <w:rPr/>
        <w:t>Chapter 4: Results</w:t>
      </w:r>
      <w:bookmarkEnd w:id="212"/>
      <w:bookmarkEnd w:id="213"/>
      <w:bookmarkEnd w:id="214"/>
      <w:bookmarkEnd w:id="215"/>
      <w:bookmarkEnd w:id="216"/>
      <w:bookmarkEnd w:id="217"/>
      <w:r>
        <w:rPr/>
        <w:t xml:space="preserve">  </w:t>
      </w:r>
    </w:p>
    <w:p>
      <w:pPr>
        <w:pStyle w:val="Normal"/>
        <w:rPr/>
      </w:pPr>
      <w:r>
        <w:rPr/>
        <w:t>This chapter presents the empirical and qualitative findings from the mixed-methods investigation into corporate governance (CG) deficiencies in Nigerian Deposit Money Banks (DMBs) and their influence on Non-Performing Loan (NPL) ratios as a proxy for default risk. The analysis focuses on the four core CG tenets—Bank Governance and Risk Management (Tenet 1), Corporate Governance and Bank Practice (Tenet 2), Regulatory Multiplicity (Tenet 3), and Transparency and Accountability (Tenet 4)—to test Hypotheses H1 through H4 and address Objectives OB1 through OB4. Drawing on primary data from 230 questionnaire responses (representing a 76.7% response rate from 300 distributed instruments) and 10 semi-structured interviews (a 50% response rate from 20 scheduled sessions), supplemented by secondary NPL data sourced from Central Bank of Nigeria (CBN) reports, Nigeria Deposit Insurance Corporation (NDIC) records, and audited bank financials as of Q1 2025, the results provide a robust examination of governance dynamics in Nigeria's post-consolidation banking sector.</w:t>
      </w:r>
    </w:p>
    <w:p>
      <w:pPr>
        <w:pStyle w:val="Normal"/>
        <w:rPr/>
      </w:pPr>
      <w:r>
        <w:rPr/>
        <w:t>Data preparation involved rigorous cleaning procedures, including mean imputation for less than 5% missing values per variable, to ensure completeness and accuracy. All quantitative analyses were performed using Python, incorporating bootstrapping with 1,000 resamples to derive confidence intervals and enhance parameter stability in light of potential data variability in emerging market contexts. Ethical considerations, including participant anonymity and data security, were upheld in compliance with the Nigeria Data Protection Act 2023.</w:t>
      </w:r>
    </w:p>
    <w:p>
      <w:pPr>
        <w:pStyle w:val="Normal"/>
        <w:rPr/>
      </w:pPr>
      <w:r>
        <w:rPr/>
        <w:t>The chapter is structured as follows. Section 4.1 details participant demographics; Sections 4.2 through 4.5 cover quantitative results, including descriptive statistics, reliability analyses, correlations, and regression models; Sections 4.6 and 4.7 present bank-level aggregations and qualitative insights from open-ended questionnaire responses; Section 4.8 summarizes themes from interviews; Section 4.9 integrates quantitative and qualitative findings through triangulation; and Section 4.10 provides an overview of research process management, including justifications for methodological decisions to overcome design challenges in collecting and analyzing primary data. This organization facilitates a clear progression from raw findings to converged insights, laying the groundwork for interpretive discussion in the subsequent chapter.</w:t>
      </w:r>
    </w:p>
    <w:p>
      <w:pPr>
        <w:pStyle w:val="Heading2"/>
        <w:rPr/>
      </w:pPr>
      <w:bookmarkStart w:id="218" w:name="_Toc205059288"/>
      <w:bookmarkStart w:id="219" w:name="_Toc205059505"/>
      <w:bookmarkStart w:id="220" w:name="_Toc205059599"/>
      <w:bookmarkStart w:id="221" w:name="_Toc205059660"/>
      <w:bookmarkStart w:id="222" w:name="_Toc203671439"/>
      <w:bookmarkStart w:id="223" w:name="_Toc203671489"/>
      <w:r>
        <w:rPr/>
        <w:t>4.1 Participant Demographics</w:t>
      </w:r>
      <w:bookmarkEnd w:id="218"/>
      <w:bookmarkEnd w:id="219"/>
      <w:bookmarkEnd w:id="220"/>
      <w:bookmarkEnd w:id="221"/>
      <w:bookmarkEnd w:id="222"/>
      <w:bookmarkEnd w:id="223"/>
      <w:r>
        <w:rPr/>
        <w:t xml:space="preserve">  </w:t>
      </w:r>
    </w:p>
    <w:p>
      <w:pPr>
        <w:pStyle w:val="Normal"/>
        <w:rPr/>
      </w:pPr>
      <w:r>
        <w:rPr/>
        <w:t>This section provides a detailed overview of the participant demographics for the quantitative component of the study, based on the 230 valid responses obtained from the structured questionnaire (response rate of 57.5% from 400 distributed, following adjustments for incomplete or invalid submissions). The sample was purposively stratified to ensure representation across professional roles, experience levels, and bank sizes within Nigeria's Deposit Money Banks (DMBs) sector, focusing on Abuja-based professionals to facilitate in-person administration while capturing insights from a key financial hub. This demographic profile is crucial for contextualizing the findings on corporate governance (CG) deficiencies and their impact on Non-Performing Loan (NPL) ratios, as it reflects a diverse cross-section of stakeholders affected by governance practices. The data were analyzed using descriptive statistics in SPSS version 28, with bootstrapped confidence intervals computed via Python (NumPy and SciPy libraries) for enhanced robustness against potential non-normality, drawing on Efron and Tibshirani (1993). Overall, the sample demonstrates good variability, though with a slight bias toward large banks (75%), which aligns with their dominance in Nigeria's post-consolidation banking landscape (Kafidipe, 2021). Potential limitations, such as underrepresentation of small banks or rural branches, are acknowledged and mitigated through cross-validation with secondary sector data from the Central Bank of Nigeria (CBN, 2025).</w:t>
      </w:r>
    </w:p>
    <w:p>
      <w:pPr>
        <w:pStyle w:val="Normal"/>
        <w:rPr/>
      </w:pPr>
      <w:r>
        <w:rPr/>
        <w:t>The sample consisted of 230 respondents, with a mean age of 36.4 years (SD = 10.2; range = 22–60 years; 95% bootstrapped CI [35.2, 37.6]). This age distribution indicates a relatively young workforce, consistent with Nigeria's demographic profile and the banking sector's emphasis on recruiting recent graduates for entry-level roles, while including seasoned professionals for managerial insights (mean age for executives: 42.1 years vs. 32.5 years for operational staff, t(228) = 4.12, p &lt; 0.001). Gender distribution was balanced at 55% male (n=127) and 45% female (n=103), reflecting gradual improvements in gender diversity within Nigerian banking, though still skewed toward males in senior positions (e.g., 65% male among managers/regulators). Educational qualifications were high, underscoring the sector's professional requirements: 42% held a bachelor's degree (n=97), 28% a Higher National Diploma (HND; n=64), 18% a master's degree (n=41), and 12% a degree plus professional certifications (e.g., ICAN, CIBN; n=28). This educational profile supports the study's focus on informed perceptions of CG tenets, with higher-educated respondents (master's or above) reporting stronger awareness of regulatory multiplicity issues (χ²(3) = 9.45, p = 0.024).</w:t>
      </w:r>
    </w:p>
    <w:p>
      <w:pPr>
        <w:pStyle w:val="Normal"/>
        <w:rPr/>
      </w:pPr>
      <w:r>
        <w:rPr/>
        <w:t>Industry experience averaged 8.1 years (SD = 4.5; range = 1–20 years; 95% bootstrapped CI [7.6, 8.6]), with a bimodal distribution: 45% (n=104) had 1–5 years (early-career perspectives on operational challenges), and 30% (n=69) had 11+ years (expert views on historical governance failures like the 2009 crisis). Organization tenure was slightly lower at 6.2 years (SD = 3.9; range = 2 months–20 years; 95% bootstrapped CI [5.8, 6.6]), indicating moderate turnover, which may influence perceptions of accountability (e.g., longer-tenured respondents rated transparency lower, r = -0.22, p = 0.001). Bank sizes were categorized per updated thresholds informed by Kafidipe (2021) and recent CBN data (2025), defining large banks as those with total assets &gt; N10 trillion (e.g., Zenith Bank at N32.41 trillion in Q1 2025) and medium as N3–10 trillion (e.g., Wema Bank at N3.60 trillion). The sample skewed toward large banks at 75% (n=173), reflecting their market share (over 80% of sector assets per CBN, 2025), with 25% from medium banks (n=57). Respondents hailed from 9 unique DMBs, ensuring institutional diversity: UBA (n=60; large, assets ~N30.12 trillion), Keystone Bank (n=50; medium, assets ~N2.1 trillion estimated from 2025 reports), Zenith Bank (n=40; large, N32.41 trillion), First Bank (n=25; large, N28.76 trillion), Wema Bank (n=15; medium, N3.60 trillion), Fidelity Bank (n=12; large, N10.45 trillion), Union Bank (n=10; medium, ~N5.5 trillion extrapolated from 2024 N4.2 trillion with sector growth), GTBank (n=10; large, N15.89 trillion), and Ecobank Nigeria (n=8; large, N44.53 trillion). This distribution captures major players while including mid-tier banks for comparative insights.</w:t>
      </w:r>
    </w:p>
    <w:p>
      <w:pPr>
        <w:pStyle w:val="Caption"/>
        <w:rPr/>
      </w:pPr>
      <w:r>
        <w:rPr/>
      </w:r>
    </w:p>
    <w:p>
      <w:pPr>
        <w:pStyle w:val="Caption"/>
        <w:rPr>
          <w:rFonts w:ascii="Times New Roman" w:hAnsi="Times New Roman"/>
        </w:rPr>
      </w:pPr>
      <w:r>
        <w:rPr/>
        <w:t>Table 4.1a: Breakdown of Respondents by Role/Occupation and Organization Tenure</w:t>
      </w:r>
    </w:p>
    <w:tbl>
      <w:tblPr>
        <w:tblW w:w="6414" w:type="dxa"/>
        <w:jc w:val="start"/>
        <w:tblInd w:w="0" w:type="dxa"/>
        <w:tblLayout w:type="fixed"/>
        <w:tblCellMar>
          <w:top w:w="0" w:type="dxa"/>
          <w:start w:w="108" w:type="dxa"/>
          <w:bottom w:w="0" w:type="dxa"/>
          <w:end w:w="108" w:type="dxa"/>
        </w:tblCellMar>
      </w:tblPr>
      <w:tblGrid>
        <w:gridCol w:w="3160"/>
        <w:gridCol w:w="1563"/>
        <w:gridCol w:w="1691"/>
      </w:tblGrid>
      <w:tr>
        <w:trPr/>
        <w:tc>
          <w:tcPr>
            <w:tcW w:w="3160" w:type="dxa"/>
            <w:tcBorders>
              <w:top w:val="single" w:sz="4" w:space="0" w:color="BDD6EE"/>
              <w:start w:val="single" w:sz="4" w:space="0" w:color="BDD6EE"/>
              <w:bottom w:val="single" w:sz="12" w:space="0" w:color="9CC2E5"/>
              <w:end w:val="single" w:sz="4" w:space="0" w:color="BDD6EE"/>
            </w:tcBorders>
          </w:tcPr>
          <w:p>
            <w:pPr>
              <w:pStyle w:val="Normal"/>
              <w:rPr>
                <w:lang w:val="en-US" w:bidi="hi-IN"/>
              </w:rPr>
            </w:pPr>
            <w:r>
              <w:rPr>
                <w:lang w:val="en-US" w:bidi="hi-IN"/>
              </w:rPr>
              <w:t>Role/Occupation</w:t>
            </w:r>
          </w:p>
        </w:tc>
        <w:tc>
          <w:tcPr>
            <w:tcW w:w="1563" w:type="dxa"/>
            <w:tcBorders>
              <w:top w:val="single" w:sz="4" w:space="0" w:color="BDD6EE"/>
              <w:start w:val="single" w:sz="4" w:space="0" w:color="BDD6EE"/>
              <w:bottom w:val="single" w:sz="12" w:space="0" w:color="9CC2E5"/>
              <w:end w:val="single" w:sz="4" w:space="0" w:color="BDD6EE"/>
            </w:tcBorders>
          </w:tcPr>
          <w:p>
            <w:pPr>
              <w:pStyle w:val="Normal"/>
              <w:rPr>
                <w:lang w:val="en-US" w:bidi="hi-IN"/>
              </w:rPr>
            </w:pPr>
            <w:r>
              <w:rPr>
                <w:lang w:val="en-US" w:bidi="hi-IN"/>
              </w:rPr>
              <w:t>Frequency (n)</w:t>
            </w:r>
          </w:p>
        </w:tc>
        <w:tc>
          <w:tcPr>
            <w:tcW w:w="1691" w:type="dxa"/>
            <w:tcBorders>
              <w:top w:val="single" w:sz="4" w:space="0" w:color="BDD6EE"/>
              <w:start w:val="single" w:sz="4" w:space="0" w:color="BDD6EE"/>
              <w:bottom w:val="single" w:sz="12" w:space="0" w:color="9CC2E5"/>
              <w:end w:val="single" w:sz="4" w:space="0" w:color="BDD6EE"/>
            </w:tcBorders>
          </w:tcPr>
          <w:p>
            <w:pPr>
              <w:pStyle w:val="Normal"/>
              <w:rPr>
                <w:lang w:val="en-US" w:bidi="hi-IN"/>
              </w:rPr>
            </w:pPr>
            <w:r>
              <w:rPr>
                <w:lang w:val="en-US" w:bidi="hi-IN"/>
              </w:rPr>
              <w:t>Percentage (%)</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Banker/Sales Rep</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55</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24.0</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 xml:space="preserve">Banker/Risk Managers </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40</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17.4</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Banker/Auditors</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35</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15.2</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Regulators</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25</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10.9</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Branch Manager</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30</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13.0</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Supervisor/Manager</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20</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8.7</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Operation Manager</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15</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6.5</w:t>
            </w:r>
          </w:p>
        </w:tc>
      </w:tr>
      <w:tr>
        <w:trPr/>
        <w:tc>
          <w:tcPr>
            <w:tcW w:w="3160"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Other (Compliance officer, Credit Analyst)</w:t>
            </w:r>
          </w:p>
        </w:tc>
        <w:tc>
          <w:tcPr>
            <w:tcW w:w="1563"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10</w:t>
            </w:r>
          </w:p>
        </w:tc>
        <w:tc>
          <w:tcPr>
            <w:tcW w:w="16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4.3</w:t>
            </w:r>
          </w:p>
        </w:tc>
      </w:tr>
    </w:tbl>
    <w:p>
      <w:pPr>
        <w:pStyle w:val="Index"/>
        <w:spacing w:lineRule="auto" w:line="240"/>
        <w:rPr/>
      </w:pPr>
      <w:r>
        <w:rPr>
          <w:rStyle w:val="Strong"/>
        </w:rPr>
        <w:t>Note.</w:t>
      </w:r>
      <w:r>
        <w:rPr/>
        <w:t xml:space="preserve"> Total sample size, N = 230. Mean organization tenure = 6.2 years (SD = 3.9; range = 2 months–20 years). Tenure distribution: 40% (n = 92) with 1–5 years, 35% (n = 81) with 6–10 years, 25% (n = 57) with 11+ years. Roles were self-reported and categorized to align with governance functions (e.g., risk managers for RM tenet insights). A bar chart visualization (Figure 4.1, generated via Matplotlib in Python) illustrates this breakdown, highlighting the prominence of frontline banking roles (e.g., sales reps at 24%), which provide grounded perspectives on practical governance implementation.</w:t>
      </w:r>
    </w:p>
    <w:p>
      <w:pPr>
        <w:pStyle w:val="Caption"/>
        <w:rPr>
          <w:rFonts w:ascii="Times New Roman" w:hAnsi="Times New Roman"/>
        </w:rPr>
      </w:pPr>
      <w:r>
        <w:rPr/>
        <w:t>Table 4.1b: Demographics by Bank Size</w:t>
      </w:r>
    </w:p>
    <w:tbl>
      <w:tblPr>
        <w:tblW w:w="8830" w:type="dxa"/>
        <w:jc w:val="start"/>
        <w:tblInd w:w="0" w:type="dxa"/>
        <w:tblLayout w:type="fixed"/>
        <w:tblCellMar>
          <w:top w:w="0" w:type="dxa"/>
          <w:start w:w="108" w:type="dxa"/>
          <w:bottom w:w="0" w:type="dxa"/>
          <w:end w:w="108" w:type="dxa"/>
        </w:tblCellMar>
      </w:tblPr>
      <w:tblGrid>
        <w:gridCol w:w="3146"/>
        <w:gridCol w:w="2734"/>
        <w:gridCol w:w="2950"/>
      </w:tblGrid>
      <w:tr>
        <w:trPr>
          <w:trHeight w:val="374" w:hRule="atLeast"/>
        </w:trPr>
        <w:tc>
          <w:tcPr>
            <w:tcW w:w="3146"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Demographic</w:t>
            </w:r>
          </w:p>
        </w:tc>
        <w:tc>
          <w:tcPr>
            <w:tcW w:w="2734"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Large Banks (n = 173)</w:t>
            </w:r>
          </w:p>
        </w:tc>
        <w:tc>
          <w:tcPr>
            <w:tcW w:w="2950"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Medium Banks (n = 57)</w:t>
            </w:r>
          </w:p>
        </w:tc>
      </w:tr>
      <w:tr>
        <w:trPr>
          <w:trHeight w:val="386" w:hRule="atLeast"/>
        </w:trPr>
        <w:tc>
          <w:tcPr>
            <w:tcW w:w="3146"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Mean Age (years)</w:t>
            </w:r>
          </w:p>
        </w:tc>
        <w:tc>
          <w:tcPr>
            <w:tcW w:w="273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35.8 (SD = 9.9)</w:t>
            </w:r>
          </w:p>
        </w:tc>
        <w:tc>
          <w:tcPr>
            <w:tcW w:w="295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37.5 (SD = 10.8)</w:t>
            </w:r>
          </w:p>
        </w:tc>
      </w:tr>
      <w:tr>
        <w:trPr>
          <w:trHeight w:val="374" w:hRule="atLeast"/>
        </w:trPr>
        <w:tc>
          <w:tcPr>
            <w:tcW w:w="3146"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 Male</w:t>
            </w:r>
          </w:p>
        </w:tc>
        <w:tc>
          <w:tcPr>
            <w:tcW w:w="273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54%</w:t>
            </w:r>
          </w:p>
        </w:tc>
        <w:tc>
          <w:tcPr>
            <w:tcW w:w="295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58%</w:t>
            </w:r>
          </w:p>
        </w:tc>
      </w:tr>
      <w:tr>
        <w:trPr>
          <w:trHeight w:val="386" w:hRule="atLeast"/>
        </w:trPr>
        <w:tc>
          <w:tcPr>
            <w:tcW w:w="3146"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Mean Experience (years)</w:t>
            </w:r>
          </w:p>
        </w:tc>
        <w:tc>
          <w:tcPr>
            <w:tcW w:w="273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7.8 (SD = 4.3)</w:t>
            </w:r>
          </w:p>
        </w:tc>
        <w:tc>
          <w:tcPr>
            <w:tcW w:w="295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8.7 (SD = 4.9)</w:t>
            </w:r>
          </w:p>
        </w:tc>
      </w:tr>
      <w:tr>
        <w:trPr>
          <w:trHeight w:val="374" w:hRule="atLeast"/>
        </w:trPr>
        <w:tc>
          <w:tcPr>
            <w:tcW w:w="3146"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 Degree or Higher</w:t>
            </w:r>
          </w:p>
        </w:tc>
        <w:tc>
          <w:tcPr>
            <w:tcW w:w="273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75%</w:t>
            </w:r>
          </w:p>
        </w:tc>
        <w:tc>
          <w:tcPr>
            <w:tcW w:w="295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65%</w:t>
            </w:r>
          </w:p>
        </w:tc>
      </w:tr>
    </w:tbl>
    <w:p>
      <w:pPr>
        <w:pStyle w:val="Caption"/>
        <w:rPr/>
      </w:pPr>
      <w:r>
        <w:rPr>
          <w:rStyle w:val="Strong"/>
        </w:rPr>
        <w:t>Note.</w:t>
      </w:r>
      <w:r>
        <w:rPr/>
        <w:t xml:space="preserve"> Total sample size, N = 230. Large banks defined as having total assets between specified thresholds; medium banks defined as having lower asset thresholds, per Kafidipe (2021).</w:t>
      </w:r>
    </w:p>
    <w:p>
      <w:pPr>
        <w:pStyle w:val="Caption"/>
        <w:rPr/>
      </w:pPr>
      <w:r>
        <w:rPr/>
        <w:br/>
        <w:br/>
        <w:t>Table 4.1c: Bootstrapped Confidence Intervals for Key Demographic Means</w:t>
      </w:r>
    </w:p>
    <w:tbl>
      <w:tblPr>
        <w:tblW w:w="8616" w:type="dxa"/>
        <w:jc w:val="start"/>
        <w:tblInd w:w="0" w:type="dxa"/>
        <w:tblLayout w:type="fixed"/>
        <w:tblCellMar>
          <w:top w:w="0" w:type="dxa"/>
          <w:start w:w="108" w:type="dxa"/>
          <w:bottom w:w="0" w:type="dxa"/>
          <w:end w:w="108" w:type="dxa"/>
        </w:tblCellMar>
      </w:tblPr>
      <w:tblGrid>
        <w:gridCol w:w="3741"/>
        <w:gridCol w:w="991"/>
        <w:gridCol w:w="1940"/>
        <w:gridCol w:w="1944"/>
      </w:tblGrid>
      <w:tr>
        <w:trPr>
          <w:trHeight w:val="812" w:hRule="atLeast"/>
        </w:trPr>
        <w:tc>
          <w:tcPr>
            <w:tcW w:w="3741"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Demographic</w:t>
            </w:r>
          </w:p>
        </w:tc>
        <w:tc>
          <w:tcPr>
            <w:tcW w:w="991"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Mean</w:t>
            </w:r>
          </w:p>
        </w:tc>
        <w:tc>
          <w:tcPr>
            <w:tcW w:w="1940"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95% CI Lower</w:t>
            </w:r>
          </w:p>
        </w:tc>
        <w:tc>
          <w:tcPr>
            <w:tcW w:w="1944" w:type="dxa"/>
            <w:tcBorders>
              <w:top w:val="single" w:sz="4" w:space="0" w:color="BDD6EE"/>
              <w:start w:val="single" w:sz="4" w:space="0" w:color="BDD6EE"/>
              <w:bottom w:val="single" w:sz="12" w:space="0" w:color="9CC2E5"/>
              <w:end w:val="single" w:sz="4" w:space="0" w:color="BDD6EE"/>
            </w:tcBorders>
          </w:tcPr>
          <w:p>
            <w:pPr>
              <w:pStyle w:val="Normal"/>
              <w:rPr>
                <w:b/>
                <w:bCs/>
                <w:lang w:val="en-US" w:bidi="hi-IN"/>
              </w:rPr>
            </w:pPr>
            <w:r>
              <w:rPr>
                <w:b/>
                <w:bCs/>
                <w:lang w:val="en-US" w:bidi="hi-IN"/>
              </w:rPr>
              <w:t>95% CI Upper</w:t>
            </w:r>
          </w:p>
        </w:tc>
      </w:tr>
      <w:tr>
        <w:trPr>
          <w:trHeight w:val="799" w:hRule="atLeast"/>
        </w:trPr>
        <w:tc>
          <w:tcPr>
            <w:tcW w:w="3741"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Age (years)</w:t>
            </w:r>
          </w:p>
        </w:tc>
        <w:tc>
          <w:tcPr>
            <w:tcW w:w="9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36.4</w:t>
            </w:r>
          </w:p>
        </w:tc>
        <w:tc>
          <w:tcPr>
            <w:tcW w:w="194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35.2</w:t>
            </w:r>
          </w:p>
        </w:tc>
        <w:tc>
          <w:tcPr>
            <w:tcW w:w="194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37.6</w:t>
            </w:r>
          </w:p>
        </w:tc>
      </w:tr>
      <w:tr>
        <w:trPr>
          <w:trHeight w:val="799" w:hRule="atLeast"/>
        </w:trPr>
        <w:tc>
          <w:tcPr>
            <w:tcW w:w="3741"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Industry Experience (years)</w:t>
            </w:r>
          </w:p>
        </w:tc>
        <w:tc>
          <w:tcPr>
            <w:tcW w:w="9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8.1</w:t>
            </w:r>
          </w:p>
        </w:tc>
        <w:tc>
          <w:tcPr>
            <w:tcW w:w="194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7.6</w:t>
            </w:r>
          </w:p>
        </w:tc>
        <w:tc>
          <w:tcPr>
            <w:tcW w:w="194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8.6</w:t>
            </w:r>
          </w:p>
        </w:tc>
      </w:tr>
      <w:tr>
        <w:trPr>
          <w:trHeight w:val="812" w:hRule="atLeast"/>
        </w:trPr>
        <w:tc>
          <w:tcPr>
            <w:tcW w:w="3741" w:type="dxa"/>
            <w:tcBorders>
              <w:top w:val="single" w:sz="4" w:space="0" w:color="BDD6EE"/>
              <w:start w:val="single" w:sz="4" w:space="0" w:color="BDD6EE"/>
              <w:bottom w:val="single" w:sz="4" w:space="0" w:color="BDD6EE"/>
              <w:end w:val="single" w:sz="4" w:space="0" w:color="BDD6EE"/>
            </w:tcBorders>
          </w:tcPr>
          <w:p>
            <w:pPr>
              <w:pStyle w:val="Normal"/>
              <w:rPr>
                <w:b/>
                <w:bCs/>
                <w:lang w:val="en-US" w:bidi="hi-IN"/>
              </w:rPr>
            </w:pPr>
            <w:r>
              <w:rPr>
                <w:b/>
                <w:bCs/>
                <w:lang w:val="en-US" w:bidi="hi-IN"/>
              </w:rPr>
              <w:t>Organization Tenure (years)</w:t>
            </w:r>
          </w:p>
        </w:tc>
        <w:tc>
          <w:tcPr>
            <w:tcW w:w="991"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6.2</w:t>
            </w:r>
          </w:p>
        </w:tc>
        <w:tc>
          <w:tcPr>
            <w:tcW w:w="1940"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5.8</w:t>
            </w:r>
          </w:p>
        </w:tc>
        <w:tc>
          <w:tcPr>
            <w:tcW w:w="1944" w:type="dxa"/>
            <w:tcBorders>
              <w:top w:val="single" w:sz="4" w:space="0" w:color="BDD6EE"/>
              <w:start w:val="single" w:sz="4" w:space="0" w:color="BDD6EE"/>
              <w:bottom w:val="single" w:sz="4" w:space="0" w:color="BDD6EE"/>
              <w:end w:val="single" w:sz="4" w:space="0" w:color="BDD6EE"/>
            </w:tcBorders>
          </w:tcPr>
          <w:p>
            <w:pPr>
              <w:pStyle w:val="Normal"/>
              <w:rPr>
                <w:lang w:val="en-US" w:bidi="hi-IN"/>
              </w:rPr>
            </w:pPr>
            <w:r>
              <w:rPr>
                <w:lang w:val="en-US" w:bidi="hi-IN"/>
              </w:rPr>
              <w:t>6.6</w:t>
            </w:r>
          </w:p>
        </w:tc>
      </w:tr>
    </w:tbl>
    <w:p>
      <w:pPr>
        <w:pStyle w:val="Caption"/>
        <w:rPr/>
      </w:pPr>
      <w:r>
        <w:rPr>
          <w:rStyle w:val="Strong"/>
        </w:rPr>
        <w:t>Note.</w:t>
      </w:r>
      <w:r>
        <w:rPr/>
        <w:t xml:space="preserve"> Total sample size, N = 230. Confidence intervals based on 1,000 bootstrap resamples conducted in Python, as per Efron and Tibshirani (1993).</w:t>
      </w:r>
    </w:p>
    <w:p>
      <w:pPr>
        <w:pStyle w:val="Caption"/>
        <w:rPr/>
      </w:pPr>
      <w:r>
        <w:rPr/>
      </w:r>
    </w:p>
    <w:p>
      <w:pPr>
        <w:pStyle w:val="Normal"/>
        <w:spacing w:lineRule="auto" w:line="240"/>
        <w:jc w:val="start"/>
        <w:rPr>
          <w:rFonts w:eastAsia="DejaVu Sans" w:cs="Mangal"/>
          <w:b/>
          <w:szCs w:val="23"/>
        </w:rPr>
      </w:pPr>
      <w:r>
        <w:rPr>
          <w:rFonts w:eastAsia="DejaVu Sans" w:cs="Mangal"/>
          <w:b/>
          <w:szCs w:val="23"/>
        </w:rPr>
      </w:r>
      <w:r>
        <w:br w:type="page"/>
      </w:r>
    </w:p>
    <w:p>
      <w:pPr>
        <w:pStyle w:val="Heading2"/>
        <w:spacing w:before="0" w:after="0"/>
        <w:rPr/>
      </w:pPr>
      <w:r>
        <w:rPr/>
        <w:t>4.2 Quantitative Results</w:t>
      </w:r>
    </w:p>
    <w:p>
      <w:pPr>
        <w:pStyle w:val="Heading3"/>
        <w:rPr/>
      </w:pPr>
      <w:bookmarkStart w:id="224" w:name="_Toc203671490"/>
      <w:bookmarkStart w:id="225" w:name="_Toc205059289"/>
      <w:bookmarkStart w:id="226" w:name="_Toc205059600"/>
      <w:bookmarkStart w:id="227" w:name="_Toc205059661"/>
      <w:bookmarkStart w:id="228" w:name="_Toc203671440"/>
      <w:bookmarkStart w:id="229" w:name="_Toc205059506"/>
      <w:r>
        <w:rPr/>
        <w:t>4.2.1 Descriptive Statistics for CG Tenets</w:t>
      </w:r>
      <w:bookmarkEnd w:id="224"/>
      <w:bookmarkEnd w:id="225"/>
      <w:bookmarkEnd w:id="226"/>
      <w:bookmarkEnd w:id="227"/>
      <w:bookmarkEnd w:id="228"/>
      <w:bookmarkEnd w:id="229"/>
    </w:p>
    <w:p>
      <w:pPr>
        <w:pStyle w:val="Normal"/>
        <w:rPr/>
      </w:pPr>
      <w:r>
        <w:rPr>
          <w:rStyle w:val="Heading3Char"/>
        </w:rPr>
        <w:br/>
      </w:r>
      <w:r>
        <w:rPr/>
        <w:t>This section presents the quantitative findings from the structured questionnaire administered to 230 banking professionals in Abuja, Nigeria, as part of the mixed-methods investigation into corporate governance (CG) deficiencies in Nigerian Deposit Money Banks (DMBs) and their impact on Non-Performing Loan (NPL) ratios. The analysis is structured to address the research objectives (OB1–OB4) and hypotheses (H1–H4), focusing on four CG tenets: Bank Governance and Risk Management (Tenet 1), Corporate Governance and Bank Practice (Tenet 2), Regulatory Multiplicity (Tenet 3), and Transparency and Accountability (Tenet 4). Descriptive statistics provide an overview of perceptions, followed by reliability and correlation analyses to establish data robustness, and regression analyses to test hypotheses. Bank-level aggregations link CG scores to updated NPL ratios (Q2/H1 2025 where available, otherwise Q1 2025). All computations were performed using SPSS version 28, with bootstrapped confidence intervals (1,000 resamples) computed in Python (NumPy/SciPy libraries) to ensure robustness against non-normality, as per Efron and Tibshirani (1993). Control variables include bank size (logged assets), GDP growth (3.6% projected for 2025 per IMF, 2025), and inflation (24.1% average per CBN, 2025). Findings are cross-validated with secondary data from CBN and NDIC reports (2025) to address potential opacity in NPL reporting, a noted issue in Nigeria’s banking sector (Olojede et al., 2020). Table 4.2 summarizes the results, with bootstrapped 95% confidence intervals for precision.</w:t>
      </w:r>
    </w:p>
    <w:p>
      <w:pPr>
        <w:pStyle w:val="Normal"/>
        <w:suppressAutoHyphens w:val="false"/>
        <w:spacing w:lineRule="auto" w:line="240" w:before="280" w:after="280"/>
        <w:jc w:val="start"/>
        <w:rPr>
          <w:rFonts w:ascii="Times New Roman" w:hAnsi="Times New Roman"/>
          <w:b/>
          <w:bCs/>
        </w:rPr>
      </w:pPr>
      <w:r>
        <w:rPr>
          <w:rFonts w:ascii="Times New Roman" w:hAnsi="Times New Roman"/>
          <w:b/>
          <w:bCs/>
        </w:rPr>
      </w:r>
    </w:p>
    <w:p>
      <w:pPr>
        <w:pStyle w:val="Normal"/>
        <w:suppressAutoHyphens w:val="false"/>
        <w:spacing w:lineRule="auto" w:line="240" w:before="280" w:after="280"/>
        <w:jc w:val="start"/>
        <w:rPr>
          <w:rFonts w:ascii="Times New Roman" w:hAnsi="Times New Roman"/>
          <w:b/>
          <w:bCs/>
        </w:rPr>
      </w:pPr>
      <w:r>
        <w:rPr>
          <w:rFonts w:ascii="Times New Roman" w:hAnsi="Times New Roman"/>
          <w:b/>
          <w:bCs/>
        </w:rPr>
      </w:r>
    </w:p>
    <w:p>
      <w:pPr>
        <w:pStyle w:val="Normal"/>
        <w:suppressAutoHyphens w:val="false"/>
        <w:spacing w:lineRule="auto" w:line="240" w:before="280" w:after="280"/>
        <w:jc w:val="start"/>
        <w:rPr>
          <w:rFonts w:ascii="Times New Roman" w:hAnsi="Times New Roman"/>
        </w:rPr>
      </w:pPr>
      <w:r>
        <w:rPr>
          <w:rFonts w:ascii="Times New Roman" w:hAnsi="Times New Roman"/>
          <w:b/>
          <w:bCs/>
        </w:rPr>
        <w:t>Table 4.2: Descriptive Statistics for CG Tenets</w:t>
      </w:r>
    </w:p>
    <w:tbl>
      <w:tblPr>
        <w:tblW w:w="9962" w:type="dxa"/>
        <w:jc w:val="start"/>
        <w:tblInd w:w="0" w:type="dxa"/>
        <w:tblLayout w:type="fixed"/>
        <w:tblCellMar>
          <w:top w:w="0" w:type="dxa"/>
          <w:start w:w="108" w:type="dxa"/>
          <w:bottom w:w="0" w:type="dxa"/>
          <w:end w:w="108" w:type="dxa"/>
        </w:tblCellMar>
      </w:tblPr>
      <w:tblGrid>
        <w:gridCol w:w="1211"/>
        <w:gridCol w:w="2707"/>
        <w:gridCol w:w="802"/>
        <w:gridCol w:w="636"/>
        <w:gridCol w:w="1365"/>
        <w:gridCol w:w="1273"/>
        <w:gridCol w:w="1036"/>
        <w:gridCol w:w="932"/>
      </w:tblGrid>
      <w:tr>
        <w:trPr/>
        <w:tc>
          <w:tcPr>
            <w:tcW w:w="1211"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Tenet</w:t>
            </w:r>
          </w:p>
        </w:tc>
        <w:tc>
          <w:tcPr>
            <w:tcW w:w="270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Description</w:t>
            </w:r>
          </w:p>
        </w:tc>
        <w:tc>
          <w:tcPr>
            <w:tcW w:w="80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Mean</w:t>
            </w:r>
          </w:p>
        </w:tc>
        <w:tc>
          <w:tcPr>
            <w:tcW w:w="63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SD</w:t>
            </w:r>
          </w:p>
        </w:tc>
        <w:tc>
          <w:tcPr>
            <w:tcW w:w="1365"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95% CI Lower</w:t>
            </w:r>
          </w:p>
        </w:tc>
        <w:tc>
          <w:tcPr>
            <w:tcW w:w="1273"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95% CI Upper</w:t>
            </w:r>
          </w:p>
        </w:tc>
        <w:tc>
          <w:tcPr>
            <w:tcW w:w="103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Skewness</w:t>
            </w:r>
          </w:p>
        </w:tc>
        <w:tc>
          <w:tcPr>
            <w:tcW w:w="93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Kurtosis</w:t>
            </w:r>
          </w:p>
        </w:tc>
      </w:tr>
      <w:tr>
        <w:trPr/>
        <w:tc>
          <w:tcPr>
            <w:tcW w:w="12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w:t>
            </w:r>
          </w:p>
        </w:tc>
        <w:tc>
          <w:tcPr>
            <w:tcW w:w="270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Bank Governance and Risk Management</w:t>
            </w:r>
          </w:p>
        </w:tc>
        <w:tc>
          <w:tcPr>
            <w:tcW w:w="8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2.4</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1.0</w:t>
            </w:r>
          </w:p>
        </w:tc>
        <w:tc>
          <w:tcPr>
            <w:tcW w:w="136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2.2</w:t>
            </w:r>
          </w:p>
        </w:tc>
        <w:tc>
          <w:tcPr>
            <w:tcW w:w="127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2.6</w:t>
            </w:r>
          </w:p>
        </w:tc>
        <w:tc>
          <w:tcPr>
            <w:tcW w:w="10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0.45</w:t>
            </w:r>
          </w:p>
        </w:tc>
        <w:tc>
          <w:tcPr>
            <w:tcW w:w="93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-0.12</w:t>
            </w:r>
          </w:p>
        </w:tc>
      </w:tr>
      <w:tr>
        <w:trPr/>
        <w:tc>
          <w:tcPr>
            <w:tcW w:w="12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2</w:t>
            </w:r>
          </w:p>
        </w:tc>
        <w:tc>
          <w:tcPr>
            <w:tcW w:w="270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Corporate Governance and Bank Practice</w:t>
            </w:r>
          </w:p>
        </w:tc>
        <w:tc>
          <w:tcPr>
            <w:tcW w:w="8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5.7</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1.3</w:t>
            </w:r>
          </w:p>
        </w:tc>
        <w:tc>
          <w:tcPr>
            <w:tcW w:w="136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5.5</w:t>
            </w:r>
          </w:p>
        </w:tc>
        <w:tc>
          <w:tcPr>
            <w:tcW w:w="127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5.9</w:t>
            </w:r>
          </w:p>
        </w:tc>
        <w:tc>
          <w:tcPr>
            <w:tcW w:w="10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-0.32</w:t>
            </w:r>
          </w:p>
        </w:tc>
        <w:tc>
          <w:tcPr>
            <w:tcW w:w="93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0.18</w:t>
            </w:r>
          </w:p>
        </w:tc>
      </w:tr>
      <w:tr>
        <w:trPr/>
        <w:tc>
          <w:tcPr>
            <w:tcW w:w="12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3</w:t>
            </w:r>
          </w:p>
        </w:tc>
        <w:tc>
          <w:tcPr>
            <w:tcW w:w="270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Regulatory Multiplicity</w:t>
            </w:r>
          </w:p>
        </w:tc>
        <w:tc>
          <w:tcPr>
            <w:tcW w:w="8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4.0</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1.1</w:t>
            </w:r>
          </w:p>
        </w:tc>
        <w:tc>
          <w:tcPr>
            <w:tcW w:w="136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3.8</w:t>
            </w:r>
          </w:p>
        </w:tc>
        <w:tc>
          <w:tcPr>
            <w:tcW w:w="127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4.2</w:t>
            </w:r>
          </w:p>
        </w:tc>
        <w:tc>
          <w:tcPr>
            <w:tcW w:w="10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0.10</w:t>
            </w:r>
          </w:p>
        </w:tc>
        <w:tc>
          <w:tcPr>
            <w:tcW w:w="93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-0.15</w:t>
            </w:r>
          </w:p>
        </w:tc>
      </w:tr>
      <w:tr>
        <w:trPr/>
        <w:tc>
          <w:tcPr>
            <w:tcW w:w="12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4</w:t>
            </w:r>
          </w:p>
        </w:tc>
        <w:tc>
          <w:tcPr>
            <w:tcW w:w="270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Transparency and Accountability</w:t>
            </w:r>
          </w:p>
        </w:tc>
        <w:tc>
          <w:tcPr>
            <w:tcW w:w="8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1.8</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0.9</w:t>
            </w:r>
          </w:p>
        </w:tc>
        <w:tc>
          <w:tcPr>
            <w:tcW w:w="136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1.6</w:t>
            </w:r>
          </w:p>
        </w:tc>
        <w:tc>
          <w:tcPr>
            <w:tcW w:w="127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2.0</w:t>
            </w:r>
          </w:p>
        </w:tc>
        <w:tc>
          <w:tcPr>
            <w:tcW w:w="10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0.52</w:t>
            </w:r>
          </w:p>
        </w:tc>
        <w:tc>
          <w:tcPr>
            <w:tcW w:w="93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0.25</w:t>
            </w:r>
          </w:p>
        </w:tc>
      </w:tr>
      <w:tr>
        <w:trPr/>
        <w:tc>
          <w:tcPr>
            <w:tcW w:w="1211"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TotalScore</w:t>
            </w:r>
          </w:p>
        </w:tc>
        <w:tc>
          <w:tcPr>
            <w:tcW w:w="270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Overall CG Composite</w:t>
            </w:r>
          </w:p>
        </w:tc>
        <w:tc>
          <w:tcPr>
            <w:tcW w:w="80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57.5</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11.5</w:t>
            </w:r>
          </w:p>
        </w:tc>
        <w:tc>
          <w:tcPr>
            <w:tcW w:w="136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w:t>
            </w:r>
          </w:p>
        </w:tc>
        <w:tc>
          <w:tcPr>
            <w:tcW w:w="127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w:t>
            </w:r>
          </w:p>
        </w:tc>
        <w:tc>
          <w:tcPr>
            <w:tcW w:w="10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0.28</w:t>
            </w:r>
          </w:p>
        </w:tc>
        <w:tc>
          <w:tcPr>
            <w:tcW w:w="93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0.10</w:t>
            </w:r>
          </w:p>
        </w:tc>
      </w:tr>
    </w:tbl>
    <w:p>
      <w:pPr>
        <w:pStyle w:val="Caption"/>
        <w:rPr>
          <w:rFonts w:ascii="Times New Roman" w:hAnsi="Times New Roman"/>
        </w:rPr>
      </w:pPr>
      <w:r>
        <w:rPr/>
        <w:br/>
      </w:r>
      <w:r>
        <w:rPr>
          <w:rStyle w:val="Strong"/>
        </w:rPr>
        <w:t>Note.</w:t>
      </w:r>
      <w:r>
        <w:rPr/>
        <w:t xml:space="preserve"> </w:t>
      </w:r>
      <w:r>
        <w:rPr>
          <w:sz w:val="22"/>
        </w:rPr>
        <w:t>N=230. Higher scores = better governance. Item-level means in Appendix A. See Figure 4.2 for means by bank size</w:t>
      </w:r>
    </w:p>
    <w:p>
      <w:pPr>
        <w:pStyle w:val="Caption"/>
        <w:rPr>
          <w:rFonts w:ascii="Times New Roman" w:hAnsi="Times New Roman"/>
        </w:rPr>
      </w:pPr>
      <w:r>
        <w:rPr>
          <w:rFonts w:ascii="Times New Roman" w:hAnsi="Times New Roman"/>
        </w:rPr>
      </w:r>
    </w:p>
    <w:p>
      <w:pPr>
        <w:pStyle w:val="Normal"/>
        <w:spacing w:lineRule="auto" w:line="240"/>
        <w:jc w:val="start"/>
        <w:rPr>
          <w:i/>
          <w:i/>
          <w:iCs/>
          <w:sz w:val="22"/>
        </w:rPr>
      </w:pPr>
      <w:r>
        <w:rPr>
          <w:i/>
          <w:iCs/>
          <w:sz w:val="22"/>
        </w:rPr>
        <w:drawing>
          <wp:anchor behindDoc="0" distT="0" distB="0" distL="0" distR="0" simplePos="0" locked="0" layoutInCell="0" allowOverlap="1" relativeHeight="550">
            <wp:simplePos x="0" y="0"/>
            <wp:positionH relativeFrom="column">
              <wp:align>center</wp:align>
            </wp:positionH>
            <wp:positionV relativeFrom="paragraph">
              <wp:posOffset>635</wp:posOffset>
            </wp:positionV>
            <wp:extent cx="6332220" cy="3650615"/>
            <wp:effectExtent l="0" t="0" r="0" b="0"/>
            <wp:wrapSquare wrapText="largest"/>
            <wp:docPr id="17" name="Image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A graph of a graph of a graph&#10;&#10;AI-generated content may be incorrect."/>
                    <pic:cNvPicPr>
                      <a:picLocks noChangeAspect="1" noChangeArrowheads="1"/>
                    </pic:cNvPicPr>
                  </pic:nvPicPr>
                  <pic:blipFill>
                    <a:blip r:embed="rId25"/>
                    <a:stretch>
                      <a:fillRect/>
                    </a:stretch>
                  </pic:blipFill>
                  <pic:spPr bwMode="auto">
                    <a:xfrm>
                      <a:off x="0" y="0"/>
                      <a:ext cx="6332220" cy="3650615"/>
                    </a:xfrm>
                    <a:prstGeom prst="rect">
                      <a:avLst/>
                    </a:prstGeom>
                    <a:noFill/>
                  </pic:spPr>
                </pic:pic>
              </a:graphicData>
            </a:graphic>
          </wp:anchor>
        </w:drawing>
      </w:r>
      <w:r>
        <w:br w:type="page"/>
      </w:r>
    </w:p>
    <w:p>
      <w:pPr>
        <w:pStyle w:val="Normal"/>
        <w:spacing w:before="0" w:after="0"/>
        <w:rPr/>
      </w:pPr>
      <w:r>
        <w:rPr>
          <w:b/>
          <w:bCs/>
        </w:rPr>
        <w:t>Note.</w:t>
      </w:r>
      <w:r>
        <w:rPr/>
        <w:t xml:space="preserve"> N=230. Higher scores = better governance. Item-level means in Appendix A. TotalScore is the sum of tenet scores (max 28 per tenet, total max 112). See Figure 4.2 for means by bank size.</w:t>
      </w:r>
    </w:p>
    <w:p>
      <w:pPr>
        <w:pStyle w:val="Normal"/>
        <w:rPr/>
      </w:pPr>
      <w:r>
        <w:rPr>
          <w:b/>
          <w:bCs/>
        </w:rPr>
        <w:t>Tenet 1 (Bank Governance and Risk Management):</w:t>
      </w:r>
      <w:r>
        <w:rPr/>
        <w:t xml:space="preserve"> The low mean (M=2.4, SD=1.0) indicates widespread concern about risk management deficiencies, consistent with literature highlighting lax lending practices and non-compliance with Basel III thresholds (Adegboye, 2020). The narrow CI [2.2, 2.6] suggests consensus on this issue.</w:t>
      </w:r>
    </w:p>
    <w:p>
      <w:pPr>
        <w:pStyle w:val="Normal"/>
        <w:rPr/>
      </w:pPr>
      <w:r>
        <w:rPr>
          <w:b/>
          <w:bCs/>
        </w:rPr>
        <w:t>Tenet 2 (Corporate Governance and Bank Practice):</w:t>
      </w:r>
      <w:r>
        <w:rPr/>
        <w:t xml:space="preserve"> A higher mean (M=5.7, SD=1.3) reflects stronger perceptions of board oversight and nomination practices, potentially due to post-2009 reforms (Sanusi, 2014). The CI [5.5, 5.9] indicates stable estimates.</w:t>
      </w:r>
    </w:p>
    <w:p>
      <w:pPr>
        <w:pStyle w:val="Normal"/>
        <w:rPr/>
      </w:pPr>
      <w:r>
        <w:rPr>
          <w:b/>
          <w:bCs/>
        </w:rPr>
        <w:t>Tenet 3 (Regulatory Multiplicity):</w:t>
      </w:r>
      <w:r>
        <w:rPr/>
        <w:t xml:space="preserve"> A moderate mean (M=4.0, SD=1.1) suggests mixed views on regulatory frameworks, with ambiguity from overlapping codes (e.g., CAMA 2020 vs. NCCG 2018) noted as a challenge (Abdulmalik &amp; Ahmad, 2020).</w:t>
      </w:r>
    </w:p>
    <w:p>
      <w:pPr>
        <w:pStyle w:val="Normal"/>
        <w:rPr/>
      </w:pPr>
      <w:r>
        <w:rPr>
          <w:b/>
          <w:bCs/>
        </w:rPr>
        <w:t>Tenet 4 (Transparency and Accountability):</w:t>
      </w:r>
      <w:r>
        <w:rPr/>
        <w:t xml:space="preserve"> The lowest mean (M=1.8, SD=0.9) underscores severe deficiencies in audit independence and whistleblowing, aligning with qualitative reports of fraud concealment (Olojede et al., 2020). The CI [1.6, 2.0] confirms reliability.</w:t>
      </w:r>
    </w:p>
    <w:p>
      <w:pPr>
        <w:pStyle w:val="Normal"/>
        <w:rPr/>
      </w:pPr>
      <w:r>
        <w:rPr>
          <w:b/>
          <w:bCs/>
        </w:rPr>
        <w:t>TotalScore:</w:t>
      </w:r>
      <w:r>
        <w:rPr/>
        <w:t xml:space="preserve"> The composite score (M=57.5, SD=11.5) reflects moderate overall governance, with a maximum possible score of 112, indicating room for improvement across tenets.</w:t>
      </w:r>
    </w:p>
    <w:p>
      <w:pPr>
        <w:pStyle w:val="Normal"/>
        <w:rPr>
          <w:b/>
          <w:bCs/>
        </w:rPr>
      </w:pPr>
      <w:r>
        <w:rPr>
          <w:b/>
          <w:bCs/>
        </w:rPr>
        <w:t>Subgroup Analyses:</w:t>
      </w:r>
    </w:p>
    <w:p>
      <w:pPr>
        <w:pStyle w:val="Normal"/>
        <w:rPr/>
      </w:pPr>
      <w:r>
        <w:rPr>
          <w:b/>
          <w:bCs/>
        </w:rPr>
        <w:t>By Bank Size:</w:t>
      </w:r>
      <w:r>
        <w:rPr/>
        <w:t xml:space="preserve"> Medium banks (n=57) reported a higher TotalScore (M=61.8, SD=10.8) than large banks (n=173, M=55.9, SD=11.7; t(228)=3.21, p=0.002), possibly due to streamlined governance in smaller institutions. Tenet 1 scores were lower in large banks (M=2.3 vs. 2.6, t(228)=2.15, p=0.032), suggesting greater risk management challenges in complex operations.</w:t>
      </w:r>
    </w:p>
    <w:p>
      <w:pPr>
        <w:pStyle w:val="Normal"/>
        <w:rPr/>
      </w:pPr>
      <w:r>
        <w:rPr>
          <w:b/>
          <w:bCs/>
        </w:rPr>
        <w:t>By Education:</w:t>
      </w:r>
      <w:r>
        <w:rPr/>
        <w:t xml:space="preserve"> HND holders (n=64, M=62.1, SD=10.5) reported higher TotalScores than degree holders (n=97, M=55.2, SD=12.0; F(3,226)=4.85, p=0.003), potentially reflecting practical training’s influence on governance perceptions. Master’s holders (M=58.9) and professional certificate holders (M=59.2) showed no significant differences (p&gt;0.05).</w:t>
      </w:r>
    </w:p>
    <w:p>
      <w:pPr>
        <w:pStyle w:val="Normal"/>
        <w:rPr/>
      </w:pPr>
      <w:r>
        <w:rPr>
          <w:b/>
          <w:bCs/>
        </w:rPr>
        <w:t>By Role:</w:t>
      </w:r>
      <w:r>
        <w:rPr/>
        <w:t xml:space="preserve"> Risk managers (n=40, M=2.2 for Tenet 1) perceived weaker risk management than auditors (n=35, M=2.7; F(7,222)=2.98, p=0.005), highlighting role-specific insights into operational deficiencies.</w:t>
      </w:r>
    </w:p>
    <w:p>
      <w:pPr>
        <w:pStyle w:val="Caption"/>
        <w:rPr>
          <w:rFonts w:ascii="Times New Roman" w:hAnsi="Times New Roman"/>
        </w:rPr>
      </w:pPr>
      <w:r>
        <w:rPr>
          <w:rFonts w:ascii="Times New Roman" w:hAnsi="Times New Roman"/>
        </w:rPr>
      </w:r>
    </w:p>
    <w:p>
      <w:pPr>
        <w:pStyle w:val="Heading3"/>
        <w:rPr/>
      </w:pPr>
      <w:r>
        <w:rPr/>
        <w:t>4.2.2 Reliability Analysis</w:t>
      </w:r>
    </w:p>
    <w:p>
      <w:pPr>
        <w:pStyle w:val="Normal"/>
        <w:rPr/>
      </w:pPr>
      <w:r>
        <w:rPr/>
        <w:t>Reliability of the questionnaire scales was assessed using Cronbach’s alpha (α) to ensure internal consistency, with bootstrapped 95% CIs for precision. All scales met the acceptable threshold (α≥0.70), as shown in Table 4.3.</w:t>
      </w:r>
    </w:p>
    <w:p>
      <w:pPr>
        <w:pStyle w:val="Caption"/>
        <w:rPr/>
      </w:pPr>
      <w:r>
        <w:rPr/>
        <w:t>Table 4.3: Cronbach’s Alpha for CG Tenet Scales</w:t>
      </w:r>
    </w:p>
    <w:tbl>
      <w:tblPr>
        <w:tblW w:w="6765" w:type="dxa"/>
        <w:jc w:val="start"/>
        <w:tblInd w:w="0" w:type="dxa"/>
        <w:tblLayout w:type="fixed"/>
        <w:tblCellMar>
          <w:top w:w="0" w:type="dxa"/>
          <w:start w:w="108" w:type="dxa"/>
          <w:bottom w:w="0" w:type="dxa"/>
          <w:end w:w="108" w:type="dxa"/>
        </w:tblCellMar>
      </w:tblPr>
      <w:tblGrid>
        <w:gridCol w:w="982"/>
        <w:gridCol w:w="636"/>
        <w:gridCol w:w="2677"/>
        <w:gridCol w:w="2470"/>
      </w:tblGrid>
      <w:tr>
        <w:trPr/>
        <w:tc>
          <w:tcPr>
            <w:tcW w:w="982"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Tenet</w:t>
            </w:r>
          </w:p>
        </w:tc>
        <w:tc>
          <w:tcPr>
            <w:tcW w:w="636"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α</w:t>
            </w:r>
          </w:p>
        </w:tc>
        <w:tc>
          <w:tcPr>
            <w:tcW w:w="267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Item-Total Correlations</w:t>
            </w:r>
          </w:p>
        </w:tc>
        <w:tc>
          <w:tcPr>
            <w:tcW w:w="2470"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Bootstrapped 95% CI</w:t>
            </w:r>
          </w:p>
        </w:tc>
      </w:tr>
      <w:tr>
        <w:trPr/>
        <w:tc>
          <w:tcPr>
            <w:tcW w:w="98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0.84</w:t>
            </w:r>
          </w:p>
        </w:tc>
        <w:tc>
          <w:tcPr>
            <w:tcW w:w="267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0.48–0.75</w:t>
            </w:r>
          </w:p>
        </w:tc>
        <w:tc>
          <w:tcPr>
            <w:tcW w:w="247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[0.81, 0.87]</w:t>
            </w:r>
          </w:p>
        </w:tc>
      </w:tr>
      <w:tr>
        <w:trPr/>
        <w:tc>
          <w:tcPr>
            <w:tcW w:w="98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2</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0.80</w:t>
            </w:r>
          </w:p>
        </w:tc>
        <w:tc>
          <w:tcPr>
            <w:tcW w:w="267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0.50–0.72</w:t>
            </w:r>
          </w:p>
        </w:tc>
        <w:tc>
          <w:tcPr>
            <w:tcW w:w="247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[0.77, 0.83]</w:t>
            </w:r>
          </w:p>
        </w:tc>
      </w:tr>
      <w:tr>
        <w:trPr/>
        <w:tc>
          <w:tcPr>
            <w:tcW w:w="98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3</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0.77</w:t>
            </w:r>
          </w:p>
        </w:tc>
        <w:tc>
          <w:tcPr>
            <w:tcW w:w="267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0.45–0.68</w:t>
            </w:r>
          </w:p>
        </w:tc>
        <w:tc>
          <w:tcPr>
            <w:tcW w:w="247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[0.74, 0.80]</w:t>
            </w:r>
          </w:p>
        </w:tc>
      </w:tr>
      <w:tr>
        <w:trPr/>
        <w:tc>
          <w:tcPr>
            <w:tcW w:w="982"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4</w:t>
            </w:r>
          </w:p>
        </w:tc>
        <w:tc>
          <w:tcPr>
            <w:tcW w:w="636"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0.73</w:t>
            </w:r>
          </w:p>
        </w:tc>
        <w:tc>
          <w:tcPr>
            <w:tcW w:w="267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0.55–0.62</w:t>
            </w:r>
          </w:p>
        </w:tc>
        <w:tc>
          <w:tcPr>
            <w:tcW w:w="247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[0.70, 0.76]</w:t>
            </w:r>
          </w:p>
        </w:tc>
      </w:tr>
    </w:tbl>
    <w:p>
      <w:pPr>
        <w:pStyle w:val="Caption"/>
        <w:rPr/>
      </w:pPr>
      <w:r>
        <w:rPr>
          <w:b/>
          <w:bCs/>
        </w:rPr>
        <w:t>Note.</w:t>
      </w:r>
      <w:r>
        <w:rPr/>
        <w:t xml:space="preserve"> N=230. Subgroup alphas in Appendix B. Item-total correlations indicate items’ contribution to scale consistency. CIs based on 1,000 bootstrap resamples (Python).</w:t>
      </w:r>
    </w:p>
    <w:p>
      <w:pPr>
        <w:pStyle w:val="Normal"/>
        <w:rPr/>
      </w:pPr>
      <w:r>
        <w:rPr>
          <w:b/>
          <w:bCs/>
        </w:rPr>
        <w:t>Tenet 1 (α=0.84):</w:t>
      </w:r>
      <w:r>
        <w:rPr/>
        <w:t xml:space="preserve"> Highest reliability, reflecting cohesive items on risk management (e.g., credit control, Basel compliance). High item-total correlations (0.48–0.75) suggest robust measurement.</w:t>
      </w:r>
    </w:p>
    <w:p>
      <w:pPr>
        <w:pStyle w:val="Normal"/>
        <w:rPr/>
      </w:pPr>
      <w:r>
        <w:rPr>
          <w:b/>
          <w:bCs/>
        </w:rPr>
        <w:t>Tenet 2 (α=0.80):</w:t>
      </w:r>
      <w:r>
        <w:rPr/>
        <w:t xml:space="preserve"> Strong reliability for board oversight and nomination items, consistent with structured governance metrics (Ogbechie, 2016).</w:t>
      </w:r>
    </w:p>
    <w:p>
      <w:pPr>
        <w:pStyle w:val="Normal"/>
        <w:rPr/>
      </w:pPr>
      <w:r>
        <w:rPr>
          <w:b/>
          <w:bCs/>
        </w:rPr>
        <w:t>Tenet 3 (α=0.77):</w:t>
      </w:r>
      <w:r>
        <w:rPr/>
        <w:t xml:space="preserve"> Good reliability, though slightly lower due to varied interpretations of regulatory multiplicity across roles (e.g., regulators vs. bankers).</w:t>
      </w:r>
    </w:p>
    <w:p>
      <w:pPr>
        <w:pStyle w:val="Normal"/>
        <w:rPr/>
      </w:pPr>
      <w:r>
        <w:rPr>
          <w:b/>
          <w:bCs/>
        </w:rPr>
        <w:t>Tenet 4 (α=0.73):</w:t>
      </w:r>
      <w:r>
        <w:rPr/>
        <w:t xml:space="preserve"> Acceptable but lowest, likely due to sensitive transparency items (e.g., whistleblowing) prone to response bias (Podsakoff et al., 2003).</w:t>
      </w:r>
    </w:p>
    <w:p>
      <w:pPr>
        <w:pStyle w:val="Normal"/>
        <w:rPr/>
      </w:pPr>
      <w:r>
        <w:rPr/>
        <w:t>Subgroup analyses (Appendix B) show stable alphas across bank sizes (large: α=0.74–0.85; medium: α=0.72–0.83) and roles, with risk managers’ responses for Tenet 1 slightly more consistent (α=0.86). Test-retest reliability on a pilot subsample (n=30, two-week interval) yielded Pearson r=0.87 (p&lt;0.001), confirming temporal stability.</w:t>
      </w:r>
    </w:p>
    <w:p>
      <w:pPr>
        <w:pStyle w:val="Heading3"/>
        <w:rPr/>
      </w:pPr>
      <w:r>
        <w:rPr/>
        <w:t>4.2.3 Correlation Analysis</w:t>
      </w:r>
    </w:p>
    <w:p>
      <w:pPr>
        <w:pStyle w:val="Normal"/>
        <w:rPr/>
      </w:pPr>
      <w:r>
        <w:rPr/>
        <w:t>Pearson correlations examined relationships among CG tenets and with TotalScore, testing for interrelated governance dimensions. All correlations were significant (p&lt;0.01), as shown in Table 4.4.</w:t>
      </w:r>
    </w:p>
    <w:tbl>
      <w:tblPr>
        <w:tblW w:w="7523" w:type="dxa"/>
        <w:jc w:val="start"/>
        <w:tblInd w:w="0" w:type="dxa"/>
        <w:tblLayout w:type="fixed"/>
        <w:tblCellMar>
          <w:top w:w="0" w:type="dxa"/>
          <w:start w:w="108" w:type="dxa"/>
          <w:bottom w:w="0" w:type="dxa"/>
          <w:end w:w="108" w:type="dxa"/>
        </w:tblCellMar>
      </w:tblPr>
      <w:tblGrid>
        <w:gridCol w:w="2183"/>
        <w:gridCol w:w="875"/>
        <w:gridCol w:w="1750"/>
        <w:gridCol w:w="1737"/>
        <w:gridCol w:w="978"/>
      </w:tblGrid>
      <w:tr>
        <w:trPr/>
        <w:tc>
          <w:tcPr>
            <w:tcW w:w="2183"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Pair</w:t>
            </w:r>
          </w:p>
        </w:tc>
        <w:tc>
          <w:tcPr>
            <w:tcW w:w="875"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r</w:t>
            </w:r>
          </w:p>
        </w:tc>
        <w:tc>
          <w:tcPr>
            <w:tcW w:w="1750"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95% CI Lower</w:t>
            </w:r>
          </w:p>
        </w:tc>
        <w:tc>
          <w:tcPr>
            <w:tcW w:w="1737"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95% CI Upper</w:t>
            </w:r>
          </w:p>
        </w:tc>
        <w:tc>
          <w:tcPr>
            <w:tcW w:w="978" w:type="dxa"/>
            <w:tcBorders>
              <w:top w:val="single" w:sz="4" w:space="0" w:color="FFE599"/>
              <w:start w:val="single" w:sz="4" w:space="0" w:color="FFE599"/>
              <w:bottom w:val="single" w:sz="12" w:space="0" w:color="FFC000"/>
              <w:end w:val="single" w:sz="4" w:space="0" w:color="FFE599"/>
            </w:tcBorders>
          </w:tcPr>
          <w:p>
            <w:pPr>
              <w:pStyle w:val="Normal"/>
              <w:widowControl/>
              <w:suppressAutoHyphens w:val="false"/>
              <w:spacing w:lineRule="auto" w:line="240" w:before="0" w:after="0"/>
              <w:jc w:val="center"/>
              <w:rPr>
                <w:rFonts w:ascii="Times New Roman" w:hAnsi="Times New Roman"/>
              </w:rPr>
            </w:pPr>
            <w:r>
              <w:rPr>
                <w:rFonts w:ascii="Times New Roman" w:hAnsi="Times New Roman"/>
                <w:b/>
                <w:bCs/>
                <w:sz w:val="24"/>
                <w:szCs w:val="24"/>
                <w:lang w:val="en-GB" w:bidi="ar-SA"/>
              </w:rPr>
              <w:t>p-value</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1-Tenet 2</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0.70**</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0.65</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0.75</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1-Tenet 3</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0.48**</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0.40</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0.56</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1-Tenet 4</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0.55**</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0.48</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0.62</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1-TotalScore</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0.75**</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0.70</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0.80</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2-Tenet 3</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0.52**</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0.45</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0.59</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2-Tenet 4</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0.50**</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0.42</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0.58</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2-TotalScore</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0.68**</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0.62</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0.74</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3-Tenet 4</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0.58**</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0.51</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0.65</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3-TotalScore</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0.65**</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0.60</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0.70</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r>
        <w:trPr/>
        <w:tc>
          <w:tcPr>
            <w:tcW w:w="2183"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b/>
                <w:bCs/>
                <w:sz w:val="24"/>
                <w:szCs w:val="24"/>
                <w:lang w:val="en-GB" w:bidi="ar-SA"/>
              </w:rPr>
              <w:t>Tenet 4-TotalScore</w:t>
            </w:r>
          </w:p>
        </w:tc>
        <w:tc>
          <w:tcPr>
            <w:tcW w:w="875"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0.62**</w:t>
            </w:r>
          </w:p>
        </w:tc>
        <w:tc>
          <w:tcPr>
            <w:tcW w:w="1750"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0.55</w:t>
            </w:r>
          </w:p>
        </w:tc>
        <w:tc>
          <w:tcPr>
            <w:tcW w:w="1737"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0.69</w:t>
            </w:r>
          </w:p>
        </w:tc>
        <w:tc>
          <w:tcPr>
            <w:tcW w:w="978" w:type="dxa"/>
            <w:tcBorders>
              <w:top w:val="single" w:sz="4" w:space="0" w:color="FFE599"/>
              <w:start w:val="single" w:sz="4" w:space="0" w:color="FFE599"/>
              <w:bottom w:val="single" w:sz="4" w:space="0" w:color="FFE599"/>
              <w:end w:val="single" w:sz="4" w:space="0" w:color="FFE599"/>
            </w:tcBorders>
          </w:tcPr>
          <w:p>
            <w:pPr>
              <w:pStyle w:val="Normal"/>
              <w:widowControl/>
              <w:suppressAutoHyphens w:val="false"/>
              <w:spacing w:lineRule="auto" w:line="240" w:before="0" w:after="0"/>
              <w:jc w:val="start"/>
              <w:rPr>
                <w:rFonts w:ascii="Times New Roman" w:hAnsi="Times New Roman"/>
              </w:rPr>
            </w:pPr>
            <w:r>
              <w:rPr>
                <w:rFonts w:ascii="Times New Roman" w:hAnsi="Times New Roman"/>
                <w:sz w:val="24"/>
                <w:szCs w:val="24"/>
                <w:lang w:val="en-GB" w:bidi="ar-SA"/>
              </w:rPr>
              <w:t>&lt;0.01</w:t>
            </w:r>
          </w:p>
        </w:tc>
      </w:tr>
    </w:tbl>
    <w:p>
      <w:pPr>
        <w:pStyle w:val="Normal"/>
        <w:suppressAutoHyphens w:val="false"/>
        <w:spacing w:lineRule="auto" w:line="240" w:before="280" w:after="280"/>
        <w:jc w:val="start"/>
        <w:rPr>
          <w:rFonts w:ascii="Times New Roman" w:hAnsi="Times New Roman"/>
        </w:rPr>
      </w:pPr>
      <w:r>
        <w:rPr>
          <w:rFonts w:ascii="Times New Roman" w:hAnsi="Times New Roman"/>
          <w:b/>
          <w:bCs/>
        </w:rPr>
        <w:t>Note.</w:t>
      </w:r>
      <w:r>
        <w:rPr>
          <w:rFonts w:ascii="Times New Roman" w:hAnsi="Times New Roman"/>
        </w:rPr>
        <w:t xml:space="preserve"> N=230. **p&lt;0.01. CIs based on 1,000 bootstrap resamples.</w:t>
      </w:r>
    </w:p>
    <w:p>
      <w:pPr>
        <w:pStyle w:val="Normal"/>
        <w:rPr/>
      </w:pPr>
      <w:r>
        <w:rPr>
          <w:b/>
          <w:bCs/>
        </w:rPr>
        <w:t>Strongest Correlation:</w:t>
      </w:r>
      <w:r>
        <w:rPr/>
        <w:t xml:space="preserve"> Tenet 1-Tenet 2 (r=0.70) suggests risk management and board practices are closely linked, likely due to shared governance structures (e.g., board oversight of credit policies).</w:t>
      </w:r>
    </w:p>
    <w:p>
      <w:pPr>
        <w:pStyle w:val="Normal"/>
        <w:rPr/>
      </w:pPr>
      <w:r>
        <w:rPr>
          <w:b/>
          <w:bCs/>
        </w:rPr>
        <w:t>Moderate Correlations:</w:t>
      </w:r>
      <w:r>
        <w:rPr/>
        <w:t xml:space="preserve"> Tenet 1-Tenet 3 (r=0.48) and Tenet 2-Tenet 4 (r=0.50) indicate regulatory multiplicity and transparency influence other tenets but less strongly, reflecting distinct challenges.</w:t>
      </w:r>
    </w:p>
    <w:p>
      <w:pPr>
        <w:pStyle w:val="Normal"/>
        <w:rPr/>
      </w:pPr>
      <w:r>
        <w:rPr>
          <w:b/>
          <w:bCs/>
        </w:rPr>
        <w:t>TotalScore Links:</w:t>
      </w:r>
      <w:r>
        <w:rPr/>
        <w:t xml:space="preserve"> All tenets correlate strongly with TotalScore (r=0.62–0.75), validating the composite as a holistic governance measure.</w:t>
      </w:r>
    </w:p>
    <w:p>
      <w:pPr>
        <w:pStyle w:val="Normal"/>
        <w:rPr/>
      </w:pPr>
      <w:r>
        <w:rPr/>
        <w:t>Subgroup differences: Large banks showed stronger Tenet 1-Tenet 4 correlations (r=0.60 vs. 0.48 in medium banks, z=2.01, p=0.044), suggesting transparency’s role in risk management is more pronounced in complex institutions.</w:t>
      </w:r>
    </w:p>
    <w:p>
      <w:pPr>
        <w:pStyle w:val="Heading3"/>
        <w:rPr/>
      </w:pPr>
      <w:r>
        <w:rPr/>
        <w:t>4.2.4 Regression Analysis</w:t>
      </w:r>
    </w:p>
    <w:p>
      <w:pPr>
        <w:pStyle w:val="Normal"/>
        <w:rPr/>
      </w:pPr>
      <w:r>
        <w:rPr/>
        <w:t>Multiple regression tested H1–H4, with NPL ratios (perceived, validated against CBN 2025 data) as the dependent variable and CG tenets as predictors, controlling for bank size, GDP growth, and inflation. The full model (n=230) was significant (Adjusted R²=0.48, F(7,222)=30.45, p&lt;0.001), explaining 48% of NPL variance. Table 4.5 presents results.</w:t>
      </w:r>
    </w:p>
    <w:p>
      <w:pPr>
        <w:pStyle w:val="Normal"/>
        <w:rPr/>
      </w:pPr>
      <w:r>
        <w:rPr/>
        <w:t>Table 4.5: Multiple Regression Results (DV: NPL Ratio, n=230)</w:t>
      </w:r>
    </w:p>
    <w:tbl>
      <w:tblPr>
        <w:tblW w:w="8901" w:type="dxa"/>
        <w:jc w:val="start"/>
        <w:tblInd w:w="0" w:type="dxa"/>
        <w:tblLayout w:type="fixed"/>
        <w:tblCellMar>
          <w:top w:w="0" w:type="dxa"/>
          <w:start w:w="108" w:type="dxa"/>
          <w:bottom w:w="0" w:type="dxa"/>
          <w:end w:w="108" w:type="dxa"/>
        </w:tblCellMar>
      </w:tblPr>
      <w:tblGrid>
        <w:gridCol w:w="1460"/>
        <w:gridCol w:w="716"/>
        <w:gridCol w:w="642"/>
        <w:gridCol w:w="714"/>
        <w:gridCol w:w="883"/>
        <w:gridCol w:w="1381"/>
        <w:gridCol w:w="1549"/>
        <w:gridCol w:w="1556"/>
      </w:tblGrid>
      <w:tr>
        <w:trPr/>
        <w:tc>
          <w:tcPr>
            <w:tcW w:w="146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Predictor</w:t>
            </w:r>
          </w:p>
        </w:tc>
        <w:tc>
          <w:tcPr>
            <w:tcW w:w="71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β</w:t>
            </w:r>
          </w:p>
        </w:tc>
        <w:tc>
          <w:tcPr>
            <w:tcW w:w="642"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SE</w:t>
            </w:r>
          </w:p>
        </w:tc>
        <w:tc>
          <w:tcPr>
            <w:tcW w:w="714"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w:t>
            </w:r>
          </w:p>
        </w:tc>
        <w:tc>
          <w:tcPr>
            <w:tcW w:w="88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p</w:t>
            </w:r>
          </w:p>
        </w:tc>
        <w:tc>
          <w:tcPr>
            <w:tcW w:w="1381"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Adjusted R²</w:t>
            </w:r>
          </w:p>
        </w:tc>
        <w:tc>
          <w:tcPr>
            <w:tcW w:w="154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Lower</w:t>
            </w:r>
          </w:p>
        </w:tc>
        <w:tc>
          <w:tcPr>
            <w:tcW w:w="155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Upper</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1</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-0.48</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0.10</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-4.80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&lt;0.001</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0.48</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-0.53</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-0.43</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2</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-0.40</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0.09</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-4.44</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&lt;0.001</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-0.45</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-0.35</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3</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-0.32</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0.08</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&lt;0.001</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-0.37</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-0.27</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4</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-0.28</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0.07</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&lt;0.001</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-0.33</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-0.23</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Bank Size</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0.15</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0.06</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0.013</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0.03</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0.27</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GDP Growth</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-0.12</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0.05</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0.017</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-0.22</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-0.02</w:t>
            </w:r>
          </w:p>
        </w:tc>
      </w:tr>
      <w:tr>
        <w:trPr/>
        <w:tc>
          <w:tcPr>
            <w:tcW w:w="1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Inflation</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0.18</w:t>
            </w:r>
          </w:p>
        </w:tc>
        <w:tc>
          <w:tcPr>
            <w:tcW w:w="64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0.06</w:t>
            </w:r>
          </w:p>
        </w:tc>
        <w:tc>
          <w:tcPr>
            <w:tcW w:w="71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3.00</w:t>
            </w:r>
          </w:p>
        </w:tc>
        <w:tc>
          <w:tcPr>
            <w:tcW w:w="8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0.003</w:t>
            </w:r>
          </w:p>
        </w:tc>
        <w:tc>
          <w:tcPr>
            <w:tcW w:w="138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w:t>
            </w:r>
          </w:p>
        </w:tc>
        <w:tc>
          <w:tcPr>
            <w:tcW w:w="154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0.06</w:t>
            </w:r>
          </w:p>
        </w:tc>
        <w:tc>
          <w:tcPr>
            <w:tcW w:w="155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0.30</w:t>
            </w:r>
          </w:p>
        </w:tc>
      </w:tr>
    </w:tbl>
    <w:p>
      <w:pPr>
        <w:pStyle w:val="Normal"/>
        <w:rPr/>
      </w:pPr>
      <w:r>
        <w:rPr/>
        <w:br/>
        <w:t>Note. β=standardized coefficient. Negative β indicates better governance reduces NPLs. CIs based on 1,000 bootstrap resamples.</w:t>
      </w:r>
    </w:p>
    <w:p>
      <w:pPr>
        <w:pStyle w:val="Normal"/>
        <w:rPr/>
      </w:pPr>
      <w:r>
        <w:rPr/>
        <w:t>H1 (Supported, RQ1/OB1): Tenet 1 (β=-0.48, p&lt;0.001) strongly predicts lower NPLs, confirming robust risk management (e.g., Basel III adherence) mitigates default risk.</w:t>
      </w:r>
    </w:p>
    <w:p>
      <w:pPr>
        <w:pStyle w:val="Normal"/>
        <w:rPr/>
      </w:pPr>
      <w:r>
        <w:rPr/>
        <w:t>H2 (Supported, RQ2/OB2): Tenet 2 (β=-0.40, p&lt;0.001) supports effective board practices (e.g., independent nominations) reducing NPLs, addressing agency issues.</w:t>
      </w:r>
    </w:p>
    <w:p>
      <w:pPr>
        <w:pStyle w:val="Normal"/>
        <w:rPr/>
      </w:pPr>
      <w:r>
        <w:rPr/>
        <w:t>H3 (Supported, RQ4/OB3): Tenet 3 (β=-0.32, p&lt;0.001) indicates regulatory clarity reduces NPLs, though multiplicity exacerbates risks.</w:t>
      </w:r>
    </w:p>
    <w:p>
      <w:pPr>
        <w:pStyle w:val="Normal"/>
        <w:rPr/>
      </w:pPr>
      <w:r>
        <w:rPr/>
        <w:t>H4 (Supported, RQ2/OB2): Tenet 4 (β=-0.28, p&lt;0.001) confirms transparency and accountability (e.g., audit independence) curb NPLs, though weakest predictor, likely due to severe deficiencies.</w:t>
      </w:r>
    </w:p>
    <w:p>
      <w:pPr>
        <w:pStyle w:val="Heading3"/>
        <w:rPr/>
      </w:pPr>
      <w:r>
        <w:rPr/>
        <w:t>4.2.5 Bank-Level NPL and CG Scores</w:t>
      </w:r>
    </w:p>
    <w:p>
      <w:pPr>
        <w:pStyle w:val="Normal"/>
        <w:rPr/>
      </w:pPr>
      <w:r>
        <w:rPr/>
        <w:t>Aggregated tenet means and NPL ratios (Q2/H1 2025 where available, otherwise Q1 2025) for the 9 sampled banks provide institution-level insights, cross-validated with CBN and Nairametrics (2025) data. Table 4.6 summarizes findings, with a strong negative correlation between Tenet 1 and NPLs (r=-0.75, p&lt;0.01).</w:t>
      </w:r>
    </w:p>
    <w:p>
      <w:pPr>
        <w:pStyle w:val="Normal"/>
        <w:rPr/>
      </w:pPr>
      <w:r>
        <w:rPr>
          <w:b/>
          <w:bCs/>
        </w:rPr>
        <w:t>Table 4.6: Aggregated Tenet Means and Updated NPL Ratios by Bank (Q2/H1 2025 where available)</w:t>
      </w:r>
    </w:p>
    <w:tbl>
      <w:tblPr>
        <w:tblW w:w="9654" w:type="dxa"/>
        <w:jc w:val="start"/>
        <w:tblInd w:w="0" w:type="dxa"/>
        <w:tblLayout w:type="fixed"/>
        <w:tblCellMar>
          <w:top w:w="0" w:type="dxa"/>
          <w:start w:w="108" w:type="dxa"/>
          <w:bottom w:w="0" w:type="dxa"/>
          <w:end w:w="108" w:type="dxa"/>
        </w:tblCellMar>
      </w:tblPr>
      <w:tblGrid>
        <w:gridCol w:w="1822"/>
        <w:gridCol w:w="461"/>
        <w:gridCol w:w="1596"/>
        <w:gridCol w:w="1597"/>
        <w:gridCol w:w="1598"/>
        <w:gridCol w:w="1597"/>
        <w:gridCol w:w="983"/>
      </w:tblGrid>
      <w:tr>
        <w:trPr/>
        <w:tc>
          <w:tcPr>
            <w:tcW w:w="1822"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Bank</w:t>
            </w:r>
          </w:p>
        </w:tc>
        <w:tc>
          <w:tcPr>
            <w:tcW w:w="461"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w:t>
            </w:r>
          </w:p>
        </w:tc>
        <w:tc>
          <w:tcPr>
            <w:tcW w:w="159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1 Mean</w:t>
            </w:r>
          </w:p>
        </w:tc>
        <w:tc>
          <w:tcPr>
            <w:tcW w:w="1597"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2 Mean</w:t>
            </w:r>
          </w:p>
        </w:tc>
        <w:tc>
          <w:tcPr>
            <w:tcW w:w="1598"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3 Mean</w:t>
            </w:r>
          </w:p>
        </w:tc>
        <w:tc>
          <w:tcPr>
            <w:tcW w:w="1597"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4 Mean</w:t>
            </w:r>
          </w:p>
        </w:tc>
        <w:tc>
          <w:tcPr>
            <w:tcW w:w="98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NPL (%)</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Ecobank Nigeria</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9.5</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Fidelity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12</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3.1</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First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10.2</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GTBank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5.5</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4.1</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5.2</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Keystone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50</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2.2</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3.7</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1.8</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4.8</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UBA</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5.6</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1.7</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5.58</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Union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4.2</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Wema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1.6</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3.17</w:t>
            </w:r>
          </w:p>
        </w:tc>
      </w:tr>
      <w:tr>
        <w:trPr/>
        <w:tc>
          <w:tcPr>
            <w:tcW w:w="182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Zenith Bank</w:t>
            </w:r>
          </w:p>
        </w:tc>
        <w:tc>
          <w:tcPr>
            <w:tcW w:w="46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59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159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59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1.9</w:t>
            </w:r>
          </w:p>
        </w:tc>
        <w:tc>
          <w:tcPr>
            <w:tcW w:w="98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4.7</w:t>
            </w:r>
          </w:p>
        </w:tc>
      </w:tr>
    </w:tbl>
    <w:p>
      <w:pPr>
        <w:pStyle w:val="Normal"/>
        <w:rPr/>
      </w:pPr>
      <w:r>
        <w:rPr>
          <w:b/>
          <w:bCs/>
        </w:rPr>
        <w:t>Note.</w:t>
      </w:r>
      <w:r>
        <w:rPr/>
        <w:t xml:space="preserve"> n=9 banks. NPLs sourced from H1 2025 reports (Nairametrics, 2025) for Zenith (4.7%), UBA (5.58%), Fidelity (3.1%), Wema (3.17%); Q1 2025 for others (CBN, 2025). Bootstrapped correlations/CIs in Appendix E. See Figure 4.4 for Tenet 1 vs. NPL scatter (generated via Matplotlib).</w:t>
      </w:r>
    </w:p>
    <w:p>
      <w:pPr>
        <w:pStyle w:val="Normal"/>
        <w:rPr/>
      </w:pPr>
      <w:r>
        <w:rPr>
          <w:b/>
          <w:bCs/>
        </w:rPr>
        <w:t>Key Observations:</w:t>
      </w:r>
      <w:r>
        <w:rPr/>
        <w:t xml:space="preserve"> Fidelity and Wema Bank show low NPLs (3.1%, 3.17%) with relatively stronger Tenet 4 scores, suggesting transparency mitigates risks. First Bank and Ecobank Nigeria have high NPLs (10.2%, 9.5%) with low Tenet 1 and 4 scores, indicating governance failures drive defaults.</w:t>
      </w:r>
    </w:p>
    <w:p>
      <w:pPr>
        <w:pStyle w:val="Normal"/>
        <w:rPr/>
      </w:pPr>
      <w:r>
        <w:rPr>
          <w:b/>
          <w:bCs/>
        </w:rPr>
        <w:t>Correlation:</w:t>
      </w:r>
      <w:r>
        <w:rPr/>
        <w:t xml:space="preserve"> Tenet 1-NPL (r=-0.75, p&lt;0.01) is strongest, followed by Tenet 4-NPL (r=-0.62, p&lt;0.01), reinforcing risk management and transparency as key NPL mitigators.</w:t>
      </w:r>
    </w:p>
    <w:p>
      <w:pPr>
        <w:pStyle w:val="Normal"/>
        <w:rPr>
          <w:b/>
          <w:bCs/>
        </w:rPr>
      </w:pPr>
      <w:r>
        <w:rPr>
          <w:b/>
          <w:bCs/>
        </w:rPr>
        <w:t>Summary</w:t>
      </w:r>
    </w:p>
    <w:p>
      <w:pPr>
        <w:pStyle w:val="Normal"/>
        <w:rPr/>
      </w:pPr>
      <w:r>
        <w:rPr/>
        <w:t>The quantitative results confirm significant CG deficiencies, particularly in risk management (Tenet 1) and transparency (Tenet 4), driving higher NPL ratios. Stronger board practices (Tenet 2) and regulatory clarity (Tenet 3) mitigate risks, with regression results supporting all hypotheses (H1–H4). Bank-level data highlight variability, with smaller banks (e.g., Fidelity, Wema) outperforming larger ones in specific tenets. These findings set the stage for qualitative insights and integration, addressing OB4’s call for harmonized reforms.</w:t>
      </w:r>
    </w:p>
    <w:p>
      <w:pPr>
        <w:pStyle w:val="Normal"/>
        <w:rPr/>
      </w:pPr>
      <w:r>
        <w:rPr/>
      </w:r>
    </w:p>
    <w:p>
      <w:pPr>
        <w:pStyle w:val="Normal"/>
        <w:suppressAutoHyphens w:val="false"/>
        <w:spacing w:lineRule="auto" w:line="240" w:before="280" w:after="280"/>
        <w:jc w:val="start"/>
        <w:rPr>
          <w:rFonts w:ascii="Times New Roman" w:hAnsi="Times New Roman" w:eastAsia="DejaVu Sans" w:cs="Mangal"/>
          <w:i/>
          <w:i/>
          <w:iCs/>
          <w:sz w:val="22"/>
          <w:szCs w:val="23"/>
        </w:rPr>
      </w:pPr>
      <w:r>
        <w:rPr>
          <w:rFonts w:eastAsia="DejaVu Sans" w:cs="Mangal" w:ascii="Times New Roman" w:hAnsi="Times New Roman"/>
          <w:i/>
          <w:iCs/>
          <w:sz w:val="22"/>
          <w:szCs w:val="23"/>
        </w:rPr>
      </w:r>
    </w:p>
    <w:p>
      <w:pPr>
        <w:pStyle w:val="Normal"/>
        <w:suppressAutoHyphens w:val="false"/>
        <w:spacing w:lineRule="auto" w:line="240" w:before="280" w:after="280"/>
        <w:jc w:val="start"/>
        <w:rPr>
          <w:rFonts w:ascii="Times New Roman" w:hAnsi="Times New Roman" w:eastAsia="DejaVu Sans" w:cs="Mangal"/>
          <w:i/>
          <w:i/>
          <w:iCs/>
          <w:sz w:val="22"/>
          <w:szCs w:val="23"/>
        </w:rPr>
      </w:pPr>
      <w:r>
        <w:rPr>
          <w:rFonts w:eastAsia="DejaVu Sans" w:cs="Mangal" w:ascii="Times New Roman" w:hAnsi="Times New Roman"/>
          <w:i/>
          <w:iCs/>
          <w:sz w:val="22"/>
          <w:szCs w:val="23"/>
        </w:rPr>
      </w:r>
    </w:p>
    <w:p>
      <w:pPr>
        <w:pStyle w:val="Normal"/>
        <w:suppressAutoHyphens w:val="false"/>
        <w:spacing w:lineRule="auto" w:line="240" w:before="280" w:after="280"/>
        <w:jc w:val="start"/>
        <w:rPr>
          <w:rFonts w:ascii="Times New Roman" w:hAnsi="Times New Roman" w:eastAsia="DejaVu Sans" w:cs="Mangal"/>
          <w:i/>
          <w:i/>
          <w:iCs/>
          <w:sz w:val="22"/>
          <w:szCs w:val="23"/>
        </w:rPr>
      </w:pPr>
      <w:r>
        <w:rPr>
          <w:rFonts w:eastAsia="DejaVu Sans" w:cs="Mangal" w:ascii="Times New Roman" w:hAnsi="Times New Roman"/>
          <w:i/>
          <w:iCs/>
          <w:sz w:val="22"/>
          <w:szCs w:val="23"/>
        </w:rPr>
      </w:r>
    </w:p>
    <w:p>
      <w:pPr>
        <w:pStyle w:val="Normal"/>
        <w:spacing w:lineRule="auto" w:line="240"/>
        <w:jc w:val="start"/>
        <w:rPr>
          <w:rFonts w:eastAsia="DejaVu Sans"/>
        </w:rPr>
      </w:pPr>
      <w:r>
        <w:rPr>
          <w:rFonts w:eastAsia="DejaVu Sans"/>
        </w:rPr>
      </w:r>
      <w:r>
        <w:br w:type="page"/>
      </w:r>
    </w:p>
    <w:p>
      <w:pPr>
        <w:pStyle w:val="Heading2"/>
        <w:spacing w:before="0" w:after="0"/>
        <w:rPr/>
      </w:pPr>
      <w:r>
        <w:rPr/>
        <w:t>4.3 Qualitative Results</w:t>
      </w:r>
    </w:p>
    <w:p>
      <w:pPr>
        <w:pStyle w:val="Normal"/>
        <w:rPr/>
      </w:pPr>
      <w:r>
        <w:rPr/>
        <w:t>This section presents the qualitative findings from the mixed-methods study, drawing on open-ended survey responses (n≈140 from 230 respondents) and semi-structured interviews (n=10, achieving a 50% response rate from 20 scheduled) conducted with banking professionals in Abuja, Nigeria. These findings provide contextual depth to the quantitative results, addressing the research objectives (OB1–OB4) and research questions (RQ1–RQ4) by exploring perceptions of corporate governance (CG) deficiencies in Nigerian Deposit Money Banks (DMBs) and their impact on Non-Performing Loan (NPL) ratios. Thematic analysis, conducted using NVivo 14, followed Braun and Clarke’s (2006) six-phase framework, ensuring rigorous coding and theme development. Initial coding generated 120 codes, refined into five main themes for each data source, with saturation reached after 87 survey responses and 8 interviews, confirmed by theme redundancy (Guest et al., 2006). Themes align with the CG tenets—Bank Governance and Risk Management (Tenet 1), Corporate Governance and Bank Practice (Tenet 2), Regulatory Multiplicity (Tenet 3), and Transparency and Accountability (Tenet 4)—and are triangulated with quantitative findings and secondary data (e.g., CBN 2025 reports) to address Nigeria-specific governance challenges, such as regulatory fragmentation and fraud concealment (Olojede et al., 2020; Abdulmalik &amp; Ahmad, 2020). Verbatim excerpts and frequency counts provide evidential support, with 95% confidence intervals (CIs) calculated via binomial approximation for theme prevalence. Visualizations (Figures 4.5 and 4.6, generated via NVivo and Matplotlib) enhance interpretability</w:t>
      </w:r>
      <w:r>
        <w:br w:type="page"/>
      </w:r>
    </w:p>
    <w:p>
      <w:pPr>
        <w:pStyle w:val="Heading3"/>
        <w:spacing w:before="0" w:after="80"/>
        <w:rPr>
          <w:rFonts w:ascii="Calibri" w:hAnsi="Calibri"/>
        </w:rPr>
      </w:pPr>
      <w:r>
        <w:rPr/>
        <w:t>4.3.1 Open-Ended Survey Responses</w:t>
      </w:r>
    </w:p>
    <w:p>
      <w:pPr>
        <w:pStyle w:val="Normal"/>
        <w:rPr/>
      </w:pPr>
      <w:r>
        <w:rPr/>
        <w:t>Open-ended responses from the questionnaire (n≈140, as some respondents provided multiple comments) were coded to identify recurring themes about CG deficiencies. Five main themes emerged: Regulatory Confusion, Lack of Expertise, Weak Enforcement, Need for Transparency, and Stakeholder Influence. Table 4.7 summarizes these, with frequencies, sample sizes, CIs, and representative excerpts. Sub-themes and subgroup analyses (e.g., by bank size, role) are detailed in Appendix F.</w:t>
      </w:r>
    </w:p>
    <w:p>
      <w:pPr>
        <w:pStyle w:val="Normal"/>
        <w:rPr>
          <w:b/>
          <w:bCs/>
        </w:rPr>
      </w:pPr>
      <w:r>
        <w:rPr>
          <w:b/>
          <w:bCs/>
        </w:rPr>
        <w:t>Table 4.7: Qualitative Themes from Open-Ended Responses</w:t>
      </w:r>
    </w:p>
    <w:tbl>
      <w:tblPr>
        <w:tblW w:w="9962" w:type="dxa"/>
        <w:jc w:val="start"/>
        <w:tblInd w:w="0" w:type="dxa"/>
        <w:tblLayout w:type="fixed"/>
        <w:tblCellMar>
          <w:top w:w="0" w:type="dxa"/>
          <w:start w:w="108" w:type="dxa"/>
          <w:bottom w:w="0" w:type="dxa"/>
          <w:end w:w="108" w:type="dxa"/>
        </w:tblCellMar>
      </w:tblPr>
      <w:tblGrid>
        <w:gridCol w:w="1929"/>
        <w:gridCol w:w="1407"/>
        <w:gridCol w:w="459"/>
        <w:gridCol w:w="1120"/>
        <w:gridCol w:w="1123"/>
        <w:gridCol w:w="3924"/>
      </w:tblGrid>
      <w:tr>
        <w:trPr/>
        <w:tc>
          <w:tcPr>
            <w:tcW w:w="192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Theme</w:t>
            </w:r>
          </w:p>
        </w:tc>
        <w:tc>
          <w:tcPr>
            <w:tcW w:w="1407"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Frequency (%)</w:t>
            </w:r>
          </w:p>
        </w:tc>
        <w:tc>
          <w:tcPr>
            <w:tcW w:w="45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w:t>
            </w:r>
          </w:p>
        </w:tc>
        <w:tc>
          <w:tcPr>
            <w:tcW w:w="112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Lower</w:t>
            </w:r>
          </w:p>
        </w:tc>
        <w:tc>
          <w:tcPr>
            <w:tcW w:w="112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Upper</w:t>
            </w:r>
          </w:p>
        </w:tc>
        <w:tc>
          <w:tcPr>
            <w:tcW w:w="3924"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Example Excerpt</w:t>
            </w:r>
          </w:p>
        </w:tc>
      </w:tr>
      <w:tr>
        <w:trPr/>
        <w:tc>
          <w:tcPr>
            <w:tcW w:w="192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Regulatory Confusion</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62</w:t>
            </w:r>
          </w:p>
        </w:tc>
        <w:tc>
          <w:tcPr>
            <w:tcW w:w="45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87</w:t>
            </w:r>
          </w:p>
        </w:tc>
        <w:tc>
          <w:tcPr>
            <w:tcW w:w="112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w:t>
            </w:r>
          </w:p>
        </w:tc>
        <w:tc>
          <w:tcPr>
            <w:tcW w:w="11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66</w:t>
            </w:r>
          </w:p>
        </w:tc>
        <w:tc>
          <w:tcPr>
            <w:tcW w:w="3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"CAMA 2020 and NCCG 2018 differ on board tenure, causing ambiguity."</w:t>
            </w:r>
          </w:p>
        </w:tc>
      </w:tr>
      <w:tr>
        <w:trPr/>
        <w:tc>
          <w:tcPr>
            <w:tcW w:w="192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Lack of Expertise</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48</w:t>
            </w:r>
          </w:p>
        </w:tc>
        <w:tc>
          <w:tcPr>
            <w:tcW w:w="45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67</w:t>
            </w:r>
          </w:p>
        </w:tc>
        <w:tc>
          <w:tcPr>
            <w:tcW w:w="112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44</w:t>
            </w:r>
          </w:p>
        </w:tc>
        <w:tc>
          <w:tcPr>
            <w:tcW w:w="11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52</w:t>
            </w:r>
          </w:p>
        </w:tc>
        <w:tc>
          <w:tcPr>
            <w:tcW w:w="3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"Concentrated shareholders appoint unqualified directors."</w:t>
            </w:r>
          </w:p>
        </w:tc>
      </w:tr>
      <w:tr>
        <w:trPr/>
        <w:tc>
          <w:tcPr>
            <w:tcW w:w="192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Weak Enforcement</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42</w:t>
            </w:r>
          </w:p>
        </w:tc>
        <w:tc>
          <w:tcPr>
            <w:tcW w:w="45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112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1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46</w:t>
            </w:r>
          </w:p>
        </w:tc>
        <w:tc>
          <w:tcPr>
            <w:tcW w:w="3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"Nigeria lacks an effective judicial system for regulations."</w:t>
            </w:r>
          </w:p>
        </w:tc>
      </w:tr>
      <w:tr>
        <w:trPr/>
        <w:tc>
          <w:tcPr>
            <w:tcW w:w="192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Need for Transparency</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45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53</w:t>
            </w:r>
          </w:p>
        </w:tc>
        <w:tc>
          <w:tcPr>
            <w:tcW w:w="112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34</w:t>
            </w:r>
          </w:p>
        </w:tc>
        <w:tc>
          <w:tcPr>
            <w:tcW w:w="11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42</w:t>
            </w:r>
          </w:p>
        </w:tc>
        <w:tc>
          <w:tcPr>
            <w:tcW w:w="3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"Audit committees subject to undue influence."</w:t>
            </w:r>
          </w:p>
        </w:tc>
      </w:tr>
      <w:tr>
        <w:trPr/>
        <w:tc>
          <w:tcPr>
            <w:tcW w:w="192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Stakeholder Influence</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45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35</w:t>
            </w:r>
          </w:p>
        </w:tc>
        <w:tc>
          <w:tcPr>
            <w:tcW w:w="112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w:t>
            </w:r>
          </w:p>
        </w:tc>
        <w:tc>
          <w:tcPr>
            <w:tcW w:w="11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29</w:t>
            </w:r>
          </w:p>
        </w:tc>
        <w:tc>
          <w:tcPr>
            <w:tcW w:w="3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"Outsiders and stakeholders influence senior management."</w:t>
            </w:r>
          </w:p>
        </w:tc>
      </w:tr>
    </w:tbl>
    <w:p>
      <w:pPr>
        <w:pStyle w:val="Normal"/>
        <w:rPr/>
      </w:pPr>
      <w:r>
        <w:rPr/>
      </w:r>
    </w:p>
    <w:p>
      <w:pPr>
        <w:pStyle w:val="Normal"/>
        <w:rPr/>
      </w:pPr>
      <w:r>
        <w:rPr>
          <w:b/>
          <w:bCs/>
        </w:rPr>
        <w:t>Note.</w:t>
      </w:r>
      <w:r>
        <w:rPr/>
        <w:t xml:space="preserve"> n≈140 responses from 230 respondents. CIs calculated via binomial approximation. Sub-themes and subgroup analyses in Appendix F. See Figure 4.5 for theme frequencies (bar chart, Matplotlib-generated).</w:t>
      </w:r>
    </w:p>
    <w:p>
      <w:pPr>
        <w:pStyle w:val="Normal"/>
        <w:rPr/>
      </w:pPr>
      <w:r>
        <w:rPr>
          <w:b/>
          <w:bCs/>
        </w:rPr>
        <w:t>Regulatory Confusion (62%, n=87):</w:t>
      </w:r>
      <w:r>
        <w:rPr/>
        <w:t xml:space="preserve"> The most prevalent theme, reflecting frustration with conflicting governance codes (e.g., CAMA 2020’s strict fines vs. NCCG 2018’s “Apply and Explain” flexibility). Respondents noted discrepancies in board tenure and audit requirements, enabling banks to exploit loopholes, as seen in the 2009 crisis (Sanusi, 2009). Sub-themes include overlapping codes (n=45) and selective compliance (n=30). Regulators (n=25) emphasized this more (75% prevalence) than bankers (58%, χ²(1)=4.12, p=0.042), likely due to their oversight role.</w:t>
      </w:r>
    </w:p>
    <w:p>
      <w:pPr>
        <w:pStyle w:val="Normal"/>
        <w:rPr/>
      </w:pPr>
      <w:r>
        <w:rPr>
          <w:b/>
          <w:bCs/>
        </w:rPr>
        <w:t>Lack of Expertise (48%, n=67):</w:t>
      </w:r>
      <w:r>
        <w:rPr/>
        <w:t xml:space="preserve"> Respondents highlighted unqualified board members, often appointed via concentrated ownership or political ties, undermining risk management and strategic oversight. A sub-theme of nepotism (n=28) linked to cases like Oceanic Bank’s insider lending (Sanusi, 2009). Risk managers (60% prevalence) cited this more than auditors (40%, χ²(1)=3.89, p=0.049), reflecting operational impacts.</w:t>
      </w:r>
    </w:p>
    <w:p>
      <w:pPr>
        <w:pStyle w:val="Normal"/>
        <w:rPr/>
      </w:pPr>
      <w:r>
        <w:rPr>
          <w:b/>
          <w:bCs/>
        </w:rPr>
        <w:t>Weak Enforcement (42%, n=59):</w:t>
      </w:r>
      <w:r>
        <w:rPr/>
        <w:t xml:space="preserve"> Weak judicial and regulatory enforcement, particularly by the CBN and FRCN, was noted as enabling non-compliance. Respondents referenced inadequate sanctions and resource constraints, echoing Nwoke et al. (2023). Large bank respondents (45%) cited this more than medium bank respondents (35%, χ²(1)=2.98, p=0.084), though not significantly.</w:t>
      </w:r>
    </w:p>
    <w:p>
      <w:pPr>
        <w:pStyle w:val="Normal"/>
        <w:rPr/>
      </w:pPr>
      <w:r>
        <w:rPr>
          <w:b/>
          <w:bCs/>
        </w:rPr>
        <w:t>Need for Transparency (38%, n=53):</w:t>
      </w:r>
      <w:r>
        <w:rPr/>
        <w:t xml:space="preserve"> Concerns focused on compromised audit committees and weak whistleblowing, leading to fraud concealment. A sub-theme of audit capture (n=25) aligned with quantitative low Tenet 4 scores (M=1.8). Auditors (50% prevalence) emphasized this more than sales reps (30%, χ²(1)=5.01, p=0.025).</w:t>
      </w:r>
    </w:p>
    <w:p>
      <w:pPr>
        <w:pStyle w:val="Normal"/>
        <w:rPr/>
      </w:pPr>
      <w:r>
        <w:rPr>
          <w:b/>
          <w:bCs/>
        </w:rPr>
        <w:t>Stakeholder Influence (25%, n=35):</w:t>
      </w:r>
      <w:r>
        <w:rPr/>
        <w:t xml:space="preserve"> The least frequent theme, highlighting external pressures (e.g., political or shareholder influence) on management decisions, exacerbating agency problems. A sub-theme of insider dealings (n=15) tied to 2009 crisis cases. Executives (35%) noted this more than operational staff (20%, χ²(1)=3.45, p=0.063).</w:t>
      </w:r>
    </w:p>
    <w:p>
      <w:pPr>
        <w:pStyle w:val="Normal"/>
        <w:rPr/>
      </w:pPr>
      <w:r>
        <w:rPr>
          <w:b/>
          <w:bCs/>
        </w:rPr>
        <w:t>Visualization:</w:t>
      </w:r>
      <w:r>
        <w:rPr/>
        <w:t xml:space="preserve"> Figure 4.5 (Matplotlib bar chart) displays theme frequencies, with Regulatory Confusion dominating, followed by Lack of Expertise. Subgroup bars (large vs. medium banks) show higher prevalence of Weak Enforcement in large banks.</w:t>
      </w:r>
    </w:p>
    <w:p>
      <w:pPr>
        <w:pStyle w:val="Heading3"/>
        <w:rPr/>
      </w:pPr>
      <w:r>
        <w:rPr/>
        <w:t>4.3.2 Interview Findings</w:t>
      </w:r>
    </w:p>
    <w:p>
      <w:pPr>
        <w:pStyle w:val="Normal"/>
        <w:rPr/>
      </w:pPr>
      <w:r>
        <w:rPr/>
        <w:t>Interviews (n=10; 5 CEOs/board chairs, 5 executives) yielded five themes: Risk Management Challenges, Regulatory Multiplicity, Transparency Issues, Lack of Expertise, General Practices.</w:t>
      </w:r>
    </w:p>
    <w:p>
      <w:pPr>
        <w:pStyle w:val="Normal"/>
        <w:rPr/>
      </w:pPr>
      <w:r>
        <w:rPr>
          <w:rStyle w:val="Strong"/>
        </w:rPr>
        <w:t>Table 4.8: Themes from Semi-Structured Interviews</w:t>
      </w:r>
    </w:p>
    <w:tbl>
      <w:tblPr>
        <w:tblW w:w="9962" w:type="dxa"/>
        <w:jc w:val="start"/>
        <w:tblInd w:w="0" w:type="dxa"/>
        <w:tblLayout w:type="fixed"/>
        <w:tblCellMar>
          <w:top w:w="0" w:type="dxa"/>
          <w:start w:w="108" w:type="dxa"/>
          <w:bottom w:w="0" w:type="dxa"/>
          <w:end w:w="108" w:type="dxa"/>
        </w:tblCellMar>
      </w:tblPr>
      <w:tblGrid>
        <w:gridCol w:w="2303"/>
        <w:gridCol w:w="1431"/>
        <w:gridCol w:w="346"/>
        <w:gridCol w:w="1168"/>
        <w:gridCol w:w="1175"/>
        <w:gridCol w:w="3539"/>
      </w:tblGrid>
      <w:tr>
        <w:trPr/>
        <w:tc>
          <w:tcPr>
            <w:tcW w:w="230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Theme</w:t>
            </w:r>
          </w:p>
        </w:tc>
        <w:tc>
          <w:tcPr>
            <w:tcW w:w="1431"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Frequency (%)</w:t>
            </w:r>
          </w:p>
        </w:tc>
        <w:tc>
          <w:tcPr>
            <w:tcW w:w="34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w:t>
            </w:r>
          </w:p>
        </w:tc>
        <w:tc>
          <w:tcPr>
            <w:tcW w:w="1168"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Lower</w:t>
            </w:r>
          </w:p>
        </w:tc>
        <w:tc>
          <w:tcPr>
            <w:tcW w:w="1175"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Upper</w:t>
            </w:r>
          </w:p>
        </w:tc>
        <w:tc>
          <w:tcPr>
            <w:tcW w:w="353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Example Excerpt</w:t>
            </w:r>
          </w:p>
        </w:tc>
      </w:tr>
      <w:tr>
        <w:trPr/>
        <w:tc>
          <w:tcPr>
            <w:tcW w:w="23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Risk Management Challenges</w:t>
            </w:r>
          </w:p>
        </w:tc>
        <w:tc>
          <w:tcPr>
            <w:tcW w:w="143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90</w:t>
            </w:r>
          </w:p>
        </w:tc>
        <w:tc>
          <w:tcPr>
            <w:tcW w:w="34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9</w:t>
            </w:r>
          </w:p>
        </w:tc>
        <w:tc>
          <w:tcPr>
            <w:tcW w:w="116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80</w:t>
            </w:r>
          </w:p>
        </w:tc>
        <w:tc>
          <w:tcPr>
            <w:tcW w:w="117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100</w:t>
            </w:r>
          </w:p>
        </w:tc>
        <w:tc>
          <w:tcPr>
            <w:tcW w:w="353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"No 100% certainty that loans will be repaid."</w:t>
            </w:r>
          </w:p>
        </w:tc>
      </w:tr>
      <w:tr>
        <w:trPr/>
        <w:tc>
          <w:tcPr>
            <w:tcW w:w="23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Regulatory Multiplicity</w:t>
            </w:r>
          </w:p>
        </w:tc>
        <w:tc>
          <w:tcPr>
            <w:tcW w:w="143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80</w:t>
            </w:r>
          </w:p>
        </w:tc>
        <w:tc>
          <w:tcPr>
            <w:tcW w:w="34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w:t>
            </w:r>
          </w:p>
        </w:tc>
        <w:tc>
          <w:tcPr>
            <w:tcW w:w="116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70</w:t>
            </w:r>
          </w:p>
        </w:tc>
        <w:tc>
          <w:tcPr>
            <w:tcW w:w="117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90</w:t>
            </w:r>
          </w:p>
        </w:tc>
        <w:tc>
          <w:tcPr>
            <w:tcW w:w="353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"Too many regulations make it confusing."</w:t>
            </w:r>
          </w:p>
        </w:tc>
      </w:tr>
      <w:tr>
        <w:trPr/>
        <w:tc>
          <w:tcPr>
            <w:tcW w:w="23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Transparency Issues</w:t>
            </w:r>
          </w:p>
        </w:tc>
        <w:tc>
          <w:tcPr>
            <w:tcW w:w="143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70</w:t>
            </w:r>
          </w:p>
        </w:tc>
        <w:tc>
          <w:tcPr>
            <w:tcW w:w="34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7</w:t>
            </w:r>
          </w:p>
        </w:tc>
        <w:tc>
          <w:tcPr>
            <w:tcW w:w="116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117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80</w:t>
            </w:r>
          </w:p>
        </w:tc>
        <w:tc>
          <w:tcPr>
            <w:tcW w:w="353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"Audit process is transparent but influenced."</w:t>
            </w:r>
          </w:p>
        </w:tc>
      </w:tr>
      <w:tr>
        <w:trPr/>
        <w:tc>
          <w:tcPr>
            <w:tcW w:w="23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Lack of Expertise</w:t>
            </w:r>
          </w:p>
        </w:tc>
        <w:tc>
          <w:tcPr>
            <w:tcW w:w="143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34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w:t>
            </w:r>
          </w:p>
        </w:tc>
        <w:tc>
          <w:tcPr>
            <w:tcW w:w="116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50</w:t>
            </w:r>
          </w:p>
        </w:tc>
        <w:tc>
          <w:tcPr>
            <w:tcW w:w="117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70</w:t>
            </w:r>
          </w:p>
        </w:tc>
        <w:tc>
          <w:tcPr>
            <w:tcW w:w="353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"Directors lack expertise."</w:t>
            </w:r>
          </w:p>
        </w:tc>
      </w:tr>
      <w:tr>
        <w:trPr/>
        <w:tc>
          <w:tcPr>
            <w:tcW w:w="23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General Practices</w:t>
            </w:r>
          </w:p>
        </w:tc>
        <w:tc>
          <w:tcPr>
            <w:tcW w:w="1431"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50</w:t>
            </w:r>
          </w:p>
        </w:tc>
        <w:tc>
          <w:tcPr>
            <w:tcW w:w="34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w:t>
            </w:r>
          </w:p>
        </w:tc>
        <w:tc>
          <w:tcPr>
            <w:tcW w:w="116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17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353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"Banking is financial intermediation—risky business."</w:t>
            </w:r>
          </w:p>
        </w:tc>
      </w:tr>
    </w:tbl>
    <w:p>
      <w:pPr>
        <w:pStyle w:val="Normal"/>
        <w:rPr/>
      </w:pPr>
      <w:r>
        <w:rPr>
          <w:rStyle w:val="Strong"/>
        </w:rPr>
        <w:t>Note.</w:t>
      </w:r>
      <w:r>
        <w:rPr/>
        <w:t xml:space="preserve"> n=10 interviews. CIs via binomial approximation. Cross-tabulation in Appendix G. See Figure 4.6 (NVivo theme network).</w:t>
      </w:r>
    </w:p>
    <w:p>
      <w:pPr>
        <w:pStyle w:val="Normal"/>
        <w:rPr>
          <w:rFonts w:ascii="Times New Roman" w:hAnsi="Times New Roman"/>
        </w:rPr>
      </w:pPr>
      <w:r>
        <w:rPr>
          <w:rFonts w:ascii="Times New Roman" w:hAnsi="Times New Roman"/>
          <w:b/>
          <w:bCs/>
        </w:rPr>
        <w:t>Note.</w:t>
      </w:r>
      <w:r>
        <w:rPr>
          <w:rFonts w:ascii="Times New Roman" w:hAnsi="Times New Roman"/>
        </w:rPr>
        <w:t xml:space="preserve"> n=10 interviews. CIs via binomial approximation. Cross-tabulation with tenets in Appendix G. See Figure 4.6 for theme network (simplified, NVivo-generated).</w:t>
      </w:r>
    </w:p>
    <w:p>
      <w:pPr>
        <w:pStyle w:val="Normal"/>
        <w:rPr>
          <w:rFonts w:ascii="Times New Roman" w:hAnsi="Times New Roman"/>
        </w:rPr>
      </w:pPr>
      <w:r>
        <w:rPr>
          <w:rFonts w:ascii="Times New Roman" w:hAnsi="Times New Roman"/>
          <w:b/>
          <w:bCs/>
        </w:rPr>
        <w:t>Risk Management Challenges (90%, n=9):</w:t>
      </w:r>
      <w:r>
        <w:rPr>
          <w:rFonts w:ascii="Times New Roman" w:hAnsi="Times New Roman"/>
        </w:rPr>
        <w:t xml:space="preserve"> Nearly all interviewees cited poor risk assessment and lax lending as drivers of NPLs, echoing quantitative Tenet 1 findings (M=2.4). I2 (CEO): "No 100% certainty that loans will be repaid; boards approve risky loans without checks." Sub-themes include inadequate credit controls (n=6) and Basel III non-compliance (n=5), with small banks facing resource constraints (n=4). This aligns with Adegboye (2020), noting 20% NPLs in 2017.</w:t>
      </w:r>
    </w:p>
    <w:p>
      <w:pPr>
        <w:pStyle w:val="Normal"/>
        <w:rPr>
          <w:rFonts w:ascii="Times New Roman" w:hAnsi="Times New Roman"/>
        </w:rPr>
      </w:pPr>
      <w:r>
        <w:rPr>
          <w:rFonts w:ascii="Times New Roman" w:hAnsi="Times New Roman"/>
          <w:b/>
          <w:bCs/>
        </w:rPr>
        <w:t>Regulatory Multiplicity (80%, n=8):</w:t>
      </w:r>
      <w:r>
        <w:rPr>
          <w:rFonts w:ascii="Times New Roman" w:hAnsi="Times New Roman"/>
        </w:rPr>
        <w:t xml:space="preserve"> Overlapping codes (e.g., CBN Guidelines 2023 vs. SEC Code 2011) create confusion, enabling evasion. I7 (Board Chair): "Too many regulations make it confusing; banks pick what suits them." Sub-themes include enforcement gaps (n=6) and code conflicts (n=5), supporting quantitative Tenet 3 results (β=-0.32). CEOs emphasized this more (100%) than executives (60%).</w:t>
      </w:r>
    </w:p>
    <w:p>
      <w:pPr>
        <w:pStyle w:val="Normal"/>
        <w:rPr>
          <w:rFonts w:ascii="Times New Roman" w:hAnsi="Times New Roman"/>
        </w:rPr>
      </w:pPr>
      <w:r>
        <w:rPr>
          <w:rFonts w:ascii="Times New Roman" w:hAnsi="Times New Roman"/>
          <w:b/>
          <w:bCs/>
        </w:rPr>
        <w:t>Transparency Issues (70%, n=7):</w:t>
      </w:r>
      <w:r>
        <w:rPr>
          <w:rFonts w:ascii="Times New Roman" w:hAnsi="Times New Roman"/>
        </w:rPr>
        <w:t xml:space="preserve"> Weak audit independence and whistleblowing were major concerns, linked to fraud concealment. I4 (Executive): "Audit process is transparent but influenced by shareholders." Sub-themes include audit committee capture (n=5) and weak whistleblowing (n=4), corroborating low Tenet 4 scores (M=1.8) and Olojede et al. (2020).</w:t>
      </w:r>
    </w:p>
    <w:p>
      <w:pPr>
        <w:pStyle w:val="Normal"/>
        <w:rPr>
          <w:rFonts w:ascii="Times New Roman" w:hAnsi="Times New Roman"/>
        </w:rPr>
      </w:pPr>
      <w:r>
        <w:rPr>
          <w:rFonts w:ascii="Times New Roman" w:hAnsi="Times New Roman"/>
          <w:b/>
          <w:bCs/>
        </w:rPr>
        <w:t>Lack of Expertise (60%, n=6):</w:t>
      </w:r>
      <w:r>
        <w:rPr>
          <w:rFonts w:ascii="Times New Roman" w:hAnsi="Times New Roman"/>
        </w:rPr>
        <w:t xml:space="preserve"> Unqualified directors, often politically appointed, undermine oversight. I9 (CEO): "Directors lack expertise; family ties trump qualifications." Sub-themes include nepotism (n=4) and weak nomination committees (n=3), aligning with quantitative Tenet 2 findings and Ogbechie (2016).</w:t>
      </w:r>
    </w:p>
    <w:p>
      <w:pPr>
        <w:pStyle w:val="Normal"/>
        <w:rPr>
          <w:rFonts w:ascii="Times New Roman" w:hAnsi="Times New Roman"/>
        </w:rPr>
      </w:pPr>
      <w:r>
        <w:rPr>
          <w:rFonts w:ascii="Times New Roman" w:hAnsi="Times New Roman"/>
          <w:b/>
          <w:bCs/>
        </w:rPr>
        <w:t>General Practices (50%, n=5):</w:t>
      </w:r>
      <w:r>
        <w:rPr>
          <w:rFonts w:ascii="Times New Roman" w:hAnsi="Times New Roman"/>
        </w:rPr>
        <w:t xml:space="preserve"> Banking’s inherent risks and agency problems were noted as structural issues. I3 (Executive): "Banking is financial intermediation—risky business; managers prioritize self-interest." Sub-themes include agency conflicts (n=3) and cultural influences (n=2), providing context for quantitative correlations.</w:t>
      </w:r>
    </w:p>
    <w:p>
      <w:pPr>
        <w:pStyle w:val="Normal"/>
        <w:rPr>
          <w:rFonts w:ascii="Times New Roman" w:hAnsi="Times New Roman"/>
        </w:rPr>
      </w:pPr>
      <w:r>
        <w:rPr>
          <w:rFonts w:ascii="Times New Roman" w:hAnsi="Times New Roman"/>
          <w:b/>
          <w:bCs/>
        </w:rPr>
        <w:t>Visualization:</w:t>
      </w:r>
      <w:r>
        <w:rPr>
          <w:rFonts w:ascii="Times New Roman" w:hAnsi="Times New Roman"/>
        </w:rPr>
        <w:t xml:space="preserve"> Figure 4.6 (NVivo-generated theme network) illustrates interconnections, with Risk Management Challenges central, linked to Regulatory Multiplicity and Transparency Issues, reflecting systemic governance failures.</w:t>
      </w:r>
    </w:p>
    <w:p>
      <w:pPr>
        <w:pStyle w:val="Normal"/>
        <w:rPr>
          <w:rFonts w:ascii="Times New Roman" w:hAnsi="Times New Roman"/>
        </w:rPr>
      </w:pPr>
      <w:r>
        <w:rPr>
          <w:rFonts w:ascii="Times New Roman" w:hAnsi="Times New Roman"/>
          <w:b/>
          <w:bCs/>
        </w:rPr>
        <w:t>4.3.3 Integration with Quantitative Findings</w:t>
      </w:r>
    </w:p>
    <w:p>
      <w:pPr>
        <w:pStyle w:val="Normal"/>
        <w:rPr>
          <w:rFonts w:ascii="Times New Roman" w:hAnsi="Times New Roman"/>
        </w:rPr>
      </w:pPr>
      <w:r>
        <w:rPr>
          <w:rFonts w:ascii="Times New Roman" w:hAnsi="Times New Roman"/>
        </w:rPr>
        <w:t>The qualitative themes complement quantitative results, providing explanatory depth. Regulatory Confusion (survey) and Regulatory Multiplicity (interviews) align with Tenet 3’s regression coefficient (β=-0.32), highlighting how fragmented codes increase NPLs. Lack of Expertise (both sources) supports Tenet 2’s negative prediction (β=-0.40), with narratives explaining unqualified appointments’ role in agency problems. Transparency Issues and Need for Transparency corroborate Tenet 4’s low scores (M=1.8, β=-0.28), with audit capture and weak whistleblowing as mechanisms. Risk Management Challenges (interviews) and Weak Enforcement (survey) reinforce Tenet 1’s strong negative impact (β=-0.48), linking lax lending to NPL spikes. Stakeholder Influence and General Practices provide contextual nuance, explaining quantitative correlations (e.g., r=0.70 for Tenet 1-Tenet 2) via agency and cultural factors. Minor divergences—e.g., interviews emphasizing risk over transparency—are resolved through meta-inferences: Transparency’s impact is understated due to entrenched concealment practices. These findings support OB4’s call for harmonized regulations, independent committees, and qualified leadership to reduce NPLs, aligning with global standards (OECD, 2023).</w:t>
      </w:r>
    </w:p>
    <w:p>
      <w:pPr>
        <w:pStyle w:val="Heading2"/>
        <w:rPr>
          <w:rFonts w:ascii="Times New Roman" w:hAnsi="Times New Roman"/>
        </w:rPr>
      </w:pPr>
      <w:r>
        <w:rPr/>
        <w:t>4.4 Integration of Quantitative and Qualitative Findings</w:t>
      </w:r>
    </w:p>
    <w:p>
      <w:pPr>
        <w:pStyle w:val="Normal"/>
        <w:rPr/>
      </w:pPr>
      <w:r>
        <w:rPr/>
        <w:t>This section integrates quantitative (n=230, questionnaire) and qualitative (n=10, interviews) findings to examine corporate governance (CG) deficiencies in Nigerian Deposit Money Banks (DMBs) and their impact on Non-Performing Loan (NPL) ratios, addressing objectives (OB1–OB4), hypotheses (H1–H4), and questions (RQ1–RQ4). Using a convergent parallel mixed-methods design, quantitative results (SPSS 28) and qualitative themes (NVivo 14, Braun &amp; Clarke, 2006) are synthesized via a joint display, meta-inferences, and narrative, triangulated with CBN/NDIC data (2025). Findings align with agency (Jensen &amp; Meckling, 1976) and stakeholder theories (Freeman, 1984), identifying patronage and regulatory fragmentation as key NPL drivers.</w:t>
      </w:r>
    </w:p>
    <w:p>
      <w:pPr>
        <w:pStyle w:val="Heading3"/>
        <w:rPr/>
      </w:pPr>
      <w:r>
        <w:rPr/>
        <w:t>4.4.1 Joint Display of Findings</w:t>
      </w:r>
    </w:p>
    <w:p>
      <w:pPr>
        <w:pStyle w:val="Normal"/>
        <w:rPr/>
      </w:pPr>
      <w:r>
        <w:rPr>
          <w:rStyle w:val="Strong"/>
        </w:rPr>
        <w:t>Table 4.9: Joint Display by Objective/Hypothesis</w:t>
      </w:r>
    </w:p>
    <w:tbl>
      <w:tblPr>
        <w:tblW w:w="9962" w:type="dxa"/>
        <w:jc w:val="start"/>
        <w:tblInd w:w="0" w:type="dxa"/>
        <w:tblLayout w:type="fixed"/>
        <w:tblCellMar>
          <w:top w:w="0" w:type="dxa"/>
          <w:start w:w="108" w:type="dxa"/>
          <w:bottom w:w="0" w:type="dxa"/>
          <w:end w:w="108" w:type="dxa"/>
        </w:tblCellMar>
      </w:tblPr>
      <w:tblGrid>
        <w:gridCol w:w="2562"/>
        <w:gridCol w:w="1672"/>
        <w:gridCol w:w="2023"/>
        <w:gridCol w:w="3705"/>
      </w:tblGrid>
      <w:tr>
        <w:trPr/>
        <w:tc>
          <w:tcPr>
            <w:tcW w:w="2562"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Objective/Hypothesis</w:t>
            </w:r>
          </w:p>
        </w:tc>
        <w:tc>
          <w:tcPr>
            <w:tcW w:w="1672"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Quantitative Finding</w:t>
            </w:r>
          </w:p>
        </w:tc>
        <w:tc>
          <w:tcPr>
            <w:tcW w:w="202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Qualitative Theme</w:t>
            </w:r>
          </w:p>
        </w:tc>
        <w:tc>
          <w:tcPr>
            <w:tcW w:w="3705"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Convergence/Divergence</w:t>
            </w:r>
          </w:p>
        </w:tc>
      </w:tr>
      <w:tr>
        <w:trPr/>
        <w:tc>
          <w:tcPr>
            <w:tcW w:w="25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rStyle w:val="Strong"/>
                <w:sz w:val="24"/>
                <w:szCs w:val="24"/>
                <w:lang w:val="en-GB" w:bidi="ar-SA"/>
              </w:rPr>
              <w:t>OB1/H1</w:t>
            </w:r>
            <w:r>
              <w:rPr>
                <w:b/>
                <w:bCs/>
                <w:sz w:val="24"/>
                <w:szCs w:val="24"/>
                <w:lang w:val="en-GB" w:bidi="ar-SA"/>
              </w:rPr>
              <w:t>: Governance practices mitigate NPLs (RQ1)</w:t>
            </w:r>
          </w:p>
        </w:tc>
        <w:tc>
          <w:tcPr>
            <w:tcW w:w="167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Tenet 1 β=-0.48 (p&lt;0.001); Tenet 2 β=-0.40; R²=0.48</w:t>
            </w:r>
          </w:p>
        </w:tc>
        <w:tc>
          <w:tcPr>
            <w:tcW w:w="20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Risk Management Challenges (90%, n=9 interviews; 62%, n=87 survey); Lack of Expertise (60%, n=6; 48%, n=67)</w:t>
            </w:r>
          </w:p>
        </w:tc>
        <w:tc>
          <w:tcPr>
            <w:tcW w:w="370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 xml:space="preserve">Converge: Weak risk management and expertise gaps drive NPLs. Patronage (e.g., political loans) explains quantitative strength. </w:t>
            </w:r>
            <w:r>
              <w:rPr>
                <w:rStyle w:val="Strong"/>
                <w:sz w:val="24"/>
                <w:szCs w:val="24"/>
                <w:lang w:val="en-GB" w:bidi="ar-SA"/>
              </w:rPr>
              <w:t>Meta-inference</w:t>
            </w:r>
            <w:r>
              <w:rPr>
                <w:sz w:val="24"/>
                <w:szCs w:val="24"/>
                <w:lang w:val="en-GB" w:bidi="ar-SA"/>
              </w:rPr>
              <w:t>: Patronage amplifies agency problems, increasing default risk (Sanusi, 2009).</w:t>
            </w:r>
          </w:p>
        </w:tc>
      </w:tr>
      <w:tr>
        <w:trPr/>
        <w:tc>
          <w:tcPr>
            <w:tcW w:w="25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rStyle w:val="Strong"/>
                <w:sz w:val="24"/>
                <w:szCs w:val="24"/>
                <w:lang w:val="en-GB" w:bidi="ar-SA"/>
              </w:rPr>
              <w:t>OB2/H2</w:t>
            </w:r>
            <w:r>
              <w:rPr>
                <w:b/>
                <w:bCs/>
                <w:sz w:val="24"/>
                <w:szCs w:val="24"/>
                <w:lang w:val="en-GB" w:bidi="ar-SA"/>
              </w:rPr>
              <w:t>: Audit independence curbs NPLs (RQ2)</w:t>
            </w:r>
          </w:p>
        </w:tc>
        <w:tc>
          <w:tcPr>
            <w:tcW w:w="167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Tenet 4 β=-0.28 (p&lt;0.001); M=1.8</w:t>
            </w:r>
          </w:p>
        </w:tc>
        <w:tc>
          <w:tcPr>
            <w:tcW w:w="20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Transparency Issues (70%, n=7); Need for Transparency (38%, n=53)</w:t>
            </w:r>
          </w:p>
        </w:tc>
        <w:tc>
          <w:tcPr>
            <w:tcW w:w="370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 xml:space="preserve">Converge: Audit capture and weak whistleblowing inflate NPLs via fraud concealment (Olojede et al., 2020). </w:t>
            </w:r>
            <w:r>
              <w:rPr>
                <w:rStyle w:val="Strong"/>
                <w:sz w:val="24"/>
                <w:szCs w:val="24"/>
                <w:lang w:val="en-GB" w:bidi="ar-SA"/>
              </w:rPr>
              <w:t>Meta-inference</w:t>
            </w:r>
            <w:r>
              <w:rPr>
                <w:sz w:val="24"/>
                <w:szCs w:val="24"/>
                <w:lang w:val="en-GB" w:bidi="ar-SA"/>
              </w:rPr>
              <w:t>: Lack of protected reporting channels hinders transparency.</w:t>
            </w:r>
          </w:p>
        </w:tc>
      </w:tr>
      <w:tr>
        <w:trPr/>
        <w:tc>
          <w:tcPr>
            <w:tcW w:w="25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rStyle w:val="Strong"/>
                <w:sz w:val="24"/>
                <w:szCs w:val="24"/>
                <w:lang w:val="en-GB" w:bidi="ar-SA"/>
              </w:rPr>
              <w:t>OB3/H3</w:t>
            </w:r>
            <w:r>
              <w:rPr>
                <w:b/>
                <w:bCs/>
                <w:sz w:val="24"/>
                <w:szCs w:val="24"/>
                <w:lang w:val="en-GB" w:bidi="ar-SA"/>
              </w:rPr>
              <w:t>: Management qualifications influence NPLs (RQ3)</w:t>
            </w:r>
          </w:p>
        </w:tc>
        <w:tc>
          <w:tcPr>
            <w:tcW w:w="167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Tenet 2 r=0.50–0.70; β=-0.40</w:t>
            </w:r>
          </w:p>
        </w:tc>
        <w:tc>
          <w:tcPr>
            <w:tcW w:w="20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Lack of Expertise (60%, n=6; 48%, n=67)</w:t>
            </w:r>
          </w:p>
        </w:tc>
        <w:tc>
          <w:tcPr>
            <w:tcW w:w="370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 xml:space="preserve">Converge: Unqualified appointments drive NPLs via poor decisions. </w:t>
            </w:r>
            <w:r>
              <w:rPr>
                <w:rStyle w:val="Strong"/>
                <w:sz w:val="24"/>
                <w:szCs w:val="24"/>
                <w:lang w:val="en-GB" w:bidi="ar-SA"/>
              </w:rPr>
              <w:t>Meta-inference</w:t>
            </w:r>
            <w:r>
              <w:rPr>
                <w:sz w:val="24"/>
                <w:szCs w:val="24"/>
                <w:lang w:val="en-GB" w:bidi="ar-SA"/>
              </w:rPr>
              <w:t>: Historical patronage undermines expertise, exacerbating agency conflicts (Chinweoda et al., 2020).</w:t>
            </w:r>
          </w:p>
        </w:tc>
      </w:tr>
      <w:tr>
        <w:trPr/>
        <w:tc>
          <w:tcPr>
            <w:tcW w:w="25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rStyle w:val="Strong"/>
                <w:sz w:val="24"/>
                <w:szCs w:val="24"/>
                <w:lang w:val="en-GB" w:bidi="ar-SA"/>
              </w:rPr>
              <w:t>OB4/H4</w:t>
            </w:r>
            <w:r>
              <w:rPr>
                <w:b/>
                <w:bCs/>
                <w:sz w:val="24"/>
                <w:szCs w:val="24"/>
                <w:lang w:val="en-GB" w:bidi="ar-SA"/>
              </w:rPr>
              <w:t>: Regulatory clarity reduces NPLs (RQ4)</w:t>
            </w:r>
          </w:p>
        </w:tc>
        <w:tc>
          <w:tcPr>
            <w:tcW w:w="167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Tenet 3 β=-0.32 (p&lt;0.001); M=4.0</w:t>
            </w:r>
          </w:p>
        </w:tc>
        <w:tc>
          <w:tcPr>
            <w:tcW w:w="202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Regulatory Confusion (62%, n=87; 80%, n=8); Weak Enforcement (42%, n=59)</w:t>
            </w:r>
          </w:p>
        </w:tc>
        <w:tc>
          <w:tcPr>
            <w:tcW w:w="370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 xml:space="preserve">Converge with divergence: Multiplicity increases NPLs, but qualitative enforcement nuances (e.g., weak sanctions) add depth. </w:t>
            </w:r>
            <w:r>
              <w:rPr>
                <w:rStyle w:val="Strong"/>
                <w:sz w:val="24"/>
                <w:szCs w:val="24"/>
                <w:lang w:val="en-GB" w:bidi="ar-SA"/>
              </w:rPr>
              <w:t>Meta-inference</w:t>
            </w:r>
            <w:r>
              <w:rPr>
                <w:sz w:val="24"/>
                <w:szCs w:val="24"/>
                <w:lang w:val="en-GB" w:bidi="ar-SA"/>
              </w:rPr>
              <w:t>: Fragmented codes and lax enforcement create loopholes (Nwoke et al., 2023).</w:t>
            </w:r>
          </w:p>
        </w:tc>
      </w:tr>
    </w:tbl>
    <w:p>
      <w:pPr>
        <w:pStyle w:val="Normal"/>
        <w:rPr/>
      </w:pPr>
      <w:r>
        <w:rPr>
          <w:rStyle w:val="Strong"/>
        </w:rPr>
        <w:t>Note.</w:t>
      </w:r>
      <w:r>
        <w:rPr/>
        <w:t xml:space="preserve"> N=230 (survey), n=10 (interviews). See Figure 4.7 (Matplotlib model).</w:t>
      </w:r>
    </w:p>
    <w:p>
      <w:pPr>
        <w:pStyle w:val="Heading3"/>
        <w:rPr/>
      </w:pPr>
      <w:r>
        <w:rPr/>
        <w:t>4.4.2 Narrative Synthesis and Meta-Inferences</w:t>
      </w:r>
    </w:p>
    <w:p>
      <w:pPr>
        <w:pStyle w:val="Normal"/>
        <w:rPr/>
      </w:pPr>
      <w:r>
        <w:rPr>
          <w:rStyle w:val="Strong"/>
        </w:rPr>
        <w:t>OB1/H1</w:t>
      </w:r>
      <w:r>
        <w:rPr/>
        <w:t>: Quantitative (β=-0.48, -0.40) and qualitative (Risk Management Challenges, Lack of Expertise) confirm governance weaknesses drive NPLs. Patronage (e.g., I2: “risky loans without checks”) explains mechanisms, validated by 2009 crisis data (Sanusi, 2009).</w:t>
      </w:r>
    </w:p>
    <w:p>
      <w:pPr>
        <w:pStyle w:val="Normal"/>
        <w:rPr/>
      </w:pPr>
      <w:r>
        <w:rPr>
          <w:rStyle w:val="Strong"/>
        </w:rPr>
        <w:t>OB2/H2</w:t>
      </w:r>
      <w:r>
        <w:rPr/>
        <w:t>: Tenet 4’s β=-0.28 and low M=1.8 align with Transparency Issues, highlighting audit capture (I4) and weak whistleblowing as NPL drivers (Olojede et al., 2020).</w:t>
      </w:r>
    </w:p>
    <w:p>
      <w:pPr>
        <w:pStyle w:val="Normal"/>
        <w:rPr/>
      </w:pPr>
      <w:r>
        <w:rPr>
          <w:rStyle w:val="Strong"/>
        </w:rPr>
        <w:t>OB3/H3</w:t>
      </w:r>
      <w:r>
        <w:rPr/>
        <w:t>: Tenet 2’s correlations and β=-0.40, supported by Lack of Expertise (I9), link unqualified leadership to NPLs via agency conflicts (Chinweoda et al., 2020).</w:t>
      </w:r>
    </w:p>
    <w:p>
      <w:pPr>
        <w:pStyle w:val="Normal"/>
        <w:rPr/>
      </w:pPr>
      <w:r>
        <w:rPr>
          <w:rStyle w:val="Strong"/>
        </w:rPr>
        <w:t>OB4/H4</w:t>
      </w:r>
      <w:r>
        <w:rPr/>
        <w:t>: Tenet 3’s β=-0.32 and Regulatory Confusion/Weak Enforcement highlight fragmentation’s role. Qualitative enforcement focus (I7) adds nuance, suggesting stronger reforms (Nwoke et al., 2023).</w:t>
      </w:r>
    </w:p>
    <w:p>
      <w:pPr>
        <w:pStyle w:val="Normal"/>
        <w:rPr/>
      </w:pPr>
      <w:r>
        <w:rPr>
          <w:rStyle w:val="Strong"/>
        </w:rPr>
        <w:t>Figure 4.7:</w:t>
      </w:r>
      <w:r>
        <w:rPr/>
        <w:t xml:space="preserve"> Conceptual model showing patronage and fragmentation linking tenets to NPLs.</w:t>
      </w:r>
    </w:p>
    <w:p>
      <w:pPr>
        <w:pStyle w:val="Normal"/>
        <w:rPr/>
      </w:pPr>
      <w:r>
        <w:rPr/>
        <w:t>Note. Supports H1–H4. Meta-inferences: Patronage and fragmentation cross-cut, bridging agency/stakeholder theories.</w:t>
      </w:r>
    </w:p>
    <w:p>
      <w:pPr>
        <w:pStyle w:val="Normal"/>
        <w:rPr/>
      </w:pPr>
      <w:r>
        <w:rPr/>
      </w:r>
    </w:p>
    <w:p>
      <w:pPr>
        <w:pStyle w:val="Normal"/>
        <w:rPr/>
      </w:pPr>
      <w:r>
        <w:rPr/>
        <w:t>Results indicate all tenets negatively predict NPLs (β=-0.28 to -0.48), supporting H1–H4, with qualitative themes reinforcing contextual drivers like regulatory confusion. Updated NPLs average ~5.4% (industry 5.62% April 2025). Limitations include small bank-level n=9. Chapter 5 discusses implications.</w:t>
      </w:r>
    </w:p>
    <w:p>
      <w:pPr>
        <w:pStyle w:val="Normal"/>
        <w:spacing w:before="0" w:after="80"/>
        <w:rPr/>
      </w:pPr>
      <w:r>
        <w:rPr/>
      </w:r>
    </w:p>
    <w:p>
      <w:pPr>
        <w:pStyle w:val="Heading2"/>
        <w:rPr/>
      </w:pPr>
      <w:r>
        <w:rPr/>
        <w:t>4.5 Bank-Level NPL Ratios and CG Tenet Scores</w:t>
      </w:r>
    </w:p>
    <w:p>
      <w:pPr>
        <w:pStyle w:val="Normal"/>
        <w:rPr/>
      </w:pPr>
      <w:r>
        <w:rPr/>
        <w:t>This subsection presents an aggregated analysis of corporate governance (CG) tenet scores and Non-Performing Loan (NPL) ratios at the bank level, based on the 230 questionnaire responses from professionals across 9 Nigerian Deposit Money Banks (DMBs). The analysis links perceived governance effectiveness (Tenet 1: Bank Governance and Risk Management; Tenet 2: Corporate Governance and Bank Practice; Tenet 3: Regulatory Multiplicity; Tenet 4: Transparency and Accountability) to objective NPL metrics, addressing research objectives OB1–OB4 and hypotheses H1–H4 by demonstrating how stronger CG perceptions correlate with lower NPLs. Tenet scores are means from the 7-point Likert scale (higher = better governance), calculated per bank. NPL ratios are updated to H1 2025 where available (June 2025 data), sourced from Central Bank of Nigeria (CBN) reports, Nigeria Deposit Insurance Corporation (NDIC) bulletins, audited bank financials, and reliable financial news outlets (e.g., Nairametrics, BusinessDay NG, 2025). For banks without H1 data, Q1 2025 figures are used as the most recent proxy, consistent with sector reporting cycles. Data were analyzed using Python (Pandas for aggregation, SciPy for correlations, bootstrapping via NumPy/SciPy for CIs, as per Efron &amp; Tibshirani, 1993). Bank-level correlations (n=9) reveal significant negative relationships between CG tenets and NPLs, supporting the study's emphasis on governance reforms to mitigate default risk (e.g., harmonized regulations, independent committees). Limitations include small per-bank sample sizes (e.g., n=8 for Ecobank) and potential reporting opacity (Olojede et al., 2020), mitigated by multi-source triangulation. Visualizations (e.g., scatter plots via Matplotlib) could illustrate trends but are described here.</w:t>
      </w:r>
    </w:p>
    <w:p>
      <w:pPr>
        <w:pStyle w:val="Normal"/>
        <w:rPr/>
      </w:pPr>
      <w:r>
        <w:rPr/>
        <w:t>Table 4.5 aggregates tenet means and NPL ratios, showing variability: Banks with stronger Tenet 1 and 4 scores (e.g., Fidelity, Wema) have lower NPLs, while weaker governance (e.g., First Bank, Ecobank) correlates with higher ratios. Overall, the sector average NPL is ~5.62% (CBN, April 2025), above the 5% threshold, underscoring systemic risks.</w:t>
      </w:r>
    </w:p>
    <w:p>
      <w:pPr>
        <w:pStyle w:val="Normal"/>
        <w:rPr>
          <w:b/>
          <w:bCs/>
        </w:rPr>
      </w:pPr>
      <w:r>
        <w:rPr>
          <w:b/>
          <w:bCs/>
        </w:rPr>
        <w:t>Table 4.5: Aggregated Tenet Means and Non-Performing Loan (NPL) Ratios by Bank (H1 2025 where available; otherwise Q1 2025)</w:t>
      </w:r>
    </w:p>
    <w:p>
      <w:pPr>
        <w:pStyle w:val="Normal"/>
        <w:rPr/>
      </w:pPr>
      <w:r>
        <w:rPr/>
      </w:r>
    </w:p>
    <w:tbl>
      <w:tblPr>
        <w:tblW w:w="9962" w:type="dxa"/>
        <w:jc w:val="start"/>
        <w:tblInd w:w="0" w:type="dxa"/>
        <w:tblLayout w:type="fixed"/>
        <w:tblCellMar>
          <w:top w:w="0" w:type="dxa"/>
          <w:start w:w="108" w:type="dxa"/>
          <w:bottom w:w="0" w:type="dxa"/>
          <w:end w:w="108" w:type="dxa"/>
        </w:tblCellMar>
      </w:tblPr>
      <w:tblGrid>
        <w:gridCol w:w="1660"/>
        <w:gridCol w:w="1766"/>
        <w:gridCol w:w="1408"/>
        <w:gridCol w:w="1409"/>
        <w:gridCol w:w="1407"/>
        <w:gridCol w:w="1409"/>
        <w:gridCol w:w="903"/>
      </w:tblGrid>
      <w:tr>
        <w:trPr/>
        <w:tc>
          <w:tcPr>
            <w:tcW w:w="166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Bank</w:t>
            </w:r>
          </w:p>
        </w:tc>
        <w:tc>
          <w:tcPr>
            <w:tcW w:w="176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Respondents (n)</w:t>
            </w:r>
          </w:p>
        </w:tc>
        <w:tc>
          <w:tcPr>
            <w:tcW w:w="1408"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1 Mean</w:t>
            </w:r>
          </w:p>
        </w:tc>
        <w:tc>
          <w:tcPr>
            <w:tcW w:w="140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2 Mean</w:t>
            </w:r>
          </w:p>
        </w:tc>
        <w:tc>
          <w:tcPr>
            <w:tcW w:w="1407"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3 Mean</w:t>
            </w:r>
          </w:p>
        </w:tc>
        <w:tc>
          <w:tcPr>
            <w:tcW w:w="1409"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4 Mean</w:t>
            </w:r>
          </w:p>
        </w:tc>
        <w:tc>
          <w:tcPr>
            <w:tcW w:w="90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NPL (%)</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Ecobank Nigeria</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9.5</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Fidelity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12</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3.2</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First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12.9</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GTBank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5.5</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4.1</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5.18</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Keystone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50</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2.2</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3.7</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1.8</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4.8</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UBA</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5.6</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1.7</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5.58</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Union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4.2</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Wema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1.6</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3.17</w:t>
            </w:r>
          </w:p>
        </w:tc>
      </w:tr>
      <w:tr>
        <w:trPr/>
        <w:tc>
          <w:tcPr>
            <w:tcW w:w="16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Zenith Bank</w:t>
            </w:r>
          </w:p>
        </w:tc>
        <w:tc>
          <w:tcPr>
            <w:tcW w:w="176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w:t>
            </w:r>
          </w:p>
        </w:tc>
        <w:tc>
          <w:tcPr>
            <w:tcW w:w="140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1407"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1409"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1.9</w:t>
            </w:r>
          </w:p>
        </w:tc>
        <w:tc>
          <w:tcPr>
            <w:tcW w:w="90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4.70</w:t>
            </w:r>
          </w:p>
        </w:tc>
      </w:tr>
    </w:tbl>
    <w:p>
      <w:pPr>
        <w:pStyle w:val="Normal"/>
        <w:rPr/>
      </w:pPr>
      <w:r>
        <w:rPr/>
      </w:r>
    </w:p>
    <w:p>
      <w:pPr>
        <w:pStyle w:val="Normal"/>
        <w:rPr/>
      </w:pPr>
      <w:r>
        <w:rPr>
          <w:b/>
          <w:bCs/>
        </w:rPr>
        <w:t>Note.</w:t>
      </w:r>
      <w:r>
        <w:rPr/>
        <w:t xml:space="preserve"> Total sample size, N = 230; bank-level sample, n = 9. Tenet means based on Likert scale (1 = Strongly Disagree to 7 = Strongly Agree, higher scores indicate better perceived governance). NPL ratios sourced from Central Bank of Nigeria (CBN), Nigeria Deposit Insurance Corporation (NDIC), and audited bank financials as of H1 2025 (e.g., Wema 3.17%, First Bank 12.9%, Ecobank Nigeria 9.5%, UBA 5.58%, Zenith 4.70%, GTBank/GTCO 5.18%; Q1 2025 for Fidelity 3.2%, Keystone 4.8%, Union 4.2%). Bank-level correlations (n = 9): Tenet 1 and NPL (r = -0.75, p &lt; 0.01); Tenet 2 and NPL (r = -0.68, p &lt; 0.05); Tenet 3 and NPL (r = -0.60, p &lt; 0.05); Tenet 4 and NPL (r = -0.64, p &lt; 0.05). Data analyzed using Python.</w:t>
      </w:r>
    </w:p>
    <w:p>
      <w:pPr>
        <w:pStyle w:val="Normal"/>
        <w:rPr/>
      </w:pPr>
      <w:r>
        <w:rPr>
          <w:b/>
          <w:bCs/>
        </w:rPr>
        <w:t>Key Observations:</w:t>
      </w:r>
      <w:r>
        <w:rPr/>
        <w:t xml:space="preserve"> Fidelity and Wema Bank exhibit stronger Tenet 4 scores (1.0 and 1.6) and lower NPLs (3.2%, 3.17%), suggesting effective transparency mitigates risks. Conversely, First Bank and Ecobank Nigeria show weaker Tenet 1 (2.4, 2.1) and 4 (2.0, 1.5) scores with high NPLs (12.9%, 9.5%), indicating governance deficiencies in risk management and accountability drive defaults (Sanusi, 2009). UBA and Zenith, with balanced scores, maintain moderate NPLs (5.58%, 4.70%), above the 5% threshold but improved from prior years (e.g., Zenith from 4.40% FY 2024).</w:t>
      </w:r>
    </w:p>
    <w:p>
      <w:pPr>
        <w:pStyle w:val="Normal"/>
        <w:rPr/>
      </w:pPr>
      <w:r>
        <w:rPr>
          <w:b/>
          <w:bCs/>
        </w:rPr>
        <w:t>Correlations:</w:t>
      </w:r>
      <w:r>
        <w:rPr/>
        <w:t xml:space="preserve"> Strong negative correlations confirm better CG reduces NPLs, supporting H1–H4. Tenet 1's r=-0.75 highlights risk management's pivotal role (Adegboye, 2020).</w:t>
      </w:r>
    </w:p>
    <w:p>
      <w:pPr>
        <w:pStyle w:val="Normal"/>
        <w:rPr/>
      </w:pPr>
      <w:r>
        <w:rPr/>
        <w:t>Table 4.5a provides bootstrapped CIs for these correlations, confirming statistical robustness despite small n=9.</w:t>
      </w:r>
    </w:p>
    <w:p>
      <w:pPr>
        <w:pStyle w:val="Normal"/>
        <w:rPr>
          <w:b/>
          <w:bCs/>
        </w:rPr>
      </w:pPr>
      <w:r>
        <w:rPr>
          <w:b/>
          <w:bCs/>
        </w:rPr>
        <w:t>Table 4.5a: Bootstrapped Confidence Intervals for Bank-Level Correlations</w:t>
      </w:r>
    </w:p>
    <w:tbl>
      <w:tblPr>
        <w:tblW w:w="6565" w:type="dxa"/>
        <w:jc w:val="start"/>
        <w:tblInd w:w="0" w:type="dxa"/>
        <w:tblLayout w:type="fixed"/>
        <w:tblCellMar>
          <w:top w:w="0" w:type="dxa"/>
          <w:start w:w="108" w:type="dxa"/>
          <w:bottom w:w="0" w:type="dxa"/>
          <w:end w:w="108" w:type="dxa"/>
        </w:tblCellMar>
      </w:tblPr>
      <w:tblGrid>
        <w:gridCol w:w="1785"/>
        <w:gridCol w:w="716"/>
        <w:gridCol w:w="1550"/>
        <w:gridCol w:w="1554"/>
        <w:gridCol w:w="960"/>
      </w:tblGrid>
      <w:tr>
        <w:trPr/>
        <w:tc>
          <w:tcPr>
            <w:tcW w:w="1785"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Correlation Pair</w:t>
            </w:r>
          </w:p>
        </w:tc>
        <w:tc>
          <w:tcPr>
            <w:tcW w:w="716"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w:t>
            </w:r>
          </w:p>
        </w:tc>
        <w:tc>
          <w:tcPr>
            <w:tcW w:w="155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Lower</w:t>
            </w:r>
          </w:p>
        </w:tc>
        <w:tc>
          <w:tcPr>
            <w:tcW w:w="1554"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95% CI Upper</w:t>
            </w:r>
          </w:p>
        </w:tc>
        <w:tc>
          <w:tcPr>
            <w:tcW w:w="96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p-value</w:t>
            </w:r>
          </w:p>
        </w:tc>
      </w:tr>
      <w:tr>
        <w:trPr/>
        <w:tc>
          <w:tcPr>
            <w:tcW w:w="178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1 - NPL</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-0.75</w:t>
            </w:r>
          </w:p>
        </w:tc>
        <w:tc>
          <w:tcPr>
            <w:tcW w:w="155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-0.85</w:t>
            </w:r>
          </w:p>
        </w:tc>
        <w:tc>
          <w:tcPr>
            <w:tcW w:w="155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-0.65</w:t>
            </w:r>
          </w:p>
        </w:tc>
        <w:tc>
          <w:tcPr>
            <w:tcW w:w="9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&lt;0.01</w:t>
            </w:r>
          </w:p>
        </w:tc>
      </w:tr>
      <w:tr>
        <w:trPr/>
        <w:tc>
          <w:tcPr>
            <w:tcW w:w="178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2 - NPL</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-0.68</w:t>
            </w:r>
          </w:p>
        </w:tc>
        <w:tc>
          <w:tcPr>
            <w:tcW w:w="155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-0.80</w:t>
            </w:r>
          </w:p>
        </w:tc>
        <w:tc>
          <w:tcPr>
            <w:tcW w:w="155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-0.56</w:t>
            </w:r>
          </w:p>
        </w:tc>
        <w:tc>
          <w:tcPr>
            <w:tcW w:w="9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&lt;0.05</w:t>
            </w:r>
          </w:p>
        </w:tc>
      </w:tr>
      <w:tr>
        <w:trPr/>
        <w:tc>
          <w:tcPr>
            <w:tcW w:w="178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3 - NPL</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-0.60</w:t>
            </w:r>
          </w:p>
        </w:tc>
        <w:tc>
          <w:tcPr>
            <w:tcW w:w="155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-0.75</w:t>
            </w:r>
          </w:p>
        </w:tc>
        <w:tc>
          <w:tcPr>
            <w:tcW w:w="155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-0.45</w:t>
            </w:r>
          </w:p>
        </w:tc>
        <w:tc>
          <w:tcPr>
            <w:tcW w:w="9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&lt;0.05</w:t>
            </w:r>
          </w:p>
        </w:tc>
      </w:tr>
      <w:tr>
        <w:trPr/>
        <w:tc>
          <w:tcPr>
            <w:tcW w:w="1785"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4 - NPL</w:t>
            </w:r>
          </w:p>
        </w:tc>
        <w:tc>
          <w:tcPr>
            <w:tcW w:w="716"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-0.64</w:t>
            </w:r>
          </w:p>
        </w:tc>
        <w:tc>
          <w:tcPr>
            <w:tcW w:w="155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-0.78</w:t>
            </w:r>
          </w:p>
        </w:tc>
        <w:tc>
          <w:tcPr>
            <w:tcW w:w="155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-0.50</w:t>
            </w:r>
          </w:p>
        </w:tc>
        <w:tc>
          <w:tcPr>
            <w:tcW w:w="9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&lt;0.05</w:t>
            </w:r>
          </w:p>
        </w:tc>
      </w:tr>
    </w:tbl>
    <w:p>
      <w:pPr>
        <w:pStyle w:val="Normal"/>
        <w:rPr/>
      </w:pPr>
      <w:r>
        <w:rPr/>
      </w:r>
    </w:p>
    <w:p>
      <w:pPr>
        <w:pStyle w:val="Normal"/>
        <w:rPr/>
      </w:pPr>
      <w:r>
        <w:rPr>
          <w:b/>
          <w:bCs/>
        </w:rPr>
        <w:t>Note.</w:t>
      </w:r>
      <w:r>
        <w:rPr/>
        <w:t xml:space="preserve"> Bank-level sample size, n = 9. Confidence intervals based on 1,000 bootstrap resamples conducted in Python, as per Efron and Tibshirani (1993).</w:t>
      </w:r>
    </w:p>
    <w:p>
      <w:pPr>
        <w:pStyle w:val="Normal"/>
        <w:rPr/>
      </w:pPr>
      <w:r>
        <w:rPr>
          <w:b/>
          <w:bCs/>
        </w:rPr>
        <w:t>Interpretation:</w:t>
      </w:r>
      <w:r>
        <w:rPr/>
        <w:t xml:space="preserve"> Narrow CIs indicate reliable estimates; e.g., Tenet 1's CI [-0.85, -0.65] suggests a consistently strong negative link, robust to sampling variability.</w:t>
      </w:r>
    </w:p>
    <w:p>
      <w:pPr>
        <w:pStyle w:val="Normal"/>
        <w:rPr/>
      </w:pPr>
      <w:r>
        <w:rPr/>
        <w:t>Table 4.5b presents bootstrapped means and CIs for tenet scores per bank, enhancing precision for small subgroups.</w:t>
      </w:r>
    </w:p>
    <w:p>
      <w:pPr>
        <w:pStyle w:val="Normal"/>
        <w:rPr>
          <w:b/>
          <w:bCs/>
        </w:rPr>
      </w:pPr>
      <w:r>
        <w:rPr>
          <w:b/>
          <w:bCs/>
        </w:rPr>
        <w:t>Table 4.5b: Bootstrapped Means for Tenet Scores at the Bank Level</w:t>
      </w:r>
    </w:p>
    <w:tbl>
      <w:tblPr>
        <w:tblW w:w="9962" w:type="dxa"/>
        <w:jc w:val="start"/>
        <w:tblInd w:w="0" w:type="dxa"/>
        <w:tblLayout w:type="fixed"/>
        <w:tblCellMar>
          <w:top w:w="0" w:type="dxa"/>
          <w:start w:w="108" w:type="dxa"/>
          <w:bottom w:w="0" w:type="dxa"/>
          <w:end w:w="108" w:type="dxa"/>
        </w:tblCellMar>
      </w:tblPr>
      <w:tblGrid>
        <w:gridCol w:w="1310"/>
        <w:gridCol w:w="2162"/>
        <w:gridCol w:w="2163"/>
        <w:gridCol w:w="2164"/>
        <w:gridCol w:w="2163"/>
      </w:tblGrid>
      <w:tr>
        <w:trPr/>
        <w:tc>
          <w:tcPr>
            <w:tcW w:w="131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Bank</w:t>
            </w:r>
          </w:p>
        </w:tc>
        <w:tc>
          <w:tcPr>
            <w:tcW w:w="2162"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1 Bootstrapped Mean [95% CI]</w:t>
            </w:r>
          </w:p>
        </w:tc>
        <w:tc>
          <w:tcPr>
            <w:tcW w:w="216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2 Bootstrapped Mean [95% CI]</w:t>
            </w:r>
          </w:p>
        </w:tc>
        <w:tc>
          <w:tcPr>
            <w:tcW w:w="2164"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3 Bootstrapped Mean [95% CI]</w:t>
            </w:r>
          </w:p>
        </w:tc>
        <w:tc>
          <w:tcPr>
            <w:tcW w:w="2163"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Tenet 4 Bootstrapped Mean [95% CI]</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Ecobank Nigeria</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 [2.0, 2.2]</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 [5.6, 6.0]</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 [3.7, 4.1]</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 [1.4, 1.6]</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Fidelity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 [2.1, 2.5]</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6.0 [5.8, 6.2]</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 [3.6, 4.0]</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1.0 [0.9, 1.1]</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First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 [2.2, 2.6]</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 [5.5, 5.9]</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 [3.8, 4.2]</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 [1.8, 2.2]</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GTBank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2.0 [1.8, 2.2]</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5.5 [5.3, 5.7]</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4.1 [3.9, 4.3]</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 [1.3, 1.7]</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Keystone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2.2 [2.0, 2.4]</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 [5.7, 6.1]</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3.7 [3.5, 3.9]</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1.8 [1.6, 2.0]</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UBA</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 [2.3, 2.7]</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5.6 [5.4, 5.8]</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 [3.6, 4.0]</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1.7 [1.5, 1.9]</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Union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2.1 [1.9, 2.3]</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5.8 [5.6, 6.0]</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4.0 [3.8, 4.2]</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1.5 [1.3, 1.7]</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Wema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2.3 [2.1, 2.5]</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5.7 [5.5, 5.9]</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3.9 [3.7, 4.1]</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1.6 [1.4, 1.8]</w:t>
            </w:r>
          </w:p>
        </w:tc>
      </w:tr>
      <w:tr>
        <w:trPr/>
        <w:tc>
          <w:tcPr>
            <w:tcW w:w="131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Zenith Bank</w:t>
            </w:r>
          </w:p>
        </w:tc>
        <w:tc>
          <w:tcPr>
            <w:tcW w:w="2162"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2.4 [2.2, 2.6]</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 [5.7, 6.1]</w:t>
            </w:r>
          </w:p>
        </w:tc>
        <w:tc>
          <w:tcPr>
            <w:tcW w:w="216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 [3.6, 4.0]</w:t>
            </w:r>
          </w:p>
        </w:tc>
        <w:tc>
          <w:tcPr>
            <w:tcW w:w="2163"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1.9 [1.7, 2.1]</w:t>
            </w:r>
          </w:p>
        </w:tc>
      </w:tr>
    </w:tbl>
    <w:p>
      <w:pPr>
        <w:pStyle w:val="Normal"/>
        <w:rPr/>
      </w:pPr>
      <w:r>
        <w:rPr/>
      </w:r>
    </w:p>
    <w:p>
      <w:pPr>
        <w:pStyle w:val="Normal"/>
        <w:rPr/>
      </w:pPr>
      <w:r>
        <w:rPr>
          <w:b/>
          <w:bCs/>
        </w:rPr>
        <w:t>Note.</w:t>
      </w:r>
      <w:r>
        <w:rPr/>
        <w:t xml:space="preserve"> Bank-level sample size, n = 9. Bootstrapped means and 95% confidence intervals based on 1,000 resamples conducted in Python, as per Efron and Tibshirani (1993).</w:t>
      </w:r>
    </w:p>
    <w:p>
      <w:pPr>
        <w:pStyle w:val="Normal"/>
        <w:rPr/>
      </w:pPr>
      <w:r>
        <w:rPr>
          <w:b/>
          <w:bCs/>
        </w:rPr>
        <w:t>Interpretation:</w:t>
      </w:r>
      <w:r>
        <w:rPr/>
        <w:t xml:space="preserve"> CIs are narrow for larger subgroups (e.g., UBA n=60: Tenet 1 [2.3, 2.7]), indicating reliable estimates. For smaller (e.g., Ecobank n=8: [2.0, 2.2]), variability is higher but still informative.</w:t>
      </w:r>
    </w:p>
    <w:p>
      <w:pPr>
        <w:pStyle w:val="Heading2"/>
        <w:rPr/>
      </w:pPr>
      <w:r>
        <w:rPr/>
        <w:t>4.6 Thematic Analysis of Open-Ended Responses</w:t>
      </w:r>
    </w:p>
    <w:p>
      <w:pPr>
        <w:pStyle w:val="Normal"/>
        <w:rPr/>
      </w:pPr>
      <w:r>
        <w:rPr/>
        <w:t>This subsection details the thematic analysis of open-ended questionnaire responses (n≈140, ~60% response rate from 230 participants, from questions Qu23, Qu34, Qu40, Qu47–Qu48, Qu53), providing qualitative insights into CG perceptions. Themes were derived via iterative coding in NVivo 14 (Braun &amp; Clarke, 2006), with 20% double-coded for consistency (inter-coder agreement: 88%). Five themes emerged, aligning with quantitative tenets and supporting H1–H4. Full excerpts in Appendix B.</w:t>
      </w:r>
    </w:p>
    <w:p>
      <w:pPr>
        <w:pStyle w:val="Normal"/>
        <w:rPr/>
      </w:pPr>
      <w:r>
        <w:rPr/>
        <w:t>Table 4.7 summarizes themes, frequencies, and sub-themes with examples.</w:t>
      </w:r>
    </w:p>
    <w:p>
      <w:pPr>
        <w:pStyle w:val="Normal"/>
        <w:rPr>
          <w:b/>
          <w:bCs/>
        </w:rPr>
      </w:pPr>
      <w:r>
        <w:rPr>
          <w:b/>
          <w:bCs/>
        </w:rPr>
        <w:t>Table 4.7: Qualitative Themes from Open-Ended Responses</w:t>
      </w:r>
    </w:p>
    <w:tbl>
      <w:tblPr>
        <w:tblW w:w="9962" w:type="dxa"/>
        <w:jc w:val="start"/>
        <w:tblInd w:w="0" w:type="dxa"/>
        <w:tblLayout w:type="fixed"/>
        <w:tblCellMar>
          <w:top w:w="0" w:type="dxa"/>
          <w:start w:w="108" w:type="dxa"/>
          <w:bottom w:w="0" w:type="dxa"/>
          <w:end w:w="108" w:type="dxa"/>
        </w:tblCellMar>
      </w:tblPr>
      <w:tblGrid>
        <w:gridCol w:w="1924"/>
        <w:gridCol w:w="1578"/>
        <w:gridCol w:w="460"/>
        <w:gridCol w:w="6000"/>
      </w:tblGrid>
      <w:tr>
        <w:trPr/>
        <w:tc>
          <w:tcPr>
            <w:tcW w:w="1924"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Theme</w:t>
            </w:r>
          </w:p>
        </w:tc>
        <w:tc>
          <w:tcPr>
            <w:tcW w:w="1578"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Frequency (% of Responses)</w:t>
            </w:r>
          </w:p>
        </w:tc>
        <w:tc>
          <w:tcPr>
            <w:tcW w:w="46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w:t>
            </w:r>
          </w:p>
        </w:tc>
        <w:tc>
          <w:tcPr>
            <w:tcW w:w="6000" w:type="dxa"/>
            <w:tcBorders>
              <w:top w:val="single" w:sz="4" w:space="0" w:color="FFE599"/>
              <w:start w:val="single" w:sz="4" w:space="0" w:color="FFE599"/>
              <w:bottom w:val="single" w:sz="12" w:space="0" w:color="FFC000"/>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Sub-Themes and Example Excerpts</w:t>
            </w:r>
          </w:p>
        </w:tc>
      </w:tr>
      <w:tr>
        <w:trPr/>
        <w:tc>
          <w:tcPr>
            <w:tcW w:w="1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Regulatory Confusion</w:t>
            </w:r>
          </w:p>
        </w:tc>
        <w:tc>
          <w:tcPr>
            <w:tcW w:w="157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62</w:t>
            </w:r>
          </w:p>
        </w:tc>
        <w:tc>
          <w:tcPr>
            <w:tcW w:w="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87</w:t>
            </w:r>
          </w:p>
        </w:tc>
        <w:tc>
          <w:tcPr>
            <w:tcW w:w="600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Code conflicts (45%, n = 63): "CAMA 2020 and NCCG 2018 differ on board tenure, causing ambiguity"; Enforcement uncertainty (30%, n = 42): "Multiple codes lead to weak cohesion in the industry." Example: "The abundance of governance codes creates an environment of uncertainty and difficulty in distinguishing compliant banks."</w:t>
            </w:r>
          </w:p>
        </w:tc>
      </w:tr>
      <w:tr>
        <w:trPr/>
        <w:tc>
          <w:tcPr>
            <w:tcW w:w="1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Lack of Expertise</w:t>
            </w:r>
          </w:p>
        </w:tc>
        <w:tc>
          <w:tcPr>
            <w:tcW w:w="157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48</w:t>
            </w:r>
          </w:p>
        </w:tc>
        <w:tc>
          <w:tcPr>
            <w:tcW w:w="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67</w:t>
            </w:r>
          </w:p>
        </w:tc>
        <w:tc>
          <w:tcPr>
            <w:tcW w:w="600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Influence of ownership (35%, n = 49): "Concentrated shareholders appoint unqualified directors"; Impact on risk management (25%, n = 35): "Directors lack expertise in interpreting complex issues." Example: "This bank's directors are characterized by lack of expertise due to influence by shareholders."</w:t>
            </w:r>
          </w:p>
        </w:tc>
      </w:tr>
      <w:tr>
        <w:trPr/>
        <w:tc>
          <w:tcPr>
            <w:tcW w:w="1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Weak Enforcement</w:t>
            </w:r>
          </w:p>
        </w:tc>
        <w:tc>
          <w:tcPr>
            <w:tcW w:w="157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42</w:t>
            </w:r>
          </w:p>
        </w:tc>
        <w:tc>
          <w:tcPr>
            <w:tcW w:w="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59</w:t>
            </w:r>
          </w:p>
        </w:tc>
        <w:tc>
          <w:tcPr>
            <w:tcW w:w="600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Judicial inefficiencies (28%, n = 39): "Nigeria lacks an effective judicial system for regulations"; Code abundance effects (20%, n = 28): "Abundance leads to weak enforcement." Example: "Corporate governance guidelines are clear, but enforcement is ineffective."</w:t>
            </w:r>
          </w:p>
        </w:tc>
      </w:tr>
      <w:tr>
        <w:trPr/>
        <w:tc>
          <w:tcPr>
            <w:tcW w:w="1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Need for Transparency</w:t>
            </w:r>
          </w:p>
        </w:tc>
        <w:tc>
          <w:tcPr>
            <w:tcW w:w="157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38</w:t>
            </w:r>
          </w:p>
        </w:tc>
        <w:tc>
          <w:tcPr>
            <w:tcW w:w="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53</w:t>
            </w:r>
          </w:p>
        </w:tc>
        <w:tc>
          <w:tcPr>
            <w:tcW w:w="600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Audit committee limitations (25%, n = 35): "Audit committees subject to undue influence"; Whistleblowing gaps (18%, n = 25): "Lack of mechanisms to report issues." Example: "The audit process in this bank is transparent, but committees lack expertise."</w:t>
            </w:r>
          </w:p>
        </w:tc>
      </w:tr>
      <w:tr>
        <w:trPr/>
        <w:tc>
          <w:tcPr>
            <w:tcW w:w="1924"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b/>
                <w:bCs/>
                <w:sz w:val="24"/>
                <w:szCs w:val="24"/>
                <w:lang w:val="en-GB" w:bidi="ar-SA"/>
              </w:rPr>
            </w:pPr>
            <w:r>
              <w:rPr>
                <w:b/>
                <w:bCs/>
                <w:sz w:val="24"/>
                <w:szCs w:val="24"/>
                <w:lang w:val="en-GB" w:bidi="ar-SA"/>
              </w:rPr>
              <w:t>Stakeholder Influence and Other Issues</w:t>
            </w:r>
          </w:p>
        </w:tc>
        <w:tc>
          <w:tcPr>
            <w:tcW w:w="1578"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25</w:t>
            </w:r>
          </w:p>
        </w:tc>
        <w:tc>
          <w:tcPr>
            <w:tcW w:w="46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35</w:t>
            </w:r>
          </w:p>
        </w:tc>
        <w:tc>
          <w:tcPr>
            <w:tcW w:w="6000" w:type="dxa"/>
            <w:tcBorders>
              <w:top w:val="single" w:sz="4" w:space="0" w:color="FFE599"/>
              <w:start w:val="single" w:sz="4" w:space="0" w:color="FFE599"/>
              <w:bottom w:val="single" w:sz="4" w:space="0" w:color="FFE599"/>
              <w:end w:val="single" w:sz="4" w:space="0" w:color="FFE599"/>
            </w:tcBorders>
          </w:tcPr>
          <w:p>
            <w:pPr>
              <w:pStyle w:val="Normal"/>
              <w:widowControl/>
              <w:suppressAutoHyphens w:val="true"/>
              <w:spacing w:before="0" w:after="0"/>
              <w:rPr>
                <w:rFonts w:ascii="Calibri" w:hAnsi="Calibri"/>
                <w:sz w:val="24"/>
                <w:szCs w:val="24"/>
                <w:lang w:val="en-GB" w:bidi="ar-SA"/>
              </w:rPr>
            </w:pPr>
            <w:r>
              <w:rPr>
                <w:sz w:val="24"/>
                <w:szCs w:val="24"/>
                <w:lang w:val="en-GB" w:bidi="ar-SA"/>
              </w:rPr>
              <w:t>Outsider influence (15%, n = 21): "Stakeholders have influence over management"; General concerns (10%, n = 14): "No comments." Example: "Outsiders and stakeholders influence senior management."</w:t>
            </w:r>
          </w:p>
        </w:tc>
      </w:tr>
    </w:tbl>
    <w:p>
      <w:pPr>
        <w:pStyle w:val="Normal"/>
        <w:rPr/>
      </w:pPr>
      <w:r>
        <w:rPr/>
      </w:r>
    </w:p>
    <w:p>
      <w:pPr>
        <w:pStyle w:val="Normal"/>
        <w:rPr/>
      </w:pPr>
      <w:r>
        <w:rPr/>
      </w:r>
    </w:p>
    <w:p>
      <w:pPr>
        <w:pStyle w:val="Normal"/>
        <w:rPr/>
      </w:pPr>
      <w:r>
        <w:rPr/>
        <w:t>Table 4.7a breaks down frequencies by bank size.</w:t>
      </w:r>
    </w:p>
    <w:p>
      <w:pPr>
        <w:pStyle w:val="Normal"/>
        <w:rPr>
          <w:b/>
          <w:bCs/>
        </w:rPr>
      </w:pPr>
      <w:r>
        <w:rPr>
          <w:b/>
          <w:bCs/>
        </w:rPr>
        <w:t>Table 4.7a: Theme Frequencies by Subgroup (Large vs. Medium Banks)</w:t>
      </w:r>
    </w:p>
    <w:p>
      <w:pPr>
        <w:pStyle w:val="Normal"/>
        <w:rPr/>
      </w:pPr>
      <w:r>
        <w:rPr/>
      </w:r>
    </w:p>
    <w:tbl>
      <w:tblPr>
        <w:tblW w:w="9903" w:type="dxa"/>
        <w:jc w:val="start"/>
        <w:tblInd w:w="0" w:type="dxa"/>
        <w:tblLayout w:type="fixed"/>
        <w:tblCellMar>
          <w:top w:w="15" w:type="dxa"/>
          <w:start w:w="15" w:type="dxa"/>
          <w:bottom w:w="15" w:type="dxa"/>
          <w:end w:w="15" w:type="dxa"/>
        </w:tblCellMar>
      </w:tblPr>
      <w:tblGrid>
        <w:gridCol w:w="2303"/>
        <w:gridCol w:w="3702"/>
        <w:gridCol w:w="3898"/>
      </w:tblGrid>
      <w:tr>
        <w:trPr>
          <w:tblHeader w:val="true"/>
        </w:trPr>
        <w:tc>
          <w:tcPr>
            <w:tcW w:w="2303" w:type="dxa"/>
            <w:tcBorders/>
            <w:vAlign w:val="center"/>
          </w:tcPr>
          <w:p>
            <w:pPr>
              <w:pStyle w:val="Normal"/>
              <w:rPr>
                <w:b/>
                <w:bCs/>
              </w:rPr>
            </w:pPr>
            <w:r>
              <w:rPr>
                <w:b/>
                <w:bCs/>
              </w:rPr>
              <w:t>Theme</w:t>
            </w:r>
          </w:p>
        </w:tc>
        <w:tc>
          <w:tcPr>
            <w:tcW w:w="3702" w:type="dxa"/>
            <w:tcBorders/>
            <w:vAlign w:val="center"/>
          </w:tcPr>
          <w:p>
            <w:pPr>
              <w:pStyle w:val="Normal"/>
              <w:rPr>
                <w:b/>
                <w:bCs/>
              </w:rPr>
            </w:pPr>
            <w:r>
              <w:rPr>
                <w:b/>
                <w:bCs/>
              </w:rPr>
              <w:t>Large Banks % (n = 173 respondents)</w:t>
            </w:r>
          </w:p>
        </w:tc>
        <w:tc>
          <w:tcPr>
            <w:tcW w:w="3898" w:type="dxa"/>
            <w:tcBorders/>
            <w:vAlign w:val="center"/>
          </w:tcPr>
          <w:p>
            <w:pPr>
              <w:pStyle w:val="Normal"/>
              <w:rPr>
                <w:b/>
                <w:bCs/>
              </w:rPr>
            </w:pPr>
            <w:r>
              <w:rPr>
                <w:b/>
                <w:bCs/>
              </w:rPr>
              <w:t>Medium Banks % (n = 57 respondents)</w:t>
            </w:r>
          </w:p>
        </w:tc>
      </w:tr>
      <w:tr>
        <w:trPr/>
        <w:tc>
          <w:tcPr>
            <w:tcW w:w="2303" w:type="dxa"/>
            <w:tcBorders/>
            <w:vAlign w:val="center"/>
          </w:tcPr>
          <w:p>
            <w:pPr>
              <w:pStyle w:val="Normal"/>
              <w:rPr/>
            </w:pPr>
            <w:r>
              <w:rPr/>
              <w:t>Regulatory Confusion</w:t>
            </w:r>
          </w:p>
        </w:tc>
        <w:tc>
          <w:tcPr>
            <w:tcW w:w="3702" w:type="dxa"/>
            <w:tcBorders/>
            <w:vAlign w:val="center"/>
          </w:tcPr>
          <w:p>
            <w:pPr>
              <w:pStyle w:val="Normal"/>
              <w:rPr/>
            </w:pPr>
            <w:r>
              <w:rPr/>
              <w:t>60 (n = 104)</w:t>
            </w:r>
          </w:p>
        </w:tc>
        <w:tc>
          <w:tcPr>
            <w:tcW w:w="3898" w:type="dxa"/>
            <w:tcBorders/>
            <w:vAlign w:val="center"/>
          </w:tcPr>
          <w:p>
            <w:pPr>
              <w:pStyle w:val="Normal"/>
              <w:rPr/>
            </w:pPr>
            <w:r>
              <w:rPr/>
              <w:t>67 (n = 38)</w:t>
            </w:r>
          </w:p>
        </w:tc>
      </w:tr>
      <w:tr>
        <w:trPr/>
        <w:tc>
          <w:tcPr>
            <w:tcW w:w="2303" w:type="dxa"/>
            <w:tcBorders/>
            <w:vAlign w:val="center"/>
          </w:tcPr>
          <w:p>
            <w:pPr>
              <w:pStyle w:val="Normal"/>
              <w:rPr/>
            </w:pPr>
            <w:r>
              <w:rPr/>
              <w:t>Lack of Expertise</w:t>
            </w:r>
          </w:p>
        </w:tc>
        <w:tc>
          <w:tcPr>
            <w:tcW w:w="3702" w:type="dxa"/>
            <w:tcBorders/>
            <w:vAlign w:val="center"/>
          </w:tcPr>
          <w:p>
            <w:pPr>
              <w:pStyle w:val="Normal"/>
              <w:rPr/>
            </w:pPr>
            <w:r>
              <w:rPr/>
              <w:t>45 (n = 78)</w:t>
            </w:r>
          </w:p>
        </w:tc>
        <w:tc>
          <w:tcPr>
            <w:tcW w:w="3898" w:type="dxa"/>
            <w:tcBorders/>
            <w:vAlign w:val="center"/>
          </w:tcPr>
          <w:p>
            <w:pPr>
              <w:pStyle w:val="Normal"/>
              <w:rPr/>
            </w:pPr>
            <w:r>
              <w:rPr/>
              <w:t>54 (n = 31)</w:t>
            </w:r>
          </w:p>
        </w:tc>
      </w:tr>
      <w:tr>
        <w:trPr/>
        <w:tc>
          <w:tcPr>
            <w:tcW w:w="2303" w:type="dxa"/>
            <w:tcBorders/>
            <w:vAlign w:val="center"/>
          </w:tcPr>
          <w:p>
            <w:pPr>
              <w:pStyle w:val="Normal"/>
              <w:rPr/>
            </w:pPr>
            <w:r>
              <w:rPr/>
              <w:t>Weak Enforcement</w:t>
            </w:r>
          </w:p>
        </w:tc>
        <w:tc>
          <w:tcPr>
            <w:tcW w:w="3702" w:type="dxa"/>
            <w:tcBorders/>
            <w:vAlign w:val="center"/>
          </w:tcPr>
          <w:p>
            <w:pPr>
              <w:pStyle w:val="Normal"/>
              <w:rPr/>
            </w:pPr>
            <w:r>
              <w:rPr/>
              <w:t>40 (n = 69)</w:t>
            </w:r>
          </w:p>
        </w:tc>
        <w:tc>
          <w:tcPr>
            <w:tcW w:w="3898" w:type="dxa"/>
            <w:tcBorders/>
            <w:vAlign w:val="center"/>
          </w:tcPr>
          <w:p>
            <w:pPr>
              <w:pStyle w:val="Normal"/>
              <w:rPr/>
            </w:pPr>
            <w:r>
              <w:rPr/>
              <w:t>46 (n = 26)</w:t>
            </w:r>
          </w:p>
        </w:tc>
      </w:tr>
      <w:tr>
        <w:trPr/>
        <w:tc>
          <w:tcPr>
            <w:tcW w:w="2303" w:type="dxa"/>
            <w:tcBorders/>
            <w:vAlign w:val="center"/>
          </w:tcPr>
          <w:p>
            <w:pPr>
              <w:pStyle w:val="Normal"/>
              <w:rPr/>
            </w:pPr>
            <w:r>
              <w:rPr/>
              <w:t>Need for Transparency</w:t>
            </w:r>
          </w:p>
        </w:tc>
        <w:tc>
          <w:tcPr>
            <w:tcW w:w="3702" w:type="dxa"/>
            <w:tcBorders/>
            <w:vAlign w:val="center"/>
          </w:tcPr>
          <w:p>
            <w:pPr>
              <w:pStyle w:val="Normal"/>
              <w:rPr/>
            </w:pPr>
            <w:r>
              <w:rPr/>
              <w:t>35 (n = 61)</w:t>
            </w:r>
          </w:p>
        </w:tc>
        <w:tc>
          <w:tcPr>
            <w:tcW w:w="3898" w:type="dxa"/>
            <w:tcBorders/>
            <w:vAlign w:val="center"/>
          </w:tcPr>
          <w:p>
            <w:pPr>
              <w:pStyle w:val="Normal"/>
              <w:rPr/>
            </w:pPr>
            <w:r>
              <w:rPr/>
              <w:t>42 (n = 24)</w:t>
            </w:r>
          </w:p>
        </w:tc>
      </w:tr>
      <w:tr>
        <w:trPr/>
        <w:tc>
          <w:tcPr>
            <w:tcW w:w="2303" w:type="dxa"/>
            <w:tcBorders/>
            <w:vAlign w:val="center"/>
          </w:tcPr>
          <w:p>
            <w:pPr>
              <w:pStyle w:val="Normal"/>
              <w:rPr/>
            </w:pPr>
            <w:r>
              <w:rPr/>
              <w:t>Stakeholder Influence</w:t>
            </w:r>
          </w:p>
        </w:tc>
        <w:tc>
          <w:tcPr>
            <w:tcW w:w="3702" w:type="dxa"/>
            <w:tcBorders/>
            <w:vAlign w:val="center"/>
          </w:tcPr>
          <w:p>
            <w:pPr>
              <w:pStyle w:val="Normal"/>
              <w:rPr/>
            </w:pPr>
            <w:r>
              <w:rPr/>
              <w:t>22 (n = 38)</w:t>
            </w:r>
          </w:p>
        </w:tc>
        <w:tc>
          <w:tcPr>
            <w:tcW w:w="3898" w:type="dxa"/>
            <w:tcBorders/>
            <w:vAlign w:val="center"/>
          </w:tcPr>
          <w:p>
            <w:pPr>
              <w:pStyle w:val="Normal"/>
              <w:rPr/>
            </w:pPr>
            <w:r>
              <w:rPr/>
              <w:t>30 (n = 17)</w:t>
            </w:r>
          </w:p>
        </w:tc>
      </w:tr>
    </w:tbl>
    <w:p>
      <w:pPr>
        <w:pStyle w:val="Normal"/>
        <w:rPr/>
      </w:pPr>
      <w:r>
        <w:rPr/>
      </w:r>
    </w:p>
    <w:p>
      <w:pPr>
        <w:pStyle w:val="Normal"/>
        <w:rPr/>
      </w:pPr>
      <w:r>
        <w:rPr>
          <w:b/>
          <w:bCs/>
        </w:rPr>
        <w:t>Note.</w:t>
      </w:r>
      <w:r>
        <w:rPr/>
        <w:t xml:space="preserve"> Total responses, n ≈ 140. Large banks defined as having total assets &gt; N10 trillion; medium banks N3–10 trillion, per Kafidipe (2021).</w:t>
      </w:r>
    </w:p>
    <w:p>
      <w:pPr>
        <w:pStyle w:val="Normal"/>
        <w:rPr/>
      </w:pPr>
      <w:r>
        <w:rPr>
          <w:b/>
          <w:bCs/>
        </w:rPr>
        <w:t>Differences:</w:t>
      </w:r>
      <w:r>
        <w:rPr/>
        <w:t xml:space="preserve"> Medium banks report higher frequencies (e.g., Regulatory Confusion 67% vs. 60%), possibly due to fewer resources for compliance.</w:t>
      </w:r>
    </w:p>
    <w:p>
      <w:pPr>
        <w:pStyle w:val="Normal"/>
        <w:rPr/>
      </w:pPr>
      <w:r>
        <w:rPr/>
        <w:t>Table 4.7b provides bootstrapped CIs for overall frequencies.</w:t>
      </w:r>
    </w:p>
    <w:p>
      <w:pPr>
        <w:pStyle w:val="Normal"/>
        <w:rPr>
          <w:b/>
          <w:bCs/>
        </w:rPr>
      </w:pPr>
      <w:r>
        <w:rPr>
          <w:b/>
          <w:bCs/>
        </w:rPr>
        <w:t>Table 4.7b: Bootstrapped Confidence Intervals for Theme Frequencies</w:t>
      </w:r>
    </w:p>
    <w:p>
      <w:pPr>
        <w:pStyle w:val="Normal"/>
        <w:rPr/>
      </w:pPr>
      <w:r>
        <w:rPr/>
      </w:r>
    </w:p>
    <w:tbl>
      <w:tblPr>
        <w:tblW w:w="7360" w:type="dxa"/>
        <w:jc w:val="start"/>
        <w:tblInd w:w="0" w:type="dxa"/>
        <w:tblLayout w:type="fixed"/>
        <w:tblCellMar>
          <w:top w:w="15" w:type="dxa"/>
          <w:start w:w="15" w:type="dxa"/>
          <w:bottom w:w="15" w:type="dxa"/>
          <w:end w:w="15" w:type="dxa"/>
        </w:tblCellMar>
      </w:tblPr>
      <w:tblGrid>
        <w:gridCol w:w="2302"/>
        <w:gridCol w:w="2250"/>
        <w:gridCol w:w="1394"/>
        <w:gridCol w:w="1414"/>
      </w:tblGrid>
      <w:tr>
        <w:trPr>
          <w:tblHeader w:val="true"/>
        </w:trPr>
        <w:tc>
          <w:tcPr>
            <w:tcW w:w="2302" w:type="dxa"/>
            <w:tcBorders/>
            <w:vAlign w:val="center"/>
          </w:tcPr>
          <w:p>
            <w:pPr>
              <w:pStyle w:val="Normal"/>
              <w:rPr>
                <w:b/>
                <w:bCs/>
              </w:rPr>
            </w:pPr>
            <w:r>
              <w:rPr>
                <w:b/>
                <w:bCs/>
              </w:rPr>
              <w:t>Theme</w:t>
            </w:r>
          </w:p>
        </w:tc>
        <w:tc>
          <w:tcPr>
            <w:tcW w:w="2250" w:type="dxa"/>
            <w:tcBorders/>
            <w:vAlign w:val="center"/>
          </w:tcPr>
          <w:p>
            <w:pPr>
              <w:pStyle w:val="Normal"/>
              <w:rPr>
                <w:b/>
                <w:bCs/>
              </w:rPr>
            </w:pPr>
            <w:r>
              <w:rPr>
                <w:b/>
                <w:bCs/>
              </w:rPr>
              <w:t>Overall Frequency (%)</w:t>
            </w:r>
          </w:p>
        </w:tc>
        <w:tc>
          <w:tcPr>
            <w:tcW w:w="1394" w:type="dxa"/>
            <w:tcBorders/>
            <w:vAlign w:val="center"/>
          </w:tcPr>
          <w:p>
            <w:pPr>
              <w:pStyle w:val="Normal"/>
              <w:rPr>
                <w:b/>
                <w:bCs/>
              </w:rPr>
            </w:pPr>
            <w:r>
              <w:rPr>
                <w:b/>
                <w:bCs/>
              </w:rPr>
              <w:t>95% CI Lower</w:t>
            </w:r>
          </w:p>
        </w:tc>
        <w:tc>
          <w:tcPr>
            <w:tcW w:w="1414" w:type="dxa"/>
            <w:tcBorders/>
            <w:vAlign w:val="center"/>
          </w:tcPr>
          <w:p>
            <w:pPr>
              <w:pStyle w:val="Normal"/>
              <w:rPr>
                <w:b/>
                <w:bCs/>
              </w:rPr>
            </w:pPr>
            <w:r>
              <w:rPr>
                <w:b/>
                <w:bCs/>
              </w:rPr>
              <w:t>95% CI Upper</w:t>
            </w:r>
          </w:p>
        </w:tc>
      </w:tr>
      <w:tr>
        <w:trPr/>
        <w:tc>
          <w:tcPr>
            <w:tcW w:w="2302" w:type="dxa"/>
            <w:tcBorders/>
            <w:vAlign w:val="center"/>
          </w:tcPr>
          <w:p>
            <w:pPr>
              <w:pStyle w:val="Normal"/>
              <w:rPr/>
            </w:pPr>
            <w:r>
              <w:rPr/>
              <w:t>Regulatory Confusion</w:t>
            </w:r>
          </w:p>
        </w:tc>
        <w:tc>
          <w:tcPr>
            <w:tcW w:w="2250" w:type="dxa"/>
            <w:tcBorders/>
            <w:vAlign w:val="center"/>
          </w:tcPr>
          <w:p>
            <w:pPr>
              <w:pStyle w:val="Normal"/>
              <w:rPr/>
            </w:pPr>
            <w:r>
              <w:rPr/>
              <w:t>62</w:t>
            </w:r>
          </w:p>
        </w:tc>
        <w:tc>
          <w:tcPr>
            <w:tcW w:w="1394" w:type="dxa"/>
            <w:tcBorders/>
            <w:vAlign w:val="center"/>
          </w:tcPr>
          <w:p>
            <w:pPr>
              <w:pStyle w:val="Normal"/>
              <w:rPr/>
            </w:pPr>
            <w:r>
              <w:rPr/>
              <w:t>58</w:t>
            </w:r>
          </w:p>
        </w:tc>
        <w:tc>
          <w:tcPr>
            <w:tcW w:w="1414" w:type="dxa"/>
            <w:tcBorders/>
            <w:vAlign w:val="center"/>
          </w:tcPr>
          <w:p>
            <w:pPr>
              <w:pStyle w:val="Normal"/>
              <w:rPr/>
            </w:pPr>
            <w:r>
              <w:rPr/>
              <w:t>66</w:t>
            </w:r>
          </w:p>
        </w:tc>
      </w:tr>
      <w:tr>
        <w:trPr/>
        <w:tc>
          <w:tcPr>
            <w:tcW w:w="2302" w:type="dxa"/>
            <w:tcBorders/>
            <w:vAlign w:val="center"/>
          </w:tcPr>
          <w:p>
            <w:pPr>
              <w:pStyle w:val="Normal"/>
              <w:rPr/>
            </w:pPr>
            <w:r>
              <w:rPr/>
              <w:t>Lack of Expertise</w:t>
            </w:r>
          </w:p>
        </w:tc>
        <w:tc>
          <w:tcPr>
            <w:tcW w:w="2250" w:type="dxa"/>
            <w:tcBorders/>
            <w:vAlign w:val="center"/>
          </w:tcPr>
          <w:p>
            <w:pPr>
              <w:pStyle w:val="Normal"/>
              <w:rPr/>
            </w:pPr>
            <w:r>
              <w:rPr/>
              <w:t>48</w:t>
            </w:r>
          </w:p>
        </w:tc>
        <w:tc>
          <w:tcPr>
            <w:tcW w:w="1394" w:type="dxa"/>
            <w:tcBorders/>
            <w:vAlign w:val="center"/>
          </w:tcPr>
          <w:p>
            <w:pPr>
              <w:pStyle w:val="Normal"/>
              <w:rPr/>
            </w:pPr>
            <w:r>
              <w:rPr/>
              <w:t>44</w:t>
            </w:r>
          </w:p>
        </w:tc>
        <w:tc>
          <w:tcPr>
            <w:tcW w:w="1414" w:type="dxa"/>
            <w:tcBorders/>
            <w:vAlign w:val="center"/>
          </w:tcPr>
          <w:p>
            <w:pPr>
              <w:pStyle w:val="Normal"/>
              <w:rPr/>
            </w:pPr>
            <w:r>
              <w:rPr/>
              <w:t>52</w:t>
            </w:r>
          </w:p>
        </w:tc>
      </w:tr>
      <w:tr>
        <w:trPr/>
        <w:tc>
          <w:tcPr>
            <w:tcW w:w="2302" w:type="dxa"/>
            <w:tcBorders/>
            <w:vAlign w:val="center"/>
          </w:tcPr>
          <w:p>
            <w:pPr>
              <w:pStyle w:val="Normal"/>
              <w:rPr/>
            </w:pPr>
            <w:r>
              <w:rPr/>
              <w:t>Weak Enforcement</w:t>
            </w:r>
          </w:p>
        </w:tc>
        <w:tc>
          <w:tcPr>
            <w:tcW w:w="2250" w:type="dxa"/>
            <w:tcBorders/>
            <w:vAlign w:val="center"/>
          </w:tcPr>
          <w:p>
            <w:pPr>
              <w:pStyle w:val="Normal"/>
              <w:rPr/>
            </w:pPr>
            <w:r>
              <w:rPr/>
              <w:t>42</w:t>
            </w:r>
          </w:p>
        </w:tc>
        <w:tc>
          <w:tcPr>
            <w:tcW w:w="1394" w:type="dxa"/>
            <w:tcBorders/>
            <w:vAlign w:val="center"/>
          </w:tcPr>
          <w:p>
            <w:pPr>
              <w:pStyle w:val="Normal"/>
              <w:rPr/>
            </w:pPr>
            <w:r>
              <w:rPr/>
              <w:t>38</w:t>
            </w:r>
          </w:p>
        </w:tc>
        <w:tc>
          <w:tcPr>
            <w:tcW w:w="1414" w:type="dxa"/>
            <w:tcBorders/>
            <w:vAlign w:val="center"/>
          </w:tcPr>
          <w:p>
            <w:pPr>
              <w:pStyle w:val="Normal"/>
              <w:rPr/>
            </w:pPr>
            <w:r>
              <w:rPr/>
              <w:t>46</w:t>
            </w:r>
          </w:p>
        </w:tc>
      </w:tr>
      <w:tr>
        <w:trPr/>
        <w:tc>
          <w:tcPr>
            <w:tcW w:w="2302" w:type="dxa"/>
            <w:tcBorders/>
            <w:vAlign w:val="center"/>
          </w:tcPr>
          <w:p>
            <w:pPr>
              <w:pStyle w:val="Normal"/>
              <w:rPr/>
            </w:pPr>
            <w:r>
              <w:rPr/>
              <w:t>Need for Transparency</w:t>
            </w:r>
          </w:p>
        </w:tc>
        <w:tc>
          <w:tcPr>
            <w:tcW w:w="2250" w:type="dxa"/>
            <w:tcBorders/>
            <w:vAlign w:val="center"/>
          </w:tcPr>
          <w:p>
            <w:pPr>
              <w:pStyle w:val="Normal"/>
              <w:rPr/>
            </w:pPr>
            <w:r>
              <w:rPr/>
              <w:t>38</w:t>
            </w:r>
          </w:p>
        </w:tc>
        <w:tc>
          <w:tcPr>
            <w:tcW w:w="1394" w:type="dxa"/>
            <w:tcBorders/>
            <w:vAlign w:val="center"/>
          </w:tcPr>
          <w:p>
            <w:pPr>
              <w:pStyle w:val="Normal"/>
              <w:rPr/>
            </w:pPr>
            <w:r>
              <w:rPr/>
              <w:t>34</w:t>
            </w:r>
          </w:p>
        </w:tc>
        <w:tc>
          <w:tcPr>
            <w:tcW w:w="1414" w:type="dxa"/>
            <w:tcBorders/>
            <w:vAlign w:val="center"/>
          </w:tcPr>
          <w:p>
            <w:pPr>
              <w:pStyle w:val="Normal"/>
              <w:rPr/>
            </w:pPr>
            <w:r>
              <w:rPr/>
              <w:t>42</w:t>
            </w:r>
          </w:p>
        </w:tc>
      </w:tr>
      <w:tr>
        <w:trPr/>
        <w:tc>
          <w:tcPr>
            <w:tcW w:w="2302" w:type="dxa"/>
            <w:tcBorders/>
            <w:vAlign w:val="center"/>
          </w:tcPr>
          <w:p>
            <w:pPr>
              <w:pStyle w:val="Normal"/>
              <w:rPr/>
            </w:pPr>
            <w:r>
              <w:rPr/>
              <w:t>Stakeholder Influence</w:t>
            </w:r>
          </w:p>
        </w:tc>
        <w:tc>
          <w:tcPr>
            <w:tcW w:w="2250" w:type="dxa"/>
            <w:tcBorders/>
            <w:vAlign w:val="center"/>
          </w:tcPr>
          <w:p>
            <w:pPr>
              <w:pStyle w:val="Normal"/>
              <w:rPr/>
            </w:pPr>
            <w:r>
              <w:rPr/>
              <w:t>25</w:t>
            </w:r>
          </w:p>
        </w:tc>
        <w:tc>
          <w:tcPr>
            <w:tcW w:w="1394" w:type="dxa"/>
            <w:tcBorders/>
            <w:vAlign w:val="center"/>
          </w:tcPr>
          <w:p>
            <w:pPr>
              <w:pStyle w:val="Normal"/>
              <w:rPr/>
            </w:pPr>
            <w:r>
              <w:rPr/>
              <w:t>21</w:t>
            </w:r>
          </w:p>
        </w:tc>
        <w:tc>
          <w:tcPr>
            <w:tcW w:w="1414" w:type="dxa"/>
            <w:tcBorders/>
            <w:vAlign w:val="center"/>
          </w:tcPr>
          <w:p>
            <w:pPr>
              <w:pStyle w:val="Normal"/>
              <w:rPr/>
            </w:pPr>
            <w:r>
              <w:rPr/>
              <w:t>29</w:t>
            </w:r>
          </w:p>
        </w:tc>
      </w:tr>
    </w:tbl>
    <w:p>
      <w:pPr>
        <w:pStyle w:val="Normal"/>
        <w:rPr/>
      </w:pPr>
      <w:r>
        <w:rPr/>
      </w:r>
    </w:p>
    <w:p>
      <w:pPr>
        <w:pStyle w:val="Normal"/>
        <w:rPr/>
      </w:pPr>
      <w:r>
        <w:rPr/>
      </w:r>
    </w:p>
    <w:p>
      <w:pPr>
        <w:pStyle w:val="Normal"/>
        <w:rPr/>
      </w:pPr>
      <w:r>
        <w:rPr>
          <w:b/>
          <w:bCs/>
        </w:rPr>
        <w:t>Note.</w:t>
      </w:r>
      <w:r>
        <w:rPr/>
        <w:t xml:space="preserve"> Total responses, n ≈ 140. Confidence intervals based on 1,000 bootstrap resamples of proportions conducted in Python, as per Efron and Tibshirani (1993). Inter-coder agreement on a subset of 50 responses: 88%.</w:t>
      </w:r>
    </w:p>
    <w:p>
      <w:pPr>
        <w:pStyle w:val="Normal"/>
        <w:rPr/>
      </w:pPr>
      <w:r>
        <w:rPr>
          <w:b/>
          <w:bCs/>
        </w:rPr>
        <w:t>Interpretation:</w:t>
      </w:r>
      <w:r>
        <w:rPr/>
        <w:t xml:space="preserve"> Narrow CIs (e.g., Regulatory Confusion [58, 66]) indicate reliable prevalence estimates, supporting the themes' validity.</w:t>
      </w:r>
    </w:p>
    <w:p>
      <w:pPr>
        <w:sectPr>
          <w:footerReference w:type="default" r:id="rId26"/>
          <w:footerReference w:type="first" r:id="rId27"/>
          <w:type w:val="nextPage"/>
          <w:pgSz w:w="12240" w:h="15840"/>
          <w:pgMar w:left="1134" w:right="1134" w:gutter="0" w:header="0" w:top="1134" w:footer="0" w:bottom="1134"/>
          <w:pgNumType w:fmt="decimal"/>
          <w:formProt w:val="false"/>
          <w:textDirection w:val="lrTb"/>
          <w:docGrid w:type="default" w:linePitch="326" w:charSpace="0"/>
        </w:sectPr>
        <w:pStyle w:val="Normal"/>
        <w:spacing w:before="0" w:after="0"/>
        <w:rPr/>
      </w:pPr>
      <w:r>
        <w:rPr/>
        <w:t>Overall, this analysis reinforces CG's role in NPL mitigation, with bank-level data highlighting reform priorities (e.g., transparency in high-NPL banks like First Bank).</w:t>
      </w:r>
    </w:p>
    <w:p>
      <w:pPr>
        <w:pStyle w:val="Heading2"/>
        <w:rPr/>
      </w:pPr>
      <w:bookmarkStart w:id="230" w:name="_Toc205059295"/>
      <w:bookmarkStart w:id="231" w:name="_Toc205059512"/>
      <w:bookmarkStart w:id="232" w:name="_Toc205059606"/>
      <w:bookmarkStart w:id="233" w:name="_Toc205059667"/>
      <w:bookmarkStart w:id="234" w:name="_Toc203671446"/>
      <w:bookmarkStart w:id="235" w:name="_Toc203671496"/>
      <w:r>
        <w:rPr/>
        <w:t>4.7 Qualitative Findings from Interviews</w:t>
      </w:r>
      <w:bookmarkEnd w:id="230"/>
      <w:bookmarkEnd w:id="231"/>
      <w:bookmarkEnd w:id="232"/>
      <w:bookmarkEnd w:id="233"/>
      <w:bookmarkEnd w:id="234"/>
      <w:bookmarkEnd w:id="235"/>
      <w:r>
        <w:rPr/>
        <w:t xml:space="preserve">  </w:t>
      </w:r>
    </w:p>
    <w:p>
      <w:pPr>
        <w:pStyle w:val="Normal"/>
        <w:rPr/>
      </w:pPr>
      <w:r>
        <w:rPr/>
        <w:t>This subsection presents the qualitative findings from semi-structured interviews conducted with 10 high-level banking officials in Abuja, Nigeria, representing a 50% response rate from 20 scheduled interviews. The interviews, conducted in private office settings between March and June 2025, lasted 30–60 minutes (averaging 40 minutes) and generated approximately 40,000 words of transcribed data. Participants included 5 CEOs/board chairs and 5 executive managers (e.g., risk officers, auditors), selected purposively for their expertise in corporate governance (CG) and oversight roles within Nigerian Deposit Money Banks (DMBs). Thematic analysis, conducted using NVivo 14 and guided by Braun and Clarke’s (2006) six-phase framework, identified five core themes: Risk Management Challenges, Regulatory Multiplicity and Confusion, Transparency and Accountability Issues, Lack of Expertise and Qualifications, and General Banking Practices and Systemic Risks. These themes align with the study’s CG tenets (Tenet 1: Bank Governance and Risk Management; Tenet 2: Corporate Governance and Bank Practice; Tenet 3: Regulatory Multiplicity; Tenet 4: Transparency and Accountability) and address research objectives (OB1–OB4) and questions (RQ1–RQ4). Saturation was achieved after 8 interviews, with no new themes emerging, consistent with Guest et al. (2006). To ensure rigor, 20% of transcripts were double-coded by an independent researcher, yielding an inter-coder agreement of 85% (Cohen’s Kappa=0.82, indicating excellent reliability). Themes were triangulated with quantitative findings (Section 4.2) and secondary data (e.g., CBN 2025, NDIC 2024) to contextualize governance deficiencies driving Non-Performing Loan (NPL) ratios. Full transcripts and coded excerpts are in Appendix C, with a theme network visualization (Figure 4.6, NVivo-generated) illustrating interconnections.</w:t>
      </w:r>
    </w:p>
    <w:p>
      <w:pPr>
        <w:pStyle w:val="Normal"/>
        <w:rPr/>
      </w:pPr>
      <w:r>
        <w:rPr/>
      </w:r>
    </w:p>
    <w:p>
      <w:pPr>
        <w:pStyle w:val="Caption"/>
        <w:rPr/>
      </w:pPr>
      <w:r>
        <w:rPr/>
        <w:t>Table 4.8: Themes from Semi-Structured Interviews</w:t>
      </w:r>
    </w:p>
    <w:tbl>
      <w:tblPr>
        <w:tblW w:w="13624" w:type="dxa"/>
        <w:jc w:val="start"/>
        <w:tblInd w:w="0" w:type="dxa"/>
        <w:tblLayout w:type="fixed"/>
        <w:tblCellMar>
          <w:top w:w="0" w:type="dxa"/>
          <w:start w:w="108" w:type="dxa"/>
          <w:bottom w:w="0" w:type="dxa"/>
          <w:end w:w="108" w:type="dxa"/>
        </w:tblCellMar>
      </w:tblPr>
      <w:tblGrid>
        <w:gridCol w:w="2252"/>
        <w:gridCol w:w="1636"/>
        <w:gridCol w:w="335"/>
        <w:gridCol w:w="9401"/>
      </w:tblGrid>
      <w:tr>
        <w:trPr>
          <w:trHeight w:val="773" w:hRule="atLeast"/>
        </w:trPr>
        <w:tc>
          <w:tcPr>
            <w:tcW w:w="2252" w:type="dxa"/>
            <w:tcBorders>
              <w:top w:val="single" w:sz="4" w:space="0" w:color="BDD6EE"/>
              <w:start w:val="single" w:sz="4" w:space="0" w:color="BDD6EE"/>
              <w:bottom w:val="single" w:sz="12" w:space="0" w:color="9CC2E5"/>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Theme</w:t>
            </w:r>
          </w:p>
        </w:tc>
        <w:tc>
          <w:tcPr>
            <w:tcW w:w="1636" w:type="dxa"/>
            <w:tcBorders>
              <w:top w:val="single" w:sz="4" w:space="0" w:color="BDD6EE"/>
              <w:start w:val="single" w:sz="4" w:space="0" w:color="BDD6EE"/>
              <w:bottom w:val="single" w:sz="12" w:space="0" w:color="9CC2E5"/>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Frequency (% of Interviews)</w:t>
            </w:r>
          </w:p>
        </w:tc>
        <w:tc>
          <w:tcPr>
            <w:tcW w:w="335" w:type="dxa"/>
            <w:tcBorders>
              <w:top w:val="single" w:sz="4" w:space="0" w:color="BDD6EE"/>
              <w:start w:val="single" w:sz="4" w:space="0" w:color="BDD6EE"/>
              <w:bottom w:val="single" w:sz="12" w:space="0" w:color="9CC2E5"/>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n</w:t>
            </w:r>
          </w:p>
        </w:tc>
        <w:tc>
          <w:tcPr>
            <w:tcW w:w="9401" w:type="dxa"/>
            <w:tcBorders>
              <w:top w:val="single" w:sz="4" w:space="0" w:color="BDD6EE"/>
              <w:start w:val="single" w:sz="4" w:space="0" w:color="BDD6EE"/>
              <w:bottom w:val="single" w:sz="12" w:space="0" w:color="9CC2E5"/>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Sub-Themes and Example Excerpts</w:t>
            </w:r>
          </w:p>
        </w:tc>
      </w:tr>
      <w:tr>
        <w:trPr>
          <w:trHeight w:val="1411" w:hRule="atLeast"/>
        </w:trPr>
        <w:tc>
          <w:tcPr>
            <w:tcW w:w="2252"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Risk Management Challenges</w:t>
            </w:r>
          </w:p>
        </w:tc>
        <w:tc>
          <w:tcPr>
            <w:tcW w:w="1636"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90</w:t>
            </w:r>
          </w:p>
        </w:tc>
        <w:tc>
          <w:tcPr>
            <w:tcW w:w="335"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9</w:t>
            </w:r>
          </w:p>
        </w:tc>
        <w:tc>
          <w:tcPr>
            <w:tcW w:w="9401"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Loan default risks (70%, n = 7): "No 100% certainty that loans will be repaid"; KYC and CRC processes (60%, n = 6): "KYC is critical but inadequate for first-time borrowers"; Infrastructure gaps (50%, n = 5): "Lack of infrastructure compounds risks." Example: "Risk assets are loans given out, but it's 50/50—no guarantee of income."</w:t>
            </w:r>
          </w:p>
        </w:tc>
      </w:tr>
      <w:tr>
        <w:trPr>
          <w:trHeight w:val="1397" w:hRule="atLeast"/>
        </w:trPr>
        <w:tc>
          <w:tcPr>
            <w:tcW w:w="2252"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Regulatory Multiplicity and Confusion</w:t>
            </w:r>
          </w:p>
        </w:tc>
        <w:tc>
          <w:tcPr>
            <w:tcW w:w="1636"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80</w:t>
            </w:r>
          </w:p>
        </w:tc>
        <w:tc>
          <w:tcPr>
            <w:tcW w:w="335"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8</w:t>
            </w:r>
          </w:p>
        </w:tc>
        <w:tc>
          <w:tcPr>
            <w:tcW w:w="9401"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Code conflicts (50%, n = 5): "Too many regulations make it confusing"; Enforcement issues (40%, n = 4): "Judicial system is weak"; Process inefficiencies (40%, n = 4): "Regulations prolong processes unnecessarily." Example: "Nigeria has regulation multiplicity—so many rules controlling one thing, easier to manipulate."</w:t>
            </w:r>
          </w:p>
        </w:tc>
      </w:tr>
      <w:tr>
        <w:trPr>
          <w:trHeight w:val="1411" w:hRule="atLeast"/>
        </w:trPr>
        <w:tc>
          <w:tcPr>
            <w:tcW w:w="2252"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Transparency and Accountability Issues</w:t>
            </w:r>
          </w:p>
        </w:tc>
        <w:tc>
          <w:tcPr>
            <w:tcW w:w="1636"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70</w:t>
            </w:r>
          </w:p>
        </w:tc>
        <w:tc>
          <w:tcPr>
            <w:tcW w:w="335"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7</w:t>
            </w:r>
          </w:p>
        </w:tc>
        <w:tc>
          <w:tcPr>
            <w:tcW w:w="9401"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Audit committee effectiveness (50%, n = 5): "Audit process is transparent but influenced"; Undue executive influence (40%, n = 4): "There might be undue influence on executives"; Accountability in boards (30%, n = 3): "Boards hold themselves accountable, but more needed." Example: "Transparency comes first before profitability; it's core to banking."</w:t>
            </w:r>
          </w:p>
        </w:tc>
      </w:tr>
      <w:tr>
        <w:trPr>
          <w:trHeight w:val="1411" w:hRule="atLeast"/>
        </w:trPr>
        <w:tc>
          <w:tcPr>
            <w:tcW w:w="2252"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Lack of Expertise and Qualifications</w:t>
            </w:r>
          </w:p>
        </w:tc>
        <w:tc>
          <w:tcPr>
            <w:tcW w:w="1636"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60</w:t>
            </w:r>
          </w:p>
        </w:tc>
        <w:tc>
          <w:tcPr>
            <w:tcW w:w="335"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6</w:t>
            </w:r>
          </w:p>
        </w:tc>
        <w:tc>
          <w:tcPr>
            <w:tcW w:w="9401"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Qualification gaps (40%, n = 4): "Directors lack expertise"; Impact on decision-making (30%, n = 3): "Unqualified appointments due to ownership influence"; Need for financial experts (30%, n = 3): "Experienced experts needed for success." Example: "Lack of expertise in interpreting complex issues."</w:t>
            </w:r>
          </w:p>
        </w:tc>
      </w:tr>
      <w:tr>
        <w:trPr>
          <w:trHeight w:val="1397" w:hRule="atLeast"/>
        </w:trPr>
        <w:tc>
          <w:tcPr>
            <w:tcW w:w="2252"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b/>
                <w:bCs/>
                <w:i w:val="false"/>
                <w:iCs w:val="false"/>
                <w:lang w:val="en-US" w:bidi="hi-IN"/>
              </w:rPr>
              <w:t>General Banking Practices and Systemic Risks</w:t>
            </w:r>
          </w:p>
        </w:tc>
        <w:tc>
          <w:tcPr>
            <w:tcW w:w="1636"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50</w:t>
            </w:r>
          </w:p>
        </w:tc>
        <w:tc>
          <w:tcPr>
            <w:tcW w:w="335"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5</w:t>
            </w:r>
          </w:p>
        </w:tc>
        <w:tc>
          <w:tcPr>
            <w:tcW w:w="9401" w:type="dxa"/>
            <w:tcBorders>
              <w:top w:val="single" w:sz="4" w:space="0" w:color="BDD6EE"/>
              <w:start w:val="single" w:sz="4" w:space="0" w:color="BDD6EE"/>
              <w:bottom w:val="single" w:sz="4" w:space="0" w:color="BDD6EE"/>
              <w:end w:val="single" w:sz="4" w:space="0" w:color="BDD6EE"/>
            </w:tcBorders>
          </w:tcPr>
          <w:p>
            <w:pPr>
              <w:pStyle w:val="Caption"/>
              <w:spacing w:before="120" w:after="120"/>
              <w:rPr>
                <w:rFonts w:cs="Calibri"/>
                <w:i w:val="false"/>
                <w:i w:val="false"/>
                <w:iCs w:val="false"/>
              </w:rPr>
            </w:pPr>
            <w:r>
              <w:rPr>
                <w:rFonts w:cs="Calibri"/>
                <w:i w:val="false"/>
                <w:iCs w:val="false"/>
                <w:lang w:val="en-US" w:bidi="hi-IN"/>
              </w:rPr>
              <w:t>Default and recovery (30%, n = 3): "If a loan defaults, recovery is challenging"; Systemic vulnerabilities (20%, n = 2): "Under-collateralized banks pose risks"; Process improvements (20%, n = 2): "Shorten unnecessary processes." Example: "Banking is financial intermediation—risky business."</w:t>
            </w:r>
          </w:p>
        </w:tc>
      </w:tr>
    </w:tbl>
    <w:p>
      <w:pPr>
        <w:sectPr>
          <w:footerReference w:type="default" r:id="rId28"/>
          <w:footerReference w:type="first" r:id="rId29"/>
          <w:type w:val="nextPage"/>
          <w:pgSz w:orient="landscape" w:w="15840" w:h="12240"/>
          <w:pgMar w:left="1134" w:right="1134" w:gutter="0" w:header="0" w:top="1134" w:footer="0" w:bottom="1134"/>
          <w:pgNumType w:fmt="decimal"/>
          <w:formProt w:val="false"/>
          <w:textDirection w:val="lrTb"/>
          <w:docGrid w:type="default" w:linePitch="326" w:charSpace="0"/>
        </w:sectPr>
        <w:pStyle w:val="Caption"/>
        <w:rPr/>
      </w:pPr>
      <w:r>
        <w:rPr/>
        <w:t>Note. Total interviews, n = 10. Interviews lasted 30–60 minutes, conducted with high-level banking officials (e.g., risk officers, managers, auditors, executives). Thematic analysis followed Braun and Clarke (2006), with 20% of transcripts double-coded (inter-coder agreement: 85%). Full transcripts and coded excerpts available in Appendix C.</w:t>
      </w:r>
    </w:p>
    <w:p>
      <w:pPr>
        <w:pStyle w:val="Heading3"/>
        <w:rPr>
          <w:rFonts w:ascii="Times New Roman" w:hAnsi="Times New Roman"/>
        </w:rPr>
      </w:pPr>
      <w:r>
        <w:rPr>
          <w:rStyle w:val="Strong"/>
          <w:b/>
          <w:bCs w:val="false"/>
        </w:rPr>
        <w:t>4.7.1 Detailed Theme Analysis</w:t>
      </w:r>
    </w:p>
    <w:p>
      <w:pPr>
        <w:pStyle w:val="Normal"/>
        <w:rPr/>
      </w:pPr>
      <w:r>
        <w:rPr/>
        <w:t>Each theme is elaborated below, with sub-themes, frequency counts, representative excerpts, and connections to quantitative findings and literature. The analysis highlights how governance deficiencies contribute to NPLs, supporting the study’s aim to propose actionable reforms (OB4).</w:t>
      </w:r>
    </w:p>
    <w:p>
      <w:pPr>
        <w:pStyle w:val="Normal"/>
        <w:rPr/>
      </w:pPr>
      <w:r>
        <w:rPr>
          <w:rStyle w:val="Strong"/>
        </w:rPr>
        <w:t>Theme 1: Risk Management Challenges (90%, n=9)</w:t>
      </w:r>
    </w:p>
    <w:p>
      <w:pPr>
        <w:pStyle w:val="Normal"/>
        <w:rPr/>
      </w:pPr>
      <w:r>
        <w:rPr/>
        <w:t>This theme, the most prevalent, was cited by 9 interviewees, reflecting pervasive concerns about inadequate risk management driving NPLs, aligning with Tenet 1’s low mean (M=2.4, Section 4.2.1) and strong negative correlation with NPLs (r=-0.75, Table 4.6a). Interviewees emphasized systemic issues in loan assessment and monitoring, echoing Adegboye (2020) on post-2017 NPL spikes (20% vs. 5% CBN threshold).</w:t>
      </w:r>
    </w:p>
    <w:p>
      <w:pPr>
        <w:pStyle w:val="Normal"/>
        <w:rPr/>
      </w:pPr>
      <w:r>
        <w:rPr>
          <w:rStyle w:val="Strong"/>
        </w:rPr>
        <w:t>Sub-Themes:</w:t>
      </w:r>
      <w:r>
        <w:rPr/>
        <w:t xml:space="preserve"> </w:t>
      </w:r>
    </w:p>
    <w:p>
      <w:pPr>
        <w:pStyle w:val="Normal"/>
        <w:rPr/>
      </w:pPr>
      <w:r>
        <w:rPr>
          <w:rStyle w:val="Strong"/>
        </w:rPr>
        <w:t>Loan Default Risks (70%, n=7):</w:t>
      </w:r>
      <w:r>
        <w:rPr/>
        <w:t xml:space="preserve"> Interviewees highlighted uncertainty in loan repayment, particularly for high-risk borrowers. I2 (CEO): "Risk assets are loans given out, but it's 50/50—no guarantee of income." This mirrors First Bank’s high NPLs (12.9%, Table 4.6), linked to lax lending.</w:t>
      </w:r>
    </w:p>
    <w:p>
      <w:pPr>
        <w:pStyle w:val="Normal"/>
        <w:rPr/>
      </w:pPr>
      <w:r>
        <w:rPr>
          <w:rStyle w:val="Strong"/>
        </w:rPr>
        <w:t>KYC and CRC Processes (60%, n=6):</w:t>
      </w:r>
      <w:r>
        <w:rPr/>
        <w:t xml:space="preserve"> Weak Know-Your-Customer (KYC) and Credit Risk Control (CRC) processes were noted, especially for new borrowers. I5 (Risk Officer): "KYC is critical but inadequate for first-time borrowers; we lack data to assess them." This supports Basel III non-compliance concerns (BCBS, 2010).</w:t>
      </w:r>
    </w:p>
    <w:p>
      <w:pPr>
        <w:pStyle w:val="Normal"/>
        <w:rPr/>
      </w:pPr>
      <w:r>
        <w:rPr>
          <w:rStyle w:val="Strong"/>
        </w:rPr>
        <w:t>Infrastructure Gaps (50%, n=5):</w:t>
      </w:r>
      <w:r>
        <w:rPr/>
        <w:t xml:space="preserve"> Limited technological and data infrastructure hinders risk assessment. I8 (Executive): "Lack of infrastructure compounds risks; we can’t track borrower histories effectively." This is pronounced in smaller banks like Keystone (n=50, NPL=4.8%).</w:t>
      </w:r>
    </w:p>
    <w:p>
      <w:pPr>
        <w:pStyle w:val="Normal"/>
        <w:rPr/>
      </w:pPr>
      <w:r>
        <w:rPr>
          <w:rStyle w:val="Strong"/>
        </w:rPr>
        <w:t>Linkages:</w:t>
      </w:r>
      <w:r>
        <w:rPr/>
        <w:t xml:space="preserve"> This theme corroborates Tenet 1’s regression coefficient (β=-0.48, Table 4.5), indicating robust risk management reduces NPLs. Interviewees’ focus on politically motivated loans (e.g., I3: "Boards approve risky loans under pressure") aligns with 2009 crisis patterns (Sanusi, 2009), where insider lending inflated NPLs.</w:t>
      </w:r>
    </w:p>
    <w:p>
      <w:pPr>
        <w:pStyle w:val="Normal"/>
        <w:rPr/>
      </w:pPr>
      <w:r>
        <w:rPr>
          <w:rStyle w:val="Strong"/>
          <w:b w:val="false"/>
          <w:bCs w:val="false"/>
        </w:rPr>
        <w:t>Theme 2: Regulatory Multiplicity and Confusion (80%, n=8)</w:t>
      </w:r>
    </w:p>
    <w:p>
      <w:pPr>
        <w:pStyle w:val="Normal"/>
        <w:rPr/>
      </w:pPr>
      <w:r>
        <w:rPr/>
        <w:t>Cited by 8 interviewees, this theme reflects frustration with overlapping governance codes (e.g., CAMA 2020, NCCG 2018, CBN Guidelines 2023), enabling selective compliance and increasing NPLs. It aligns with Tenet 3’s moderate mean (M=4.0) and negative β (-0.32, Table 4.5).</w:t>
      </w:r>
    </w:p>
    <w:p>
      <w:pPr>
        <w:pStyle w:val="Normal"/>
        <w:rPr/>
      </w:pPr>
      <w:r>
        <w:rPr>
          <w:rStyle w:val="Strong"/>
        </w:rPr>
        <w:t>Sub-Themes:</w:t>
      </w:r>
      <w:r>
        <w:rPr/>
        <w:t xml:space="preserve"> </w:t>
      </w:r>
    </w:p>
    <w:p>
      <w:pPr>
        <w:pStyle w:val="Normal"/>
        <w:rPr/>
      </w:pPr>
      <w:r>
        <w:rPr>
          <w:rStyle w:val="Strong"/>
        </w:rPr>
        <w:t>Code Conflicts (50%, n=5):</w:t>
      </w:r>
      <w:r>
        <w:rPr/>
        <w:t xml:space="preserve"> Discrepancies between codes create ambiguity. I7 (Board Chair): "Too many regulations make it confusing; CBN’s strict rules clash with NCCG’s flexibility." This echoes Abdulmalik and Ahmad (2020).</w:t>
      </w:r>
    </w:p>
    <w:p>
      <w:pPr>
        <w:pStyle w:val="Normal"/>
        <w:rPr/>
      </w:pPr>
      <w:r>
        <w:rPr>
          <w:rStyle w:val="Strong"/>
        </w:rPr>
        <w:t>Enforcement Issues (40%, n=4):</w:t>
      </w:r>
      <w:r>
        <w:rPr/>
        <w:t xml:space="preserve"> Weak judicial and regulatory enforcement allows evasion. I4 (Executive): "Judicial system is weak; CBN sanctions lack teeth." This supports Nwoke et al. (2023) on enforcement gaps.</w:t>
      </w:r>
    </w:p>
    <w:p>
      <w:pPr>
        <w:pStyle w:val="Normal"/>
        <w:rPr/>
      </w:pPr>
      <w:r>
        <w:rPr>
          <w:rStyle w:val="Strong"/>
        </w:rPr>
        <w:t>Process Inefficiencies (40%, n=4):</w:t>
      </w:r>
      <w:r>
        <w:rPr/>
        <w:t xml:space="preserve"> Overlapping rules slow decision-making. I9 (CEO): "Regulations prolong processes unnecessarily, delaying risk mitigation." This is evident in high-NPL banks like Ecobank (9.5%).</w:t>
      </w:r>
    </w:p>
    <w:p>
      <w:pPr>
        <w:pStyle w:val="Normal"/>
        <w:rPr/>
      </w:pPr>
      <w:r>
        <w:rPr>
          <w:rStyle w:val="Strong"/>
        </w:rPr>
        <w:t>Linkages:</w:t>
      </w:r>
      <w:r>
        <w:rPr/>
        <w:t xml:space="preserve"> The theme supports Tenet 3’s quantitative impact (r=-0.60, Table 4.6a), with narratives explaining how multiplicity enables fraud concealment, inflating NPLs. CEOs (100% prevalence) emphasized this more than executives (60%), reflecting their regulatory oversight roles.</w:t>
      </w:r>
    </w:p>
    <w:p>
      <w:pPr>
        <w:pStyle w:val="Normal"/>
        <w:rPr/>
      </w:pPr>
      <w:r>
        <w:rPr>
          <w:rStyle w:val="Strong"/>
        </w:rPr>
        <w:t>Theme 3: Transparency and Accountability Issues (70%, n=7)</w:t>
      </w:r>
    </w:p>
    <w:p>
      <w:pPr>
        <w:pStyle w:val="Normal"/>
        <w:rPr/>
      </w:pPr>
      <w:r>
        <w:rPr/>
        <w:t>Seven interviewees cited compromised audit committees and weak whistleblowing as barriers to transparency, aligning with Tenet 4’s low mean (M=1.8) and β=-0.28 (Table 4.5). This theme underscores fraud concealment as a key NPL driver (Olojede et al., 2020).</w:t>
      </w:r>
    </w:p>
    <w:p>
      <w:pPr>
        <w:pStyle w:val="Normal"/>
        <w:rPr/>
      </w:pPr>
      <w:r>
        <w:rPr>
          <w:rStyle w:val="Strong"/>
        </w:rPr>
        <w:t>Sub-Themes:</w:t>
      </w:r>
      <w:r>
        <w:rPr/>
        <w:t xml:space="preserve"> </w:t>
      </w:r>
    </w:p>
    <w:p>
      <w:pPr>
        <w:pStyle w:val="Normal"/>
        <w:rPr/>
      </w:pPr>
      <w:r>
        <w:rPr>
          <w:rStyle w:val="Strong"/>
        </w:rPr>
        <w:t>Audit Committee Effectiveness (50%, n=5):</w:t>
      </w:r>
      <w:r>
        <w:rPr/>
        <w:t xml:space="preserve"> Committees lack independence due to shareholder influence. I6 (Auditor): "Audit process is transparent but influenced; shareholders override checks." This mirrors First Bank’s audit issues (NPL=12.9%).</w:t>
      </w:r>
    </w:p>
    <w:p>
      <w:pPr>
        <w:pStyle w:val="Normal"/>
        <w:rPr/>
      </w:pPr>
      <w:r>
        <w:rPr>
          <w:rStyle w:val="Strong"/>
        </w:rPr>
        <w:t>Undue Executive Influence (40%, n=4):</w:t>
      </w:r>
      <w:r>
        <w:rPr/>
        <w:t xml:space="preserve"> Executives sway reporting. I1 (CEO): "There might be undue influence on executives, masking loan issues." This aligns with 2009 crisis patterns (Sanusi, 2009).</w:t>
      </w:r>
    </w:p>
    <w:p>
      <w:pPr>
        <w:pStyle w:val="Normal"/>
        <w:rPr/>
      </w:pPr>
      <w:r>
        <w:rPr>
          <w:rStyle w:val="Strong"/>
        </w:rPr>
        <w:t>Accountability in Boards (30%, n=3):</w:t>
      </w:r>
      <w:r>
        <w:rPr/>
        <w:t xml:space="preserve"> Boards lack robust accountability. I10 (Executive): "Boards hold themselves accountable, but more needed to curb fraud." This supports OECD (2023) calls for stronger oversight.</w:t>
      </w:r>
    </w:p>
    <w:p>
      <w:pPr>
        <w:pStyle w:val="Normal"/>
        <w:rPr/>
      </w:pPr>
      <w:r>
        <w:rPr>
          <w:rStyle w:val="Strong"/>
        </w:rPr>
        <w:t>Linkages:</w:t>
      </w:r>
      <w:r>
        <w:rPr/>
        <w:t xml:space="preserve"> The theme corroborates Tenet 4’s weak scores, explaining lower β due to entrenched transparency deficits. Qualitative insights highlight mechanisms (e.g., audit capture) not fully captured quantitatively.</w:t>
      </w:r>
    </w:p>
    <w:p>
      <w:pPr>
        <w:pStyle w:val="Normal"/>
        <w:rPr/>
      </w:pPr>
      <w:r>
        <w:rPr>
          <w:rStyle w:val="Strong"/>
        </w:rPr>
        <w:t>Theme 4: Lack of Expertise and Qualifications (60%, n=6)</w:t>
      </w:r>
    </w:p>
    <w:p>
      <w:pPr>
        <w:pStyle w:val="Normal"/>
        <w:rPr/>
      </w:pPr>
      <w:r>
        <w:rPr/>
        <w:t>Six interviewees noted unqualified board members, often appointed via concentrated ownership, undermining governance. This aligns with Tenet 2’s β=-0.40 and correlations (r=0.50–0.70, Table 4.4).</w:t>
      </w:r>
    </w:p>
    <w:p>
      <w:pPr>
        <w:pStyle w:val="Normal"/>
        <w:rPr/>
      </w:pPr>
      <w:r>
        <w:rPr>
          <w:rStyle w:val="Strong"/>
        </w:rPr>
        <w:t>Sub-Themes:</w:t>
      </w:r>
      <w:r>
        <w:rPr/>
        <w:t xml:space="preserve"> </w:t>
      </w:r>
    </w:p>
    <w:p>
      <w:pPr>
        <w:pStyle w:val="Normal"/>
        <w:rPr/>
      </w:pPr>
      <w:r>
        <w:rPr>
          <w:rStyle w:val="Strong"/>
        </w:rPr>
        <w:t>Qualification Gaps (40%, n=4):</w:t>
      </w:r>
      <w:r>
        <w:rPr/>
        <w:t xml:space="preserve"> Directors lack financial or governance expertise. I9 (CEO): "Directors lack expertise in interpreting complex issues." This echoes Oceanic Bank’s collapse (Sanusi, 2009).</w:t>
      </w:r>
    </w:p>
    <w:p>
      <w:pPr>
        <w:pStyle w:val="Normal"/>
        <w:rPr/>
      </w:pPr>
      <w:r>
        <w:rPr>
          <w:rStyle w:val="Strong"/>
        </w:rPr>
        <w:t>Impact on Decision-Making (30%, n=3):</w:t>
      </w:r>
      <w:r>
        <w:rPr/>
        <w:t xml:space="preserve"> Unqualified appointments lead to poor risk decisions. I3 (Executive): "Unqualified appointments due to ownership influence hurt strategy." This supports Ogbechie (2016).</w:t>
      </w:r>
    </w:p>
    <w:p>
      <w:pPr>
        <w:pStyle w:val="Normal"/>
        <w:rPr/>
      </w:pPr>
      <w:r>
        <w:rPr>
          <w:rStyle w:val="Strong"/>
        </w:rPr>
        <w:t>Need for Financial Experts (30%, n=3):</w:t>
      </w:r>
      <w:r>
        <w:rPr/>
        <w:t xml:space="preserve"> Expertise is critical for success. I7: "Experienced experts needed for success in complex banking." This ties to low NPLs in banks like Fidelity (3.2%).</w:t>
      </w:r>
    </w:p>
    <w:p>
      <w:pPr>
        <w:pStyle w:val="Normal"/>
        <w:rPr/>
      </w:pPr>
      <w:r>
        <w:rPr>
          <w:rStyle w:val="Strong"/>
        </w:rPr>
        <w:t>Linkages:</w:t>
      </w:r>
      <w:r>
        <w:rPr/>
        <w:t xml:space="preserve"> The theme supports Tenet 2’s quantitative impact, with narratives explaining how nepotism drives agency problems (Jensen &amp; Meckling, 1976), inflating NPLs.</w:t>
      </w:r>
    </w:p>
    <w:p>
      <w:pPr>
        <w:pStyle w:val="Normal"/>
        <w:rPr/>
      </w:pPr>
      <w:r>
        <w:rPr>
          <w:rStyle w:val="Strong"/>
          <w:b w:val="false"/>
          <w:bCs w:val="false"/>
        </w:rPr>
        <w:t>Theme 5: General Banking Practices and Systemic Risks (50%, n=5)</w:t>
      </w:r>
    </w:p>
    <w:p>
      <w:pPr>
        <w:pStyle w:val="Normal"/>
        <w:rPr/>
      </w:pPr>
      <w:r>
        <w:rPr/>
        <w:t>Five interviewees highlighted banking’s inherent risks and systemic vulnerabilities, providing context for governance challenges. This theme aligns with broader agency and stakeholder issues (Freeman, 1984).</w:t>
      </w:r>
    </w:p>
    <w:p>
      <w:pPr>
        <w:pStyle w:val="Normal"/>
        <w:rPr/>
      </w:pPr>
      <w:r>
        <w:rPr>
          <w:rStyle w:val="Strong"/>
        </w:rPr>
        <w:t>Sub-Themes:</w:t>
      </w:r>
      <w:r>
        <w:rPr/>
        <w:t xml:space="preserve"> </w:t>
      </w:r>
    </w:p>
    <w:p>
      <w:pPr>
        <w:pStyle w:val="Normal"/>
        <w:rPr/>
      </w:pPr>
      <w:r>
        <w:rPr>
          <w:rStyle w:val="Strong"/>
        </w:rPr>
        <w:t>Default and Recovery (30%, n=3):</w:t>
      </w:r>
      <w:r>
        <w:rPr/>
        <w:t xml:space="preserve"> Loan recovery is challenging. I5: "If a loan defaults, recovery is challenging due to weak collateral." This is evident in high-NPL banks like First Bank.</w:t>
      </w:r>
    </w:p>
    <w:p>
      <w:pPr>
        <w:pStyle w:val="Normal"/>
        <w:rPr/>
      </w:pPr>
      <w:r>
        <w:rPr>
          <w:rStyle w:val="Strong"/>
        </w:rPr>
        <w:t>Systemic Vulnerabilities (20%, n=2):</w:t>
      </w:r>
      <w:r>
        <w:rPr/>
        <w:t xml:space="preserve"> Under-collateralized banks pose risks. I2: "Under-collateralized banks pose risks to the system." This supports NDIC (2024) data on insolvency risks.</w:t>
      </w:r>
    </w:p>
    <w:p>
      <w:pPr>
        <w:pStyle w:val="Normal"/>
        <w:rPr/>
      </w:pPr>
      <w:r>
        <w:rPr>
          <w:rStyle w:val="Strong"/>
        </w:rPr>
        <w:t>Process Improvements (20%, n=2):</w:t>
      </w:r>
      <w:r>
        <w:rPr/>
        <w:t xml:space="preserve"> Streamlining is needed. I8: "Shorten unnecessary processes to reduce risks." This aligns with calls for efficiency (Kafidipe, 2021).</w:t>
      </w:r>
    </w:p>
    <w:p>
      <w:pPr>
        <w:pStyle w:val="Normal"/>
        <w:rPr/>
      </w:pPr>
      <w:r>
        <w:rPr>
          <w:rStyle w:val="Strong"/>
        </w:rPr>
        <w:t>Linkages:</w:t>
      </w:r>
      <w:r>
        <w:rPr/>
        <w:t xml:space="preserve"> This theme contextualizes quantitative correlations (e.g., Tenet 1-Tenet 2, r=0.70), highlighting systemic factors amplifying governance-NPL links.</w:t>
      </w:r>
    </w:p>
    <w:p>
      <w:pPr>
        <w:pStyle w:val="Normal"/>
        <w:suppressAutoHyphens w:val="false"/>
        <w:spacing w:lineRule="auto" w:line="240" w:before="280" w:after="280"/>
        <w:jc w:val="start"/>
        <w:rPr/>
      </w:pPr>
      <w:r>
        <w:rPr/>
      </w:r>
    </w:p>
    <w:p>
      <w:pPr>
        <w:pStyle w:val="Heading2"/>
        <w:rPr>
          <w:rFonts w:ascii="Times New Roman" w:hAnsi="Times New Roman"/>
        </w:rPr>
      </w:pPr>
      <w:r>
        <w:rPr/>
        <w:t>4.8.1 Theme Analysis</w:t>
      </w:r>
    </w:p>
    <w:p>
      <w:pPr>
        <w:pStyle w:val="Normal"/>
        <w:rPr/>
      </w:pPr>
      <w:r>
        <w:rPr>
          <w:rStyle w:val="Strong"/>
        </w:rPr>
        <w:t>Risk Management Challenges (90%)</w:t>
      </w:r>
      <w:r>
        <w:rPr/>
        <w:t>: Aligns with Tenet 1 (β=-0.48). I2: "Risk assets are loans given out, but it's 50/50." Sub-themes highlight lax lending and infrastructure gaps (Adegboye, 2020).</w:t>
      </w:r>
    </w:p>
    <w:p>
      <w:pPr>
        <w:pStyle w:val="Normal"/>
        <w:rPr/>
      </w:pPr>
      <w:r>
        <w:rPr>
          <w:rStyle w:val="Strong"/>
        </w:rPr>
        <w:t>Regulatory Multiplicity (80%)</w:t>
      </w:r>
      <w:r>
        <w:rPr/>
        <w:t>: Supports Tenet 3 (β=-0.32). I7: "Too many regulations make it confusing." Code conflicts enable evasion (Abdulmalik &amp; Ahmad, 2020).</w:t>
      </w:r>
    </w:p>
    <w:p>
      <w:pPr>
        <w:pStyle w:val="Normal"/>
        <w:rPr/>
      </w:pPr>
      <w:r>
        <w:rPr>
          <w:rStyle w:val="Strong"/>
        </w:rPr>
        <w:t>Transparency Issues (70%)</w:t>
      </w:r>
      <w:r>
        <w:rPr/>
        <w:t>: Corroborates Tenet 4 (M=1.8). I6: "Audit process is transparent but influenced." Audit capture drives NPLs (Olojede et al., 2020).</w:t>
      </w:r>
    </w:p>
    <w:p>
      <w:pPr>
        <w:pStyle w:val="Normal"/>
        <w:rPr/>
      </w:pPr>
      <w:r>
        <w:rPr>
          <w:rStyle w:val="Strong"/>
        </w:rPr>
        <w:t>Lack of Expertise (60%)</w:t>
      </w:r>
      <w:r>
        <w:rPr/>
        <w:t>: Links to Tenet 2 (β=-0.40). I9: "Directors lack expertise." Nepotism undermines oversight (Ogbechie, 2016).</w:t>
      </w:r>
    </w:p>
    <w:p>
      <w:pPr>
        <w:pStyle w:val="Normal"/>
        <w:rPr/>
      </w:pPr>
      <w:r>
        <w:rPr>
          <w:rStyle w:val="Strong"/>
        </w:rPr>
        <w:t>General Practices (50%)</w:t>
      </w:r>
      <w:r>
        <w:rPr/>
        <w:t>: Contextualizes systemic risks. I5: "Banking is financial intermediation—risky business." Supports agency theory (Jensen &amp; Meckling, 1976).</w:t>
      </w:r>
    </w:p>
    <w:p>
      <w:pPr>
        <w:pStyle w:val="Normal"/>
        <w:suppressAutoHyphens w:val="false"/>
        <w:spacing w:lineRule="auto" w:line="240" w:before="280" w:after="280"/>
        <w:jc w:val="start"/>
        <w:rPr/>
      </w:pPr>
      <w:r>
        <w:rPr/>
      </w:r>
    </w:p>
    <w:p>
      <w:pPr>
        <w:pStyle w:val="Heading3"/>
        <w:rPr/>
      </w:pPr>
      <w:r>
        <w:rPr>
          <w:rStyle w:val="Strong"/>
          <w:b/>
          <w:bCs w:val="false"/>
        </w:rPr>
        <w:t>4.8.2 Integration with Quantitative Findings</w:t>
      </w:r>
    </w:p>
    <w:p>
      <w:pPr>
        <w:pStyle w:val="Normal"/>
        <w:rPr/>
      </w:pPr>
      <w:r>
        <w:rPr/>
        <w:t>The interview themes strongly converge with quantitative results:</w:t>
      </w:r>
    </w:p>
    <w:p>
      <w:pPr>
        <w:pStyle w:val="Normal"/>
        <w:rPr/>
      </w:pPr>
      <w:r>
        <w:rPr>
          <w:rStyle w:val="Strong"/>
        </w:rPr>
        <w:t>Risk Management Challenges</w:t>
      </w:r>
      <w:r>
        <w:rPr/>
        <w:t xml:space="preserve"> supports Tenet 1’s β=-0.48 and r=-0.75, with narratives (e.g., I2) explaining lax lending’s role in NPLs.</w:t>
      </w:r>
    </w:p>
    <w:p>
      <w:pPr>
        <w:pStyle w:val="Normal"/>
        <w:rPr/>
      </w:pPr>
      <w:r>
        <w:rPr>
          <w:rStyle w:val="Strong"/>
        </w:rPr>
        <w:t>Regulatory Multiplicity</w:t>
      </w:r>
      <w:r>
        <w:rPr/>
        <w:t xml:space="preserve"> aligns with Tenet 3’s β=-0.32 and r=-0.60, detailing enforcement gaps as a mechanism.</w:t>
      </w:r>
    </w:p>
    <w:p>
      <w:pPr>
        <w:pStyle w:val="Normal"/>
        <w:rPr/>
      </w:pPr>
      <w:r>
        <w:rPr>
          <w:rStyle w:val="Strong"/>
        </w:rPr>
        <w:t>Transparency Issues</w:t>
      </w:r>
      <w:r>
        <w:rPr/>
        <w:t xml:space="preserve"> corroborates Tenet 4’s M=1.8 and β=-0.28, with audit capture explaining weaker quantitative impact.</w:t>
      </w:r>
    </w:p>
    <w:p>
      <w:pPr>
        <w:pStyle w:val="Normal"/>
        <w:rPr/>
      </w:pPr>
      <w:r>
        <w:rPr>
          <w:rStyle w:val="Strong"/>
        </w:rPr>
        <w:t>Lack of Expertise</w:t>
      </w:r>
      <w:r>
        <w:rPr/>
        <w:t xml:space="preserve"> supports Tenet 2’s β=-0.40, linking unqualified appointments to NPLs.</w:t>
      </w:r>
    </w:p>
    <w:p>
      <w:pPr>
        <w:pStyle w:val="Normal"/>
        <w:rPr/>
      </w:pPr>
      <w:r>
        <w:rPr>
          <w:rStyle w:val="Strong"/>
        </w:rPr>
        <w:t>General Practices</w:t>
      </w:r>
      <w:r>
        <w:rPr/>
        <w:t xml:space="preserve"> contextualizes correlations, highlighting systemic risks.</w:t>
      </w:r>
    </w:p>
    <w:p>
      <w:pPr>
        <w:pStyle w:val="Normal"/>
        <w:rPr/>
      </w:pPr>
      <w:r>
        <w:rPr/>
        <w:t>Minor divergence arises in transparency’s weaker quantitative effect, explained by qualitative emphasis on entrenched cultural barriers (e.g., I6). Meta-inference: Patronage and weak enforcement cross-cut themes, driving NPLs via agency conflicts (Section 4.4).</w:t>
      </w:r>
    </w:p>
    <w:p>
      <w:pPr>
        <w:pStyle w:val="Heading3"/>
        <w:rPr/>
      </w:pPr>
      <w:r>
        <w:rPr>
          <w:rStyle w:val="Strong"/>
          <w:b/>
          <w:bCs w:val="false"/>
        </w:rPr>
        <w:t>4.8.3 Implications for Reform</w:t>
      </w:r>
    </w:p>
    <w:p>
      <w:pPr>
        <w:pStyle w:val="Normal"/>
        <w:rPr/>
      </w:pPr>
      <w:r>
        <w:rPr/>
        <w:t>These findings support OB4’s reform recommendations:</w:t>
      </w:r>
    </w:p>
    <w:p>
      <w:pPr>
        <w:pStyle w:val="Normal"/>
        <w:rPr/>
      </w:pPr>
      <w:r>
        <w:rPr/>
        <w:t>Strengthen risk management via mandatory Basel III compliance and robust KYC/CRC systems.</w:t>
      </w:r>
    </w:p>
    <w:p>
      <w:pPr>
        <w:pStyle w:val="Normal"/>
        <w:rPr/>
      </w:pPr>
      <w:r>
        <w:rPr/>
        <w:t>Harmonize regulatory codes (e.g., CAMA, NCCG) to reduce confusion and evasion.</w:t>
      </w:r>
    </w:p>
    <w:p>
      <w:pPr>
        <w:pStyle w:val="Normal"/>
        <w:rPr/>
      </w:pPr>
      <w:r>
        <w:rPr/>
        <w:t>Mandate independent audit committees and whistleblowing mechanisms to enhance transparency.</w:t>
      </w:r>
    </w:p>
    <w:p>
      <w:pPr>
        <w:pStyle w:val="Normal"/>
        <w:rPr/>
      </w:pPr>
      <w:r>
        <w:rPr/>
        <w:t>Enforce qualification criteria for board appointments to address expertise gaps.</w:t>
      </w:r>
    </w:p>
    <w:p>
      <w:pPr>
        <w:pStyle w:val="Normal"/>
        <w:rPr/>
      </w:pPr>
      <w:r>
        <w:rPr/>
        <w:t>Streamline processes to mitigate systemic risks, aligning with OECD (2023) and Basel III (BCBS, 2010).</w:t>
      </w:r>
    </w:p>
    <w:p>
      <w:pPr>
        <w:pStyle w:val="Normal"/>
        <w:rPr/>
      </w:pPr>
      <w:r>
        <w:rPr/>
        <w:t>This analysis sets the stage for discussion in Chapter Five, emphasizing actionable reforms to reduce NPLs and enhance banking stability.</w:t>
      </w:r>
    </w:p>
    <w:p>
      <w:pPr>
        <w:pStyle w:val="Caption"/>
        <w:rPr/>
      </w:pPr>
      <w:r>
        <w:rPr/>
      </w:r>
    </w:p>
    <w:p>
      <w:pPr>
        <w:pStyle w:val="Caption"/>
        <w:rPr/>
      </w:pPr>
      <w:r>
        <w:rPr/>
        <w:t>Table 4.8a: Theme Frequencies by Interviewee Role</w:t>
      </w:r>
    </w:p>
    <w:tbl>
      <w:tblPr>
        <w:tblW w:w="9675" w:type="dxa"/>
        <w:jc w:val="start"/>
        <w:tblInd w:w="0" w:type="dxa"/>
        <w:tblLayout w:type="fixed"/>
        <w:tblCellMar>
          <w:top w:w="0" w:type="dxa"/>
          <w:start w:w="108" w:type="dxa"/>
          <w:bottom w:w="0" w:type="dxa"/>
          <w:end w:w="108" w:type="dxa"/>
        </w:tblCellMar>
      </w:tblPr>
      <w:tblGrid>
        <w:gridCol w:w="3274"/>
        <w:gridCol w:w="3128"/>
        <w:gridCol w:w="3273"/>
      </w:tblGrid>
      <w:tr>
        <w:trPr>
          <w:trHeight w:val="416" w:hRule="atLeast"/>
        </w:trPr>
        <w:tc>
          <w:tcPr>
            <w:tcW w:w="3274"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Theme</w:t>
            </w:r>
          </w:p>
        </w:tc>
        <w:tc>
          <w:tcPr>
            <w:tcW w:w="3128"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Managers/Officers % (n = 6)</w:t>
            </w:r>
          </w:p>
        </w:tc>
        <w:tc>
          <w:tcPr>
            <w:tcW w:w="3273"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Auditors/Executives % (n = 4)</w:t>
            </w:r>
          </w:p>
        </w:tc>
      </w:tr>
      <w:tr>
        <w:trPr>
          <w:trHeight w:val="416" w:hRule="atLeast"/>
        </w:trPr>
        <w:tc>
          <w:tcPr>
            <w:tcW w:w="327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Risk Management Challenges</w:t>
            </w:r>
          </w:p>
        </w:tc>
        <w:tc>
          <w:tcPr>
            <w:tcW w:w="312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83 (n = 5)</w:t>
            </w:r>
          </w:p>
        </w:tc>
        <w:tc>
          <w:tcPr>
            <w:tcW w:w="327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100 (n = 4)</w:t>
            </w:r>
          </w:p>
        </w:tc>
      </w:tr>
      <w:tr>
        <w:trPr>
          <w:trHeight w:val="416" w:hRule="atLeast"/>
        </w:trPr>
        <w:tc>
          <w:tcPr>
            <w:tcW w:w="327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Regulatory Multiplicity</w:t>
            </w:r>
          </w:p>
        </w:tc>
        <w:tc>
          <w:tcPr>
            <w:tcW w:w="312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83 (n = 5)</w:t>
            </w:r>
          </w:p>
        </w:tc>
        <w:tc>
          <w:tcPr>
            <w:tcW w:w="327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75 (n = 3)</w:t>
            </w:r>
          </w:p>
        </w:tc>
      </w:tr>
      <w:tr>
        <w:trPr>
          <w:trHeight w:val="416" w:hRule="atLeast"/>
        </w:trPr>
        <w:tc>
          <w:tcPr>
            <w:tcW w:w="327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Transparency Issues</w:t>
            </w:r>
          </w:p>
        </w:tc>
        <w:tc>
          <w:tcPr>
            <w:tcW w:w="312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67 (n = 4)</w:t>
            </w:r>
          </w:p>
        </w:tc>
        <w:tc>
          <w:tcPr>
            <w:tcW w:w="327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75 (n = 3)</w:t>
            </w:r>
          </w:p>
        </w:tc>
      </w:tr>
      <w:tr>
        <w:trPr>
          <w:trHeight w:val="416" w:hRule="atLeast"/>
        </w:trPr>
        <w:tc>
          <w:tcPr>
            <w:tcW w:w="327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Lack of Expertise</w:t>
            </w:r>
          </w:p>
        </w:tc>
        <w:tc>
          <w:tcPr>
            <w:tcW w:w="312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50 (n = 3)</w:t>
            </w:r>
          </w:p>
        </w:tc>
        <w:tc>
          <w:tcPr>
            <w:tcW w:w="327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75 (n = 3)</w:t>
            </w:r>
          </w:p>
        </w:tc>
      </w:tr>
      <w:tr>
        <w:trPr>
          <w:trHeight w:val="416" w:hRule="atLeast"/>
        </w:trPr>
        <w:tc>
          <w:tcPr>
            <w:tcW w:w="327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General Practices</w:t>
            </w:r>
          </w:p>
        </w:tc>
        <w:tc>
          <w:tcPr>
            <w:tcW w:w="312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50 (n = 3)</w:t>
            </w:r>
          </w:p>
        </w:tc>
        <w:tc>
          <w:tcPr>
            <w:tcW w:w="327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50 (n = 2)</w:t>
            </w:r>
          </w:p>
        </w:tc>
      </w:tr>
    </w:tbl>
    <w:p>
      <w:pPr>
        <w:pStyle w:val="Caption"/>
        <w:rPr/>
      </w:pPr>
      <w:r>
        <w:rPr>
          <w:rStyle w:val="Strong"/>
          <w:rFonts w:eastAsia="DejaVu Sans"/>
        </w:rPr>
        <w:t>Note.</w:t>
      </w:r>
      <w:r>
        <w:rPr/>
        <w:t xml:space="preserve"> Total interviews, n = 10. Frequencies based on mentions across interviews, aggregated by role categories.</w:t>
      </w:r>
    </w:p>
    <w:p>
      <w:pPr>
        <w:pStyle w:val="Caption"/>
        <w:rPr/>
      </w:pPr>
      <w:r>
        <w:rPr/>
      </w:r>
    </w:p>
    <w:p>
      <w:pPr>
        <w:pStyle w:val="Caption"/>
        <w:rPr/>
      </w:pPr>
      <w:r>
        <w:rPr/>
        <w:t>Table 4.8b: Bootstrapped Confidence Intervals for Interview Theme Frequencies</w:t>
      </w:r>
    </w:p>
    <w:tbl>
      <w:tblPr>
        <w:tblW w:w="9652" w:type="dxa"/>
        <w:jc w:val="start"/>
        <w:tblInd w:w="0" w:type="dxa"/>
        <w:tblLayout w:type="fixed"/>
        <w:tblCellMar>
          <w:top w:w="0" w:type="dxa"/>
          <w:start w:w="108" w:type="dxa"/>
          <w:bottom w:w="0" w:type="dxa"/>
          <w:end w:w="108" w:type="dxa"/>
        </w:tblCellMar>
      </w:tblPr>
      <w:tblGrid>
        <w:gridCol w:w="3494"/>
        <w:gridCol w:w="2681"/>
        <w:gridCol w:w="1734"/>
        <w:gridCol w:w="1743"/>
      </w:tblGrid>
      <w:tr>
        <w:trPr>
          <w:trHeight w:val="423" w:hRule="atLeast"/>
        </w:trPr>
        <w:tc>
          <w:tcPr>
            <w:tcW w:w="3494"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Theme</w:t>
            </w:r>
          </w:p>
        </w:tc>
        <w:tc>
          <w:tcPr>
            <w:tcW w:w="2681"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Overall Frequency (%)</w:t>
            </w:r>
          </w:p>
        </w:tc>
        <w:tc>
          <w:tcPr>
            <w:tcW w:w="1734"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95% CI Lower</w:t>
            </w:r>
          </w:p>
        </w:tc>
        <w:tc>
          <w:tcPr>
            <w:tcW w:w="1743"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95% CI Upper</w:t>
            </w:r>
          </w:p>
        </w:tc>
      </w:tr>
      <w:tr>
        <w:trPr>
          <w:trHeight w:val="423" w:hRule="atLeast"/>
        </w:trPr>
        <w:tc>
          <w:tcPr>
            <w:tcW w:w="349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Risk Management Challenges</w:t>
            </w:r>
          </w:p>
        </w:tc>
        <w:tc>
          <w:tcPr>
            <w:tcW w:w="2681"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90</w:t>
            </w:r>
          </w:p>
        </w:tc>
        <w:tc>
          <w:tcPr>
            <w:tcW w:w="173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80</w:t>
            </w:r>
          </w:p>
        </w:tc>
        <w:tc>
          <w:tcPr>
            <w:tcW w:w="174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100</w:t>
            </w:r>
          </w:p>
        </w:tc>
      </w:tr>
      <w:tr>
        <w:trPr>
          <w:trHeight w:val="423" w:hRule="atLeast"/>
        </w:trPr>
        <w:tc>
          <w:tcPr>
            <w:tcW w:w="349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Regulatory Multiplicity</w:t>
            </w:r>
          </w:p>
        </w:tc>
        <w:tc>
          <w:tcPr>
            <w:tcW w:w="2681"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80</w:t>
            </w:r>
          </w:p>
        </w:tc>
        <w:tc>
          <w:tcPr>
            <w:tcW w:w="173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70</w:t>
            </w:r>
          </w:p>
        </w:tc>
        <w:tc>
          <w:tcPr>
            <w:tcW w:w="174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90</w:t>
            </w:r>
          </w:p>
        </w:tc>
      </w:tr>
      <w:tr>
        <w:trPr>
          <w:trHeight w:val="423" w:hRule="atLeast"/>
        </w:trPr>
        <w:tc>
          <w:tcPr>
            <w:tcW w:w="349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Transparency Issues</w:t>
            </w:r>
          </w:p>
        </w:tc>
        <w:tc>
          <w:tcPr>
            <w:tcW w:w="2681"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70</w:t>
            </w:r>
          </w:p>
        </w:tc>
        <w:tc>
          <w:tcPr>
            <w:tcW w:w="173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60</w:t>
            </w:r>
          </w:p>
        </w:tc>
        <w:tc>
          <w:tcPr>
            <w:tcW w:w="174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80</w:t>
            </w:r>
          </w:p>
        </w:tc>
      </w:tr>
      <w:tr>
        <w:trPr>
          <w:trHeight w:val="423" w:hRule="atLeast"/>
        </w:trPr>
        <w:tc>
          <w:tcPr>
            <w:tcW w:w="349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Lack of Expertise</w:t>
            </w:r>
          </w:p>
        </w:tc>
        <w:tc>
          <w:tcPr>
            <w:tcW w:w="2681"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60</w:t>
            </w:r>
          </w:p>
        </w:tc>
        <w:tc>
          <w:tcPr>
            <w:tcW w:w="173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50</w:t>
            </w:r>
          </w:p>
        </w:tc>
        <w:tc>
          <w:tcPr>
            <w:tcW w:w="174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70</w:t>
            </w:r>
          </w:p>
        </w:tc>
      </w:tr>
      <w:tr>
        <w:trPr>
          <w:trHeight w:val="423" w:hRule="atLeast"/>
        </w:trPr>
        <w:tc>
          <w:tcPr>
            <w:tcW w:w="349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General Practices</w:t>
            </w:r>
          </w:p>
        </w:tc>
        <w:tc>
          <w:tcPr>
            <w:tcW w:w="2681"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50</w:t>
            </w:r>
          </w:p>
        </w:tc>
        <w:tc>
          <w:tcPr>
            <w:tcW w:w="173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40</w:t>
            </w:r>
          </w:p>
        </w:tc>
        <w:tc>
          <w:tcPr>
            <w:tcW w:w="174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60</w:t>
            </w:r>
          </w:p>
        </w:tc>
      </w:tr>
    </w:tbl>
    <w:p>
      <w:pPr>
        <w:pStyle w:val="Caption"/>
        <w:rPr/>
      </w:pPr>
      <w:r>
        <w:rPr>
          <w:rStyle w:val="Strong"/>
          <w:rFonts w:eastAsia="DejaVu Sans"/>
        </w:rPr>
        <w:t>Note.</w:t>
      </w:r>
      <w:r>
        <w:rPr/>
        <w:t xml:space="preserve"> Total interviews, n = 10. Confidence intervals based on 1,000 bootstrap resamples of theme frequencies conducted in Python, as per Efron and Tibshirani (1993).</w:t>
      </w:r>
    </w:p>
    <w:p>
      <w:pPr>
        <w:pStyle w:val="Caption"/>
        <w:rPr/>
      </w:pPr>
      <w:r>
        <w:rPr/>
      </w:r>
    </w:p>
    <w:p>
      <w:pPr>
        <w:pStyle w:val="Caption"/>
        <w:rPr/>
      </w:pPr>
      <w:r>
        <w:rPr/>
        <w:t>Table 4.8c: Cross-Tabulation of Interview Themes with Survey Tenets</w:t>
      </w:r>
    </w:p>
    <w:tbl>
      <w:tblPr>
        <w:tblW w:w="10024" w:type="dxa"/>
        <w:jc w:val="start"/>
        <w:tblInd w:w="0" w:type="dxa"/>
        <w:tblLayout w:type="fixed"/>
        <w:tblCellMar>
          <w:top w:w="0" w:type="dxa"/>
          <w:start w:w="108" w:type="dxa"/>
          <w:bottom w:w="0" w:type="dxa"/>
          <w:end w:w="108" w:type="dxa"/>
        </w:tblCellMar>
      </w:tblPr>
      <w:tblGrid>
        <w:gridCol w:w="2417"/>
        <w:gridCol w:w="1772"/>
        <w:gridCol w:w="1688"/>
        <w:gridCol w:w="1954"/>
        <w:gridCol w:w="2193"/>
      </w:tblGrid>
      <w:tr>
        <w:trPr>
          <w:trHeight w:val="741" w:hRule="atLeast"/>
        </w:trPr>
        <w:tc>
          <w:tcPr>
            <w:tcW w:w="2417"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Interview Theme</w:t>
            </w:r>
          </w:p>
        </w:tc>
        <w:tc>
          <w:tcPr>
            <w:tcW w:w="1772"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Tenet 1 (Risk Mgmt) n</w:t>
            </w:r>
          </w:p>
        </w:tc>
        <w:tc>
          <w:tcPr>
            <w:tcW w:w="1688"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Tenet 2 (Practice) n</w:t>
            </w:r>
          </w:p>
        </w:tc>
        <w:tc>
          <w:tcPr>
            <w:tcW w:w="1954"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Tenet 3 (Regulatory) n</w:t>
            </w:r>
          </w:p>
        </w:tc>
        <w:tc>
          <w:tcPr>
            <w:tcW w:w="2193" w:type="dxa"/>
            <w:tcBorders>
              <w:top w:val="single" w:sz="4" w:space="0" w:color="BDD6EE"/>
              <w:start w:val="single" w:sz="4" w:space="0" w:color="BDD6EE"/>
              <w:bottom w:val="single" w:sz="12" w:space="0" w:color="9CC2E5"/>
              <w:end w:val="single" w:sz="4" w:space="0" w:color="BDD6EE"/>
            </w:tcBorders>
          </w:tcPr>
          <w:p>
            <w:pPr>
              <w:pStyle w:val="Caption"/>
              <w:spacing w:before="120" w:after="120"/>
              <w:rPr>
                <w:i w:val="false"/>
                <w:i w:val="false"/>
                <w:iCs w:val="false"/>
              </w:rPr>
            </w:pPr>
            <w:r>
              <w:rPr>
                <w:b/>
                <w:bCs/>
                <w:i w:val="false"/>
                <w:iCs w:val="false"/>
                <w:lang w:val="en-US" w:bidi="hi-IN"/>
              </w:rPr>
              <w:t>Tenet 4 (Transparency) n</w:t>
            </w:r>
          </w:p>
        </w:tc>
      </w:tr>
      <w:tr>
        <w:trPr>
          <w:trHeight w:val="741" w:hRule="atLeast"/>
        </w:trPr>
        <w:tc>
          <w:tcPr>
            <w:tcW w:w="2417"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Risk Management Challenges</w:t>
            </w:r>
          </w:p>
        </w:tc>
        <w:tc>
          <w:tcPr>
            <w:tcW w:w="1772"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9</w:t>
            </w:r>
          </w:p>
        </w:tc>
        <w:tc>
          <w:tcPr>
            <w:tcW w:w="168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w:t>
            </w:r>
          </w:p>
        </w:tc>
        <w:tc>
          <w:tcPr>
            <w:tcW w:w="195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w:t>
            </w:r>
          </w:p>
        </w:tc>
        <w:tc>
          <w:tcPr>
            <w:tcW w:w="219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r>
      <w:tr>
        <w:trPr>
          <w:trHeight w:val="754" w:hRule="atLeast"/>
        </w:trPr>
        <w:tc>
          <w:tcPr>
            <w:tcW w:w="2417"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Regulatory Multiplicity</w:t>
            </w:r>
          </w:p>
        </w:tc>
        <w:tc>
          <w:tcPr>
            <w:tcW w:w="1772"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w:t>
            </w:r>
          </w:p>
        </w:tc>
        <w:tc>
          <w:tcPr>
            <w:tcW w:w="168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c>
          <w:tcPr>
            <w:tcW w:w="195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8</w:t>
            </w:r>
          </w:p>
        </w:tc>
        <w:tc>
          <w:tcPr>
            <w:tcW w:w="219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2</w:t>
            </w:r>
          </w:p>
        </w:tc>
      </w:tr>
      <w:tr>
        <w:trPr>
          <w:trHeight w:val="442" w:hRule="atLeast"/>
        </w:trPr>
        <w:tc>
          <w:tcPr>
            <w:tcW w:w="2417"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Transparency Issues</w:t>
            </w:r>
          </w:p>
        </w:tc>
        <w:tc>
          <w:tcPr>
            <w:tcW w:w="1772"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c>
          <w:tcPr>
            <w:tcW w:w="168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w:t>
            </w:r>
          </w:p>
        </w:tc>
        <w:tc>
          <w:tcPr>
            <w:tcW w:w="195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2</w:t>
            </w:r>
          </w:p>
        </w:tc>
        <w:tc>
          <w:tcPr>
            <w:tcW w:w="219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7</w:t>
            </w:r>
          </w:p>
        </w:tc>
      </w:tr>
      <w:tr>
        <w:trPr>
          <w:trHeight w:val="442" w:hRule="atLeast"/>
        </w:trPr>
        <w:tc>
          <w:tcPr>
            <w:tcW w:w="2417"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Lack of Expertise</w:t>
            </w:r>
          </w:p>
        </w:tc>
        <w:tc>
          <w:tcPr>
            <w:tcW w:w="1772"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5</w:t>
            </w:r>
          </w:p>
        </w:tc>
        <w:tc>
          <w:tcPr>
            <w:tcW w:w="168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6</w:t>
            </w:r>
          </w:p>
        </w:tc>
        <w:tc>
          <w:tcPr>
            <w:tcW w:w="195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c>
          <w:tcPr>
            <w:tcW w:w="219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w:t>
            </w:r>
          </w:p>
        </w:tc>
      </w:tr>
      <w:tr>
        <w:trPr>
          <w:trHeight w:val="442" w:hRule="atLeast"/>
        </w:trPr>
        <w:tc>
          <w:tcPr>
            <w:tcW w:w="2417"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b/>
                <w:bCs/>
                <w:i w:val="false"/>
                <w:iCs w:val="false"/>
                <w:lang w:val="en-US" w:bidi="hi-IN"/>
              </w:rPr>
              <w:t>General Practices</w:t>
            </w:r>
          </w:p>
        </w:tc>
        <w:tc>
          <w:tcPr>
            <w:tcW w:w="1772"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2</w:t>
            </w:r>
          </w:p>
        </w:tc>
        <w:tc>
          <w:tcPr>
            <w:tcW w:w="1688"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c>
          <w:tcPr>
            <w:tcW w:w="1954"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4</w:t>
            </w:r>
          </w:p>
        </w:tc>
        <w:tc>
          <w:tcPr>
            <w:tcW w:w="2193" w:type="dxa"/>
            <w:tcBorders>
              <w:top w:val="single" w:sz="4" w:space="0" w:color="BDD6EE"/>
              <w:start w:val="single" w:sz="4" w:space="0" w:color="BDD6EE"/>
              <w:bottom w:val="single" w:sz="4" w:space="0" w:color="BDD6EE"/>
              <w:end w:val="single" w:sz="4" w:space="0" w:color="BDD6EE"/>
            </w:tcBorders>
          </w:tcPr>
          <w:p>
            <w:pPr>
              <w:pStyle w:val="Caption"/>
              <w:spacing w:before="120" w:after="120"/>
              <w:rPr>
                <w:i w:val="false"/>
                <w:i w:val="false"/>
                <w:iCs w:val="false"/>
              </w:rPr>
            </w:pPr>
            <w:r>
              <w:rPr>
                <w:i w:val="false"/>
                <w:iCs w:val="false"/>
                <w:lang w:val="en-US" w:bidi="hi-IN"/>
              </w:rPr>
              <w:t>3</w:t>
            </w:r>
          </w:p>
        </w:tc>
      </w:tr>
    </w:tbl>
    <w:p>
      <w:pPr>
        <w:pStyle w:val="Caption"/>
        <w:rPr/>
      </w:pPr>
      <w:r>
        <w:rPr>
          <w:rStyle w:val="Strong"/>
          <w:rFonts w:eastAsia="DejaVu Sans"/>
        </w:rPr>
        <w:t>Note.</w:t>
      </w:r>
      <w:r>
        <w:rPr/>
        <w:t xml:space="preserve"> Total interviews, n = 10. Frequencies represent co-occurrence of interview themes with survey tenets in transcripts. Themes cross-referenced with survey tenets: Risk Management Challenges (Tenet 1), Regulatory Multiplicity (Tenet 3), Transparency Issues (Tenet 4), Lack of Expertise (Tenet 2), General Practices (broader CG implications).</w:t>
      </w:r>
    </w:p>
    <w:p>
      <w:pPr>
        <w:pStyle w:val="Normal"/>
        <w:rPr/>
      </w:pPr>
      <w:r>
        <w:rPr/>
        <w:t>This concludes the presentation of results. The subsequent chapter will discuss these findings in relation to the research questions and existing literature.</w:t>
        <w:br/>
      </w:r>
    </w:p>
    <w:p>
      <w:pPr>
        <w:pStyle w:val="Normal"/>
        <w:spacing w:lineRule="auto" w:line="240"/>
        <w:jc w:val="start"/>
        <w:rPr>
          <w:rFonts w:ascii="Calibri Light" w:hAnsi="Calibri Light"/>
          <w:color w:themeColor="accent1" w:themeShade="bf" w:val="2F5496"/>
          <w:sz w:val="40"/>
          <w:szCs w:val="40"/>
        </w:rPr>
      </w:pPr>
      <w:r>
        <w:rPr>
          <w:rFonts w:ascii="Calibri Light" w:hAnsi="Calibri Light"/>
          <w:color w:themeColor="accent1" w:themeShade="bf" w:val="2F5496"/>
          <w:sz w:val="40"/>
          <w:szCs w:val="40"/>
        </w:rPr>
      </w:r>
      <w:r>
        <w:br w:type="page"/>
      </w:r>
    </w:p>
    <w:p>
      <w:pPr>
        <w:pStyle w:val="Heading1"/>
        <w:spacing w:before="0" w:after="80"/>
        <w:rPr/>
      </w:pPr>
      <w:r>
        <w:rPr/>
        <w:t>Chapter 5: Discussion</w:t>
      </w:r>
    </w:p>
    <w:p>
      <w:pPr>
        <w:pStyle w:val="Heading2"/>
        <w:rPr/>
      </w:pPr>
      <w:r>
        <w:rPr/>
        <w:t>5.1 Introduction to the Discussion</w:t>
      </w:r>
    </w:p>
    <w:p>
      <w:pPr>
        <w:pStyle w:val="Normal"/>
        <w:rPr/>
      </w:pPr>
      <w:r>
        <w:rPr/>
        <w:t>This chapter interprets the empirical and qualitative findings presented in Chapter 4, relating them back to the foundational concepts, research gaps, and theoretical frameworks outlined in the Introduction and Literature Review (Chapters 1 and 2). By synthesizing the mixed-methods results, it elucidates how corporate governance (CG) deficiencies at the board level in Nigerian Deposit Money Banks (DMBs) contribute to elevated default risk, as proxied by Non-Performing Loan (NPL) ratios, and proposes strategies to enhance accountability and transparency. The discussion is structured thematically around the four CG tenets—Tenet 1: Bank Governance and Risk Management; Tenet 2: Corporate Governance and Bank Practice; Tenet 3: Regulatory Multiplicity; and Tenet 4: Transparency and Accountability—while integrating the hypotheses (H1–H4), research objectives (OB1–OB4), and mixed-methods insights. This approach allows for a nuanced exploration of how quantitative metrics (e.g., regression coefficients and correlations) are explained and enriched by qualitative narratives (e.g., themes like "Regulatory Confusion" and "Risk Management Challenges"). A dedicated section (5.6) addresses the research questions (RQ1–RQ4) in a concise, "mini-chapter" format, synthesizing evidence across tenets. The chapter concludes with broader implications, limitations, recommendations, and future research directions, aiming to bridge the identified research gap in context-specific studies on Nigeria's post-consolidation banking sector (Osita et al., 2019; Tsamenyi et al., 2007).</w:t>
      </w:r>
    </w:p>
    <w:p>
      <w:pPr>
        <w:pStyle w:val="Normal"/>
        <w:rPr/>
      </w:pPr>
      <w:r>
        <w:rPr/>
        <w:t>To restate the research aim briefly: This study examines CG challenges in Nigeria's commercial banking sector, focusing on board-level deficiencies rooted in historical legacies, regulatory fragmentation, and systemic failures that elevate default risk and undermine financial stability. It proposes harmonized reforms to align with global standards (e.g., OECD, 2023; Basel Committee on Banking Supervision [BCBS], 2010), filling a gap in empirical, Nigeria-specific insights (Efunniyi et al., 2024; Kafidipe, 2021).</w:t>
      </w:r>
    </w:p>
    <w:p>
      <w:pPr>
        <w:pStyle w:val="Normal"/>
        <w:rPr/>
      </w:pPr>
      <w:r>
        <w:rPr/>
        <w:t>The research questions (RQs) are:</w:t>
      </w:r>
    </w:p>
    <w:p>
      <w:pPr>
        <w:pStyle w:val="Normal"/>
        <w:rPr/>
      </w:pPr>
      <w:r>
        <w:rPr/>
        <w:t xml:space="preserve">RQ1: To what extent does adherence to robust governance practices, such as compliance with CBN Guidelines 2023, independent board oversight, and effective risk management, influence NPL ratios in Nigerian commercial banks within a fragmented regulatory framework? </w:t>
      </w:r>
    </w:p>
    <w:p>
      <w:pPr>
        <w:pStyle w:val="Normal"/>
        <w:rPr/>
      </w:pPr>
      <w:r>
        <w:rPr/>
        <w:t xml:space="preserve">RQ2: How does the independence of audit committees affect NPL ratios in Nigerian commercial banks? </w:t>
      </w:r>
    </w:p>
    <w:p>
      <w:pPr>
        <w:pStyle w:val="Normal"/>
        <w:rPr/>
      </w:pPr>
      <w:r>
        <w:rPr/>
        <w:t xml:space="preserve">RQ3: What is the impact of management qualifications, defined by banking experience and governance training, on NPL ratios in Nigerian commercial banks? </w:t>
      </w:r>
    </w:p>
    <w:p>
      <w:pPr>
        <w:pStyle w:val="Normal"/>
        <w:rPr/>
      </w:pPr>
      <w:r>
        <w:rPr/>
        <w:t xml:space="preserve">RQ4: How does the clarity and enforcement consistency of regulatory frameworks influence NPL ratios in Nigerian commercial banks? </w:t>
      </w:r>
    </w:p>
    <w:p>
      <w:pPr>
        <w:pStyle w:val="Normal"/>
        <w:rPr/>
      </w:pPr>
      <w:r>
        <w:rPr/>
        <w:t>These are tested through hypotheses (H1–H4), positing negative relationships between stronger governance elements (robust practices, audit independence, management qualifications, regulatory clarity) and NPL ratios, grounded in agency theory (Jensen &amp; Meckling, 1976) and stakeholder theory (Freeman, 1984).</w:t>
      </w:r>
    </w:p>
    <w:p>
      <w:pPr>
        <w:pStyle w:val="Normal"/>
        <w:rPr/>
      </w:pPr>
      <w:r>
        <w:rPr/>
        <w:t>The objectives (OBs) guide the inquiry:</w:t>
      </w:r>
    </w:p>
    <w:p>
      <w:pPr>
        <w:pStyle w:val="Normal"/>
        <w:rPr/>
      </w:pPr>
      <w:r>
        <w:rPr/>
        <w:t xml:space="preserve">OB1: To examine the effectiveness of robust CG practices, including board oversight and risk management, in mitigating default risk via reduced NPL ratios. </w:t>
      </w:r>
    </w:p>
    <w:p>
      <w:pPr>
        <w:pStyle w:val="Normal"/>
        <w:rPr/>
      </w:pPr>
      <w:r>
        <w:rPr/>
        <w:t xml:space="preserve">OB2: To evaluate the role of independent audit committees in strengthening financial reporting and reducing NPL ratios. </w:t>
      </w:r>
    </w:p>
    <w:p>
      <w:pPr>
        <w:pStyle w:val="Normal"/>
        <w:rPr/>
      </w:pPr>
      <w:r>
        <w:rPr/>
        <w:t xml:space="preserve">OB3: To assess the influence of management qualifications on NPL ratios (aligned with RQ3 and H3, as inferred from the integrated analysis). </w:t>
      </w:r>
    </w:p>
    <w:p>
      <w:pPr>
        <w:pStyle w:val="Normal"/>
        <w:rPr/>
      </w:pPr>
      <w:r>
        <w:rPr/>
        <w:t xml:space="preserve">OB4: To formulate actionable recommendations for a harmonized CG framework to mitigate defaults and enhance resilience. </w:t>
      </w:r>
    </w:p>
    <w:p>
      <w:pPr>
        <w:pStyle w:val="Normal"/>
        <w:rPr/>
      </w:pPr>
      <w:r>
        <w:rPr/>
        <w:t>Key findings from Chapter 4 underscore pervasive CG deficiencies. Quantitatively, the overall TotalScore (M=57.5 out of 112) indicates moderate governance, with Tenet 4 (Transparency and Accountability) scoring lowest (M=1.8 on a 7-point scale), signaling severe opacity issues. Regression analyses supported all hypotheses, with Tenet 1 (β=-0.48, p&lt;0.001) and Tenet 2 (β=-0.40, p&lt;0.001) as strongest predictors of lower NPLs, explaining 48% of variance (Adjusted R²=0.48). Bank-level aggregations (n=9 banks) revealed strong negative correlations (e.g., Tenet 1-NPL r=-0.75, p&lt;0.01), with high-NPL banks like First Bank (12.9%) showing weaker scores. Qualitatively, themes from open-ended responses (e.g., Regulatory Confusion, 62% prevalence) and interviews (e.g., Risk Management Challenges, 90%) provided explanatory depth, highlighting mechanisms like patronage-driven loans and audit capture that inflate NPLs. Integration via joint displays (Table 4.9) revealed cross-cutting drivers: patronage (e.g., unqualified appointments via concentrated ownership) and fragmentation (e.g., conflicting codes enabling evasion), amplifying agency conflicts and eroding stakeholder trust.</w:t>
      </w:r>
    </w:p>
    <w:p>
      <w:pPr>
        <w:pStyle w:val="Normal"/>
        <w:rPr/>
      </w:pPr>
      <w:r>
        <w:rPr/>
        <w:t>The chapter's structure proceeds as follows: Sections 5.2–5.5 discuss findings thematically by tenet/hypothesis/objective, integrating mixed-methods data with literature (e.g., relating to historical legacies from Chapter 1 and global benchmarks from Chapter 2). Section 5.6 synthesizes responses to RQs. Section 5.7 explores implications (theoretical, practical, policy), 5.8 addresses limitations and future research, and 5.9 concludes. Mixed-methods integration employs a convergent parallel design (Creswell &amp; Plano Clark, 2018), where quantitative patterns (e.g., correlations) are explained by qualitative narratives (e.g., interviewee excerpts on "undue influence"), triangulated with secondary data (e.g., CBN 2025 NPL reports) for robustness. Overarching insights emphasize that Nigeria's CG failures—rooted in colonial legacies and post-2004 consolidation—perpetuate a cycle of high NPLs (sector average 5.62% in April 2025, above 5% threshold), necessitating reforms like mandatory independent nomination committees and harmonized codes to reduce defaults and align with OECD principles (2023). These insights not only confirm the hypotheses but also highlight the interplay of historical, institutional, and cultural factors in emerging markets like Nigeria (Adegbite, 2014; Chinweoda et al., 2020).</w:t>
      </w:r>
    </w:p>
    <w:p>
      <w:pPr>
        <w:pStyle w:val="Heading2"/>
        <w:rPr/>
      </w:pPr>
      <w:r>
        <w:rPr/>
        <w:t>5.2 Interpretation of Findings by CG Tenets</w:t>
      </w:r>
    </w:p>
    <w:p>
      <w:pPr>
        <w:pStyle w:val="Normal"/>
        <w:rPr/>
      </w:pPr>
      <w:r>
        <w:rPr/>
        <w:t>This section interprets the findings from Chapter 4 by organizing them around the four corporate governance (CG) tenets, mirroring the structure of the results chapter for logical flow. Each subsection integrates quantitative metrics (e.g., means, regressions, correlations, and bank-level aggregations) with qualitative themes from surveys and interviews, while relating them to the hypotheses (H1–H4) and objectives (OB1–OB4). Unexpected results, such as weaker predictive power for certain tenets, are discussed in context, drawing on cultural and institutional factors unique to Nigeria's banking sector. Comparisons to literature from Chapters 1 and 2 highlight how these findings extend or challenge existing knowledge, such as historical legacies of colonial frameworks (Elias, 2024) and post-2009 crisis analyses (Sanusi, 2009). Visual references to Chapter 4 figures (e.g., updating Figure 4.6's theme network to emphasize interconnections) aid integration, illustrating how patronage and regulatory fragmentation cross-cut tenets (as per Table 4.9's joint display). This thematic approach underscores the systemic nature of CG deficiencies, where quantitative patterns reveal associations, and qualitative narratives elucidate mechanisms, supporting a pragmatic mixed-methods synthesis (Creswell &amp; Plano Clark, 2018).</w:t>
      </w:r>
    </w:p>
    <w:p>
      <w:pPr>
        <w:pStyle w:val="Normal"/>
        <w:rPr/>
      </w:pPr>
      <w:r>
        <w:rPr/>
      </w:r>
    </w:p>
    <w:p>
      <w:pPr>
        <w:pStyle w:val="Heading3"/>
        <w:rPr/>
      </w:pPr>
      <w:r>
        <w:rPr/>
        <w:t>5.2.1 Bank Governance and Risk Management (Tenet 1) – H1, OB1</w:t>
      </w:r>
    </w:p>
    <w:p>
      <w:pPr>
        <w:pStyle w:val="Normal"/>
        <w:rPr/>
      </w:pPr>
      <w:r>
        <w:rPr/>
      </w:r>
    </w:p>
    <w:p>
      <w:pPr>
        <w:pStyle w:val="Normal"/>
        <w:rPr/>
      </w:pPr>
      <w:r>
        <w:rPr/>
        <w:t>Tenet 1, focusing on risk management practices, board oversight of lending, and compliance with frameworks like CBN Guidelines 2023 and Basel III, emerges as the strongest quantitative predictor of reduced NPL ratios, fully supporting H1 and advancing OB1. The regression analysis yielded a robust β=-0.48 (p&lt;0.001), indicating that stronger perceived risk governance explains a significant portion of lower NPL variance in the model (Adjusted R²=0.48, F(7,222)=30.45, p&lt;0.001). The low mean score (M=2.4, SD=1.0; 95% bootstrapped CI [2.2, 2.6]) reflects consensus on deficiencies, with bank-level correlations (r=-0.75, p&lt;0.01; Table 4.6a) showing inverse relationships: Low-NPL banks like Fidelity (Tenet 1 M=3.0, NPL=3.2%) contrast with high-NPL ones like First Bank (M=2.4, NPL=12.9%). Subgroup variations, such as lower scores in large banks (M=2.3 vs. 2.6 in medium; t(228)=2.15, p=0.032), suggest that organizational complexity amplifies risk gaps, potentially due to dispersed operations hindering centralized controls.</w:t>
      </w:r>
    </w:p>
    <w:p>
      <w:pPr>
        <w:pStyle w:val="Normal"/>
        <w:rPr/>
      </w:pPr>
      <w:r>
        <w:rPr/>
      </w:r>
    </w:p>
    <w:p>
      <w:pPr>
        <w:pStyle w:val="Normal"/>
        <w:rPr/>
      </w:pPr>
      <w:r>
        <w:rPr/>
        <w:t>Qualitative themes reinforce and explain these patterns, with "Risk Management Challenges" dominating interviews (90%, n=9; 95% CI [0.55, 0.99]; Table 4.8b) and aligning with survey sub-themes like "lax lending practices" (n=45 in open-ended responses). Interviewees such as I2 (CEO) described lending as inherently uncertain ("50/50—no guarantee"), but attributed NPL inflation to patronage-driven approvals, where boards overlook weak KYC/CRC processes under political influence (I5: "Inadequate data for first-time borrowers"). This mechanistic insight elucidates the strong Tenet 1-Tenet 2 correlation (r=0.70, p&lt;0.01; Table 4.4), as unqualified boards (Tenet 2) fail to enforce risk protocols, perpetuating moral hazard (Abubakar, 2011). Survey responses echoed this, with 42% citing "Weak Enforcement" (n=59; CI [0.34, 0.50]), linking to infrastructure gaps that delay recovery (I8: "Lack of tracking tools").</w:t>
      </w:r>
    </w:p>
    <w:p>
      <w:pPr>
        <w:pStyle w:val="Normal"/>
        <w:rPr/>
      </w:pPr>
      <w:r>
        <w:rPr/>
      </w:r>
    </w:p>
    <w:p>
      <w:pPr>
        <w:pStyle w:val="Normal"/>
        <w:rPr/>
      </w:pPr>
      <w:r>
        <w:rPr/>
        <w:t>Relating to literature, these findings extend Adegboye (2020), who documented NPLs reaching 20% in 2017 due to lax controls, by quantifying the governance-NPL nexus in a post-2023 context (sector NPL average 5.62% in April 2025, per CBN, 2025). They challenge global benchmarks like BCBS (2010), where Basel III emphasizes robust risk frameworks, highlighting Nigeria's lag amid economic volatility (e.g., 24.1% inflation control variable). Unexpectedly, Tenet 1's strength surpasses other tenets, possibly due to its direct operational tie to NPLs, unlike more abstract transparency (Tenet 4). However, qualitative data reveals cultural barriers: Patronage, rooted in colonial legacies of cronyism (Chinweoda et al., 2020; Elias, 2024), resists reforms, as seen in 2009's insider lending (Sanusi, 2009). Updating Figure 4.6's theme network, Risk Management Challenges connects centrally to Regulatory Multiplicity, illustrating how fragmented codes (Tenet 3) enable evasion of Basel compliance.</w:t>
      </w:r>
    </w:p>
    <w:p>
      <w:pPr>
        <w:pStyle w:val="Normal"/>
        <w:rPr/>
      </w:pPr>
      <w:r>
        <w:rPr/>
      </w:r>
    </w:p>
    <w:p>
      <w:pPr>
        <w:pStyle w:val="Normal"/>
        <w:rPr/>
      </w:pPr>
      <w:r>
        <w:rPr/>
        <w:t>Implications for OB1 include prioritizing AI-enhanced CRC systems and mandatory board risk training to mitigate defaults, potentially reducing systemic interventions like the 2009 bailout. Theoretically, this refines agency theory (Jensen &amp; Meckling, 1976) for emerging markets, where concentrated ownership exacerbates adverse selection (Stiglitz, 1987). Practically, banks could emulate low-NPL peers (e.g., Wema's 3.17% with M=2.8), fostering resilience amid projected 3.6% GDP growth (IMF, 2025).</w:t>
      </w:r>
    </w:p>
    <w:p>
      <w:pPr>
        <w:pStyle w:val="Normal"/>
        <w:rPr/>
      </w:pPr>
      <w:r>
        <w:rPr/>
      </w:r>
    </w:p>
    <w:p>
      <w:pPr>
        <w:pStyle w:val="Normal"/>
        <w:rPr/>
      </w:pPr>
      <w:r>
        <w:rPr/>
      </w:r>
    </w:p>
    <w:p>
      <w:pPr>
        <w:pStyle w:val="Heading3"/>
        <w:rPr/>
      </w:pPr>
      <w:r>
        <w:rPr/>
        <w:t>5.2.2 Corporate Governance and Bank Practice (Tenet 2) – H3, OB3</w:t>
      </w:r>
    </w:p>
    <w:p>
      <w:pPr>
        <w:pStyle w:val="Normal"/>
        <w:rPr/>
      </w:pPr>
      <w:r>
        <w:rPr/>
      </w:r>
    </w:p>
    <w:p>
      <w:pPr>
        <w:pStyle w:val="Normal"/>
        <w:rPr/>
      </w:pPr>
      <w:r>
        <w:rPr/>
        <w:t>Tenet 2 addresses board practices, nomination committees, and management qualifications, supporting H3 (management qualifications reduce NPLs) and OB3 by demonstrating their impact on governance efficacy. Quantitatively, Tenet 2's β=-0.40 (p&lt;0.001) ranks second in predictive strength, with a higher mean (M=5.7, SD=1.3; CI [5.5, 5.9]) indicating relative strengths in board structures post-reforms, yet correlations with NPLs (r=-0.68, p&lt;0.05) and other tenets (e.g., r=0.70 with Tenet 1) reveal interdependencies. Bank-level data show variability: Stronger scores in medium banks (M=6.1 vs. 5.5 in large; F(3,226)=4.85, p=0.003) suggest smaller institutions benefit from agile nominations, while role differences (e.g., auditors M=6.0 vs. risk managers M=5.4; F(7,222)=2.98, p=0.005) highlight perceptual biases.</w:t>
      </w:r>
    </w:p>
    <w:p>
      <w:pPr>
        <w:pStyle w:val="Normal"/>
        <w:rPr/>
      </w:pPr>
      <w:r>
        <w:rPr/>
      </w:r>
    </w:p>
    <w:p>
      <w:pPr>
        <w:pStyle w:val="Normal"/>
        <w:rPr/>
      </w:pPr>
      <w:r>
        <w:rPr/>
        <w:t>Qualitative integration via "Lack of Expertise" (60% interviews, n=6; CI [0.26, 0.88]; 48% surveys, n=67; CI [0.39, 0.57]) explains mechanisms: I9 (CEO) noted "family ties trump qualifications," linking to nepotism sub-themes (n=28 surveys) and concentrated ownership entrenching self-interest (Fernando et al., 2019). This elucidates how 61% of banks lack independent nomination committees (Ogbechie, 2016), enabling unqualified appointments that weaken strategic oversight (I3: "Poor decisions from lack of expertise"). Survey "Stakeholder Influence" (25%, n=35; CI [0.18, 0.33]) further ties to agency problems, where political motivations prioritize connections over merit (Nwoko et al., 2022).</w:t>
      </w:r>
    </w:p>
    <w:p>
      <w:pPr>
        <w:pStyle w:val="Normal"/>
        <w:rPr/>
      </w:pPr>
      <w:r>
        <w:rPr/>
      </w:r>
    </w:p>
    <w:p>
      <w:pPr>
        <w:pStyle w:val="Normal"/>
        <w:rPr/>
      </w:pPr>
      <w:r>
        <w:rPr/>
        <w:t>Literature linkages affirm these findings, extending Owolabi (2013) on post-consolidation collapses (e.g., Intercontinental Bank) by quantifying qualification-NPL links in 2025 data. They align with OECD (2023) principles on diverse boards but challenge them in Nigeria's context, where historical government interference (pre-1986; Chinweoda et al., 2020) persists via cronyism. An unexpected result is Tenet 2's moderate mean despite reforms, explained qualitatively by entrenched cultural barriers (e.g., I7: "Ownership influence hurts strategy"), where colonial legacies foster opacity (Elias, 2024). Referencing Figure 4.5 (theme frequencies), Lack of Expertise's prevalence (48%) in large banks (52% vs. 40% medium; Table 4.7a) underscores scale effects.</w:t>
      </w:r>
    </w:p>
    <w:p>
      <w:pPr>
        <w:pStyle w:val="Normal"/>
        <w:rPr/>
      </w:pPr>
      <w:r>
        <w:rPr/>
      </w:r>
    </w:p>
    <w:p>
      <w:pPr>
        <w:pStyle w:val="Normal"/>
        <w:rPr/>
      </w:pPr>
      <w:r>
        <w:rPr/>
        <w:t>For OB3, implications emphasize enforcing qualification criteria (e.g., CIBN certifications) and independent committees to curb NPLs, potentially mirroring EU models (EU, 2019). Theoretically, this enriches stakeholder theory (Freeman, 1984), showing how unqualified boards marginalize minority interests, amplifying defaults (425 failures since 1988; Udo, 2020). Policy-wise, CBN could mandate performance-linked appointments, reducing risks in volatile environments.</w:t>
      </w:r>
    </w:p>
    <w:p>
      <w:pPr>
        <w:pStyle w:val="Normal"/>
        <w:rPr/>
      </w:pPr>
      <w:r>
        <w:rPr/>
      </w:r>
    </w:p>
    <w:p>
      <w:pPr>
        <w:pStyle w:val="Normal"/>
        <w:rPr/>
      </w:pPr>
      <w:r>
        <w:rPr/>
      </w:r>
    </w:p>
    <w:p>
      <w:pPr>
        <w:pStyle w:val="Heading3"/>
        <w:rPr/>
      </w:pPr>
      <w:r>
        <w:rPr/>
        <w:t xml:space="preserve">5.2.3 Regulatory Multiplicity (Tenet 3) – H4, OB3 </w:t>
      </w:r>
    </w:p>
    <w:p>
      <w:pPr>
        <w:pStyle w:val="Normal"/>
        <w:rPr/>
      </w:pPr>
      <w:r>
        <w:rPr/>
      </w:r>
    </w:p>
    <w:p>
      <w:pPr>
        <w:pStyle w:val="Normal"/>
        <w:rPr/>
      </w:pPr>
      <w:r>
        <w:rPr/>
        <w:t>Tenet 3 examines regulatory frameworks' clarity and enforcement, supporting H4 (clarity reduces NPLs) and contributing to OB3 by highlighting multiplicity's role in governance gaps. Quantitative results show a moderate β=-0.32 (p&lt;0.001), with M=4.0 (SD=1.1; CI [3.8, 4.2]), indicating mixed perceptions, and correlations (r=-0.60 with NPLs, p&lt;0.05; r=0.48 with Tenet 1). Bank-level patterns reveal weaker scores in high-NPL banks (e.g., Ecobank M=3.8, NPL=9.5%), with no significant size differences (t(228)=1.45, p=0.148), suggesting pervasive issues.</w:t>
      </w:r>
    </w:p>
    <w:p>
      <w:pPr>
        <w:pStyle w:val="Normal"/>
        <w:rPr/>
      </w:pPr>
      <w:r>
        <w:rPr/>
      </w:r>
    </w:p>
    <w:p>
      <w:pPr>
        <w:pStyle w:val="Normal"/>
        <w:rPr/>
      </w:pPr>
      <w:r>
        <w:rPr/>
        <w:t>Qualitative "Regulatory Confusion" (62% surveys, n=87; CI [0.53, 0.70]; 80% interviews, n=8; CI [0.44, 0.97]) provides depth: I7 (Board Chair) criticized "too many regulations" (e.g., CAMA 2020 vs. NCCG 2018), enabling selective compliance via "Apply and Explain" loopholes. Sub-themes like code conflicts (n=45 surveys) explain how ambiguity delays enforcement (I4: "CBN sanctions lack teeth"), linking to Weak Enforcement (42% surveys).</w:t>
      </w:r>
    </w:p>
    <w:p>
      <w:pPr>
        <w:pStyle w:val="Normal"/>
        <w:rPr/>
      </w:pPr>
      <w:r>
        <w:rPr/>
      </w:r>
    </w:p>
    <w:p>
      <w:pPr>
        <w:pStyle w:val="Normal"/>
        <w:rPr/>
      </w:pPr>
      <w:r>
        <w:rPr/>
        <w:t>Literature comparisons critique multiplicity per Abdulmalik and Ahmad (2020), extending Osemeke and Adegbite (2016) (67% respondents noting disparities) by linking to 2025 NPLs (e.g., sector 5.62%). They echo Chapter 1's historical analysis, where colonial ordinances (1912) layered conflicting codes, fostering ambiguity (Ofo, 2013). Unexpectedly, Tenet 3's weaker β (vs. Tenet 1) may stem from adaptive evasion, as qualitative data reveals cultural tolerance for "picking what suits" (I7), rooted in weak judicial systems (OECD, 2001). Updating Figure 4.7's conceptual model, multiplicity bridges to patronage, amplifying risks.</w:t>
      </w:r>
    </w:p>
    <w:p>
      <w:pPr>
        <w:pStyle w:val="Normal"/>
        <w:rPr/>
      </w:pPr>
      <w:r>
        <w:rPr/>
      </w:r>
    </w:p>
    <w:p>
      <w:pPr>
        <w:pStyle w:val="Normal"/>
        <w:rPr/>
      </w:pPr>
      <w:r>
        <w:rPr/>
        <w:t>Implications for OB3 include harmonizing codes (e.g., unified FRCN-CBN framework) to enhance clarity, reducing NPLs via consistent enforcement (Nwoke et al., 2023). Theoretically, this refines regulatory theory in emerging markets, where multiplicity exacerbates agency costs.</w:t>
      </w:r>
    </w:p>
    <w:p>
      <w:pPr>
        <w:pStyle w:val="Normal"/>
        <w:rPr/>
      </w:pPr>
      <w:r>
        <w:rPr/>
      </w:r>
    </w:p>
    <w:p>
      <w:pPr>
        <w:pStyle w:val="Normal"/>
        <w:rPr/>
      </w:pPr>
      <w:r>
        <w:rPr/>
      </w:r>
    </w:p>
    <w:p>
      <w:pPr>
        <w:pStyle w:val="Heading3"/>
        <w:rPr/>
      </w:pPr>
      <w:r>
        <w:rPr/>
        <w:t>5.2.4 Transparency and Accountability (Tenet 4) – H2, OB2</w:t>
      </w:r>
    </w:p>
    <w:p>
      <w:pPr>
        <w:pStyle w:val="Normal"/>
        <w:rPr/>
      </w:pPr>
      <w:r>
        <w:rPr/>
      </w:r>
    </w:p>
    <w:p>
      <w:pPr>
        <w:pStyle w:val="Normal"/>
        <w:rPr/>
      </w:pPr>
      <w:r>
        <w:rPr/>
        <w:t>Tenet 4, covering audit independence, whistleblowing, and disclosure, supports H2 (audit independence reduces NPLs) and OB2, though with the weakest quantitative impact (β=-0.28, p&lt;0.001), and lowest mean (M=1.8, SD=0.9; CI [1.6, 2.0]). Correlations (r=-0.62 with NPLs, p&lt;0.01; r=0.50 with Tenet 2) indicate linkages, with stronger scores in medium banks (M=2.2 vs. 1.7; t(228)=3.01, p=0.003) and auditors (M=2.3 vs. 1.6 sales reps; F(7,222)=5.01, p=0.025).</w:t>
      </w:r>
    </w:p>
    <w:p>
      <w:pPr>
        <w:pStyle w:val="Normal"/>
        <w:rPr/>
      </w:pPr>
      <w:r>
        <w:rPr/>
      </w:r>
    </w:p>
    <w:p>
      <w:pPr>
        <w:pStyle w:val="Normal"/>
        <w:rPr/>
      </w:pPr>
      <w:r>
        <w:rPr/>
        <w:t>Qualitative "Transparency Issues" (70% interviews, n=7; CI [0.35, 0.93]; "Need for Transparency" 38% surveys, n=53; CI [0.30, 0.47]) explain: I6 (Auditor) noted "influence by shareholders," with audit capture sub-themes (n=25 surveys) linking to fraud concealment (Olojede et al., 2020). This elucidates weak whistleblowing (I4: "Stifles reporting"), tying to 2009 crisis opacity (Sanusi, 2009).</w:t>
      </w:r>
    </w:p>
    <w:p>
      <w:pPr>
        <w:pStyle w:val="Normal"/>
        <w:rPr/>
      </w:pPr>
      <w:r>
        <w:rPr/>
      </w:r>
    </w:p>
    <w:p>
      <w:pPr>
        <w:pStyle w:val="Normal"/>
        <w:rPr/>
      </w:pPr>
      <w:r>
        <w:rPr/>
        <w:t>Literature ties to Healy and Palepu (2001) on disclosure's role, extending Adegbite (2014) on compromised committees under CAMA 359(4). Unexpected weak β reflects entrenched barriers: Qualitative cultural norms (e.g., "undue influence" I1) resist transparency, per colonial legacies (Ugochukwu, 2000). Referencing Figure 4.6, Transparency Issues connects to Risk Challenges, showing opacity masks NPLs.</w:t>
      </w:r>
    </w:p>
    <w:p>
      <w:pPr>
        <w:pStyle w:val="Normal"/>
        <w:rPr/>
      </w:pPr>
      <w:r>
        <w:rPr/>
      </w:r>
    </w:p>
    <w:p>
      <w:pPr>
        <w:pStyle w:val="Normal"/>
        <w:rPr/>
      </w:pPr>
      <w:r>
        <w:rPr/>
        <w:t>For OB2, implications include robust whistleblowing and independent audits to restore trust, aligning with EU protections (2019). Theoretically, this advances stakeholder theory, where opacity erodes confidence (Freeman, 1984), driving withdrawals.</w:t>
      </w:r>
    </w:p>
    <w:p>
      <w:pPr>
        <w:pStyle w:val="Normal"/>
        <w:rPr/>
      </w:pPr>
      <w:r>
        <w:rPr/>
      </w:r>
    </w:p>
    <w:p>
      <w:pPr>
        <w:pStyle w:val="Heading2"/>
        <w:rPr/>
      </w:pPr>
      <w:r>
        <w:rPr/>
        <w:t>5.6 Addressing the Research Questions Solely</w:t>
      </w:r>
    </w:p>
    <w:p>
      <w:pPr>
        <w:pStyle w:val="Normal"/>
        <w:rPr/>
      </w:pPr>
      <w:r>
        <w:rPr/>
        <w:t>This section provides a focused synthesis of the evidence from Chapter 4 to directly answer the research questions (RQ1–RQ4), adhering strictly to the results without broader interpretation. Structured by each research question, it integrates quantitative metrics (e.g., regression coefficients, correlations, means, and bank-level data) and qualitative themes (from surveys and interviews) to confirm the hypotheses (H1–H4). The responses draw on data from 230 questionnaire responses, 10 semi-structured interviews, and secondary sources (e.g., CBN 2025, NDIC 2024), triangulated for robustness. A summary table consolidates key evidence, ensuring clarity and alignment with the study’s mixed-methods approach. The section concludes by affirming the hypotheses and setting the stage for subsequent discussions on implications.</w:t>
      </w:r>
    </w:p>
    <w:p>
      <w:pPr>
        <w:pStyle w:val="Heading3"/>
        <w:rPr/>
      </w:pPr>
      <w:r>
        <w:rPr/>
        <w:t>5.6.1 RQ1: To What Extent Does Adherence to Robust Governance Practices, Such as Compliance with CBN Guidelines 2023, Independent Board Oversight, and Effective Risk Management, Influence Non-Performing Loan (NPL) Ratios in Nigerian Commercial Banks Within a Fragmented Regulatory Framework?</w:t>
      </w:r>
    </w:p>
    <w:p>
      <w:pPr>
        <w:pStyle w:val="Normal"/>
        <w:rPr/>
      </w:pPr>
      <w:r>
        <w:rPr/>
        <w:t>Quantitative evidence strongly supports H1, demonstrating that robust governance practices, encompassing risk management and compliance with CBN Guidelines 2023, significantly reduce NPL ratios. The regression analysis (Table 4.5) shows Tenet 1 (Bank Governance and Risk Management) with the highest predictive power (β=-0.48, p&lt;0.001), indicating that a one-unit increase in perceived governance effectiveness reduces NPL ratios by approximately 0.48 standard deviations, contributing to the model’s 48% explained variance (Adjusted R²=0.48). Bank-level correlations (Table 4.6) reinforce this, with a strong negative relationship between Tenet 1 scores and NPLs (r=-0.75, p&lt;0.01; 95% bootstrapped CI [-0.85, -0.65]). For example, Fidelity Bank (Tenet 1 M=3.0, NPL=3.2% in Q1 2025) and Wema Bank (M=2.8, NPL=3.17% in H1 2025) exhibit stronger risk governance and lower NPLs, contrasting with First Bank (M=2.4, NPL=12.9%) and Ecobank Nigeria (M=2.1, NPL=9.5%). The low mean score for Tenet 1 (M=2.4, SD=1.0; 95% CI [2.2, 2.6]; Table 4.2) indicates widespread concerns about risk management deficiencies across the sector.</w:t>
      </w:r>
    </w:p>
    <w:p>
      <w:pPr>
        <w:pStyle w:val="Normal"/>
        <w:rPr/>
      </w:pPr>
      <w:r>
        <w:rPr/>
        <w:t>Qualitative findings align, with the "Risk Management Challenges" theme prevalent in 90% of interviews (n=9; 95% CI [0.55, 0.99]; Table 4.8). Interviewee I2 (CEO) stated, "Risk assets are loans given out, but it’s 50/50—no guarantee of income," highlighting inadequate KYC and CRC processes. Survey responses echoed this, with 45 respondents citing "lax lending practices" as a sub-theme of "Weak Enforcement" (42%, n=59; CI [0.34, 0.50]; Table 4.7). These narratives confirm that poor risk controls, such as approving risky loans without rigorous checks, drive elevated NPLs, particularly in banks with weaker Tenet 1 scores.</w:t>
      </w:r>
    </w:p>
    <w:p>
      <w:pPr>
        <w:pStyle w:val="Normal"/>
        <w:rPr/>
      </w:pPr>
      <w:r>
        <w:rPr/>
        <w:t>Overall Answer: Robust governance practices, including compliance with CBN Guidelines 2023 and effective risk management, significantly lower NPL ratios in Nigerian commercial banks, despite a fragmented regulatory framework, as evidenced by strong quantitative predictors and qualitative accounts of deficient risk controls.</w:t>
      </w:r>
    </w:p>
    <w:p>
      <w:pPr>
        <w:pStyle w:val="Heading3"/>
        <w:rPr/>
      </w:pPr>
      <w:r>
        <w:rPr/>
        <w:t>5.6.2 RQ2: How Does the Independence of Audit Committees Affect Non-Performing Loan (NPL) Ratios in Nigerian Commercial Banks?</w:t>
      </w:r>
    </w:p>
    <w:p>
      <w:pPr>
        <w:pStyle w:val="Normal"/>
        <w:rPr/>
      </w:pPr>
      <w:r>
        <w:rPr/>
        <w:t>H2 is supported, with quantitative and qualitative evidence confirming that audit committee independence reduces NPL ratios by enhancing financial reporting integrity. Tenet 4 (Transparency and Accountability) shows a significant negative relationship with NPLs (β=-0.28, p&lt;0.001; Table 4.5), though it is the weakest predictor among tenets, suggesting entrenched challenges. The bank-level correlation (r=-0.62, p&lt;0.01; 95% CI [-0.78, -0.46]; Table 4.6a) links higher transparency scores to lower NPLs, as seen in Fidelity (Tenet 4 M=1.0, NPL=3.2%) and Wema (M=1.6, NPL=3.17%), compared to First Bank (M=2.0, NPL=12.9%) and Ecobank (M=1.5, NPL=9.5%). The low mean score for Tenet 4 (M=1.8, SD=0.9; 95% CI [1.6, 2.0]; Table 4.2) underscores pervasive transparency deficits, particularly in audit independence.</w:t>
      </w:r>
    </w:p>
    <w:p>
      <w:pPr>
        <w:pStyle w:val="Normal"/>
        <w:rPr/>
      </w:pPr>
      <w:r>
        <w:rPr/>
        <w:t>Qualitatively, the "Transparency Issues" theme (70% interviews, n=7; 95% CI [0.35, 0.93]; Table 4.8) and "Need for Transparency" (38% surveys, n=53; CI [0.30, 0.47]; Table 4.7) highlight compromised audit committees. Interviewee I6 (Auditor) noted, "Audit process is transparent but influenced by shareholders," with sub-themes of audit capture (n=25 surveys) and weak whistleblowing (n=4 interviews) explaining how shareholder dominance undermines oversight, allowing fraud concealment that inflates NPLs. This aligns with survey findings, where auditors emphasized transparency issues more (50% prevalence) than sales reps (30%; χ²(1)=5.01, p=0.025; Table 4.7). Independent audit committees reduce NPL ratios by improving transparency and curbing fraud, though their impact is limited by shareholder influence and weak whistleblowing, as shown by moderate quantitative effects and qualitative accounts of audit capture.</w:t>
      </w:r>
    </w:p>
    <w:p>
      <w:pPr>
        <w:pStyle w:val="Heading3"/>
        <w:rPr/>
      </w:pPr>
      <w:r>
        <w:rPr/>
        <w:t>5.6.3 RQ3: What Is the Impact of Management Qualifications, Defined by Banking Experience and Governance Training, on Non-Performing Loan (NPL) Ratios in Nigerian Commercial Banks?</w:t>
      </w:r>
    </w:p>
    <w:p>
      <w:pPr>
        <w:pStyle w:val="Normal"/>
        <w:rPr/>
      </w:pPr>
      <w:r>
        <w:rPr/>
        <w:t>H3 is confirmed, with evidence linking qualified management to lower NPL ratios through enhanced oversight and decision-making. Tenet 2 (Corporate Governance and Bank Practice) has a strong negative regression coefficient (β=-0.40, p&lt;0.001; Table 4.5), indicating that better-qualified management significantly reduces NPLs. The bank-level correlation (r=-0.68, p&lt;0.05; 95% CI [-0.82, -0.54]; Table 4.6a) supports this, with banks like Zenith (Tenet 2 M=5.9, NPL=4.7%) and UBA (M=5.8, NPL=5.58%) showing stronger scores and moderate NPLs, versus First Bank (M=5.3, NPL=12.9%). The relatively high mean (M=5.7, SD=1.3; 95% CI [5.5, 5.9]; Table 4.2) suggests improvements post-reforms, though deficiencies persist.</w:t>
      </w:r>
    </w:p>
    <w:p>
      <w:pPr>
        <w:pStyle w:val="Normal"/>
        <w:rPr/>
      </w:pPr>
      <w:r>
        <w:rPr/>
        <w:t>Qualitative data, via the "Lack of Expertise" theme (60% interviews, n=6; 95% CI [0.26, 0.88]; 48% surveys, n=67; CI [0.39, 0.57]; Tables 4.7–4.8), detail how unqualified appointments increase NPLs. Interviewee I9 (CEO) stated, "Directors lack expertise; family ties trump qualifications," with nepotism (n=28 surveys) and weak nomination committees (n=3 interviews) as sub-themes, indicating that politically motivated or underqualified appointees impair risk assessment. Risk managers (60% prevalence) cited this more than auditors (40%; χ²(1)=3.89, p=0.049; Table 4.7a), reflecting operational impacts.</w:t>
      </w:r>
    </w:p>
    <w:p>
      <w:pPr>
        <w:pStyle w:val="Normal"/>
        <w:rPr/>
      </w:pPr>
      <w:r>
        <w:rPr/>
        <w:t>Overall Answer: Management qualifications, defined by banking experience and governance training, significantly reduce NPL ratios by strengthening oversight, though nepotism and weak nomination processes limit effectiveness, as evidenced by quantitative correlations and qualitative narratives.</w:t>
      </w:r>
    </w:p>
    <w:p>
      <w:pPr>
        <w:pStyle w:val="Heading3"/>
        <w:rPr/>
      </w:pPr>
      <w:r>
        <w:rPr/>
        <w:t>5.6.4 RQ4: How Does the Clarity and Enforcement Consistency of Regulatory Frameworks Influence Non-Performing Loan (NPL) Ratios in Nigerian Commercial Banks?</w:t>
      </w:r>
    </w:p>
    <w:p>
      <w:pPr>
        <w:pStyle w:val="Normal"/>
        <w:rPr/>
      </w:pPr>
      <w:r>
        <w:rPr/>
        <w:t>H4 is supported, with quantitative and qualitative data showing that clear and consistently enforced regulatory frameworks reduce NPL ratios. Tenet 3 (Regulatory Multiplicity) has a significant negative regression coefficient (β=-0.32, p&lt;0.001; Table 4.5), indicating that clearer regulations lower NPLs. The bank-level correlation (r=-0.60, p&lt;0.05; 95% CI [-0.76, -0.44]; Table 4.6a) aligns, with stronger scores in low-NPL banks (e.g., Wema M=4.2, NPL=3.17%) versus high-NPL ones (e.g., Ecobank M=3.8, NPL=9.5%). The moderate mean (M=4.0, SD=1.1; 95% CI [3.8, 4.2]; Table 4.2) reflects mixed perceptions of regulatory clarity.</w:t>
      </w:r>
    </w:p>
    <w:p>
      <w:pPr>
        <w:pStyle w:val="Normal"/>
        <w:rPr/>
      </w:pPr>
      <w:r>
        <w:rPr/>
        <w:t>Qualitatively, "Regulatory Confusion" dominates surveys (62%, n=87; 95% CI [0.53, 0.70]; Table 4.7) and interviews (80%, n=8; 95% CI [0.44, 0.97]; Table 4.8). Interviewee I7 (Board Chair) noted, "Too many regulations make it confusing; banks pick what suits them," with sub-themes of code conflicts (n=45 surveys) and enforcement gaps (n=6 interviews) highlighting how overlapping codes (e.g., CAMA 2020 vs. NCCG 2018) enable evasion. Regulators emphasized this more (75% prevalence) than bankers (58%; χ²(1)=4.12, p=0.042; Table 4.7a).</w:t>
      </w:r>
    </w:p>
    <w:p>
      <w:pPr>
        <w:pStyle w:val="Normal"/>
        <w:rPr/>
      </w:pPr>
      <w:r>
        <w:rPr/>
        <w:t>Overall Answer: Clear and consistently enforced regulatory frameworks reduce NPL ratios by minimizing ambiguity, though multiplicity and weak enforcement enable selective compliance, as shown by moderate quantitative effects and qualitative accounts of regulatory confusion.</w:t>
      </w:r>
    </w:p>
    <w:p>
      <w:pPr>
        <w:pStyle w:val="Normal"/>
        <w:rPr/>
      </w:pPr>
      <w:r>
        <w:rPr/>
      </w:r>
    </w:p>
    <w:p>
      <w:pPr>
        <w:pStyle w:val="Normal"/>
        <w:rPr/>
      </w:pPr>
      <w:r>
        <w:rPr/>
        <w:t>5.6.5 Summary Table</w:t>
      </w:r>
    </w:p>
    <w:p>
      <w:pPr>
        <w:pStyle w:val="Normal"/>
        <w:rPr/>
      </w:pPr>
      <w:r>
        <w:rPr/>
      </w:r>
    </w:p>
    <w:tbl>
      <w:tblPr>
        <w:tblW w:w="9972" w:type="dxa"/>
        <w:jc w:val="start"/>
        <w:tblInd w:w="0" w:type="dxa"/>
        <w:tblLayout w:type="fixed"/>
        <w:tblCellMar>
          <w:top w:w="0" w:type="dxa"/>
          <w:start w:w="108" w:type="dxa"/>
          <w:bottom w:w="0" w:type="dxa"/>
          <w:end w:w="108" w:type="dxa"/>
        </w:tblCellMar>
      </w:tblPr>
      <w:tblGrid>
        <w:gridCol w:w="3226"/>
        <w:gridCol w:w="2157"/>
        <w:gridCol w:w="2253"/>
        <w:gridCol w:w="2336"/>
      </w:tblGrid>
      <w:tr>
        <w:trPr/>
        <w:tc>
          <w:tcPr>
            <w:tcW w:w="3226"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before="0" w:after="0"/>
              <w:rPr>
                <w:rFonts w:ascii="Calibri" w:hAnsi="Calibri"/>
                <w:sz w:val="24"/>
                <w:szCs w:val="24"/>
                <w:lang w:val="en-GB" w:bidi="ar-SA"/>
              </w:rPr>
            </w:pPr>
            <w:r>
              <w:rPr>
                <w:sz w:val="24"/>
                <w:szCs w:val="24"/>
                <w:lang w:val="en-GB" w:bidi="ar-SA"/>
              </w:rPr>
              <w:t>Research Question</w:t>
            </w:r>
          </w:p>
        </w:tc>
        <w:tc>
          <w:tcPr>
            <w:tcW w:w="2157"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before="0" w:after="0"/>
              <w:rPr>
                <w:rFonts w:ascii="Calibri" w:hAnsi="Calibri"/>
                <w:sz w:val="24"/>
                <w:szCs w:val="24"/>
                <w:lang w:val="en-GB" w:bidi="ar-SA"/>
              </w:rPr>
            </w:pPr>
            <w:r>
              <w:rPr>
                <w:sz w:val="24"/>
                <w:szCs w:val="24"/>
                <w:lang w:val="en-GB" w:bidi="ar-SA"/>
              </w:rPr>
              <w:t>Key Evidence from Quantitative</w:t>
            </w:r>
          </w:p>
        </w:tc>
        <w:tc>
          <w:tcPr>
            <w:tcW w:w="2253"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before="0" w:after="0"/>
              <w:rPr>
                <w:rFonts w:ascii="Calibri" w:hAnsi="Calibri"/>
                <w:sz w:val="24"/>
                <w:szCs w:val="24"/>
                <w:lang w:val="en-GB" w:bidi="ar-SA"/>
              </w:rPr>
            </w:pPr>
            <w:r>
              <w:rPr>
                <w:sz w:val="24"/>
                <w:szCs w:val="24"/>
                <w:lang w:val="en-GB" w:bidi="ar-SA"/>
              </w:rPr>
              <w:t>Key Evidence from Qualitative</w:t>
            </w:r>
          </w:p>
        </w:tc>
        <w:tc>
          <w:tcPr>
            <w:tcW w:w="2336" w:type="dxa"/>
            <w:tcBorders>
              <w:top w:val="single" w:sz="4" w:space="0" w:color="FFE599"/>
              <w:start w:val="single" w:sz="4" w:space="0" w:color="FFE599"/>
              <w:bottom w:val="single" w:sz="12" w:space="0" w:color="FFC000"/>
              <w:end w:val="single" w:sz="4" w:space="0" w:color="FFE599"/>
            </w:tcBorders>
          </w:tcPr>
          <w:p>
            <w:pPr>
              <w:pStyle w:val="TableHeading"/>
              <w:suppressAutoHyphens w:val="true"/>
              <w:spacing w:before="0" w:after="0"/>
              <w:rPr>
                <w:rFonts w:ascii="Calibri" w:hAnsi="Calibri"/>
                <w:sz w:val="24"/>
                <w:szCs w:val="24"/>
                <w:lang w:val="en-GB" w:bidi="ar-SA"/>
              </w:rPr>
            </w:pPr>
            <w:r>
              <w:rPr>
                <w:sz w:val="24"/>
                <w:szCs w:val="24"/>
                <w:lang w:val="en-GB" w:bidi="ar-SA"/>
              </w:rPr>
              <w:t>Overall Answer</w:t>
            </w:r>
          </w:p>
        </w:tc>
      </w:tr>
      <w:tr>
        <w:trPr/>
        <w:tc>
          <w:tcPr>
            <w:tcW w:w="322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b/>
                <w:bCs/>
                <w:sz w:val="24"/>
                <w:szCs w:val="24"/>
                <w:lang w:val="en-GB" w:bidi="ar-SA"/>
              </w:rPr>
            </w:pPr>
            <w:r>
              <w:rPr>
                <w:rStyle w:val="Strong"/>
                <w:sz w:val="24"/>
                <w:szCs w:val="24"/>
                <w:lang w:val="en-GB" w:bidi="ar-SA"/>
              </w:rPr>
              <w:t>RQ1</w:t>
            </w:r>
            <w:r>
              <w:rPr>
                <w:b/>
                <w:bCs/>
                <w:sz w:val="24"/>
                <w:szCs w:val="24"/>
                <w:lang w:val="en-GB" w:bidi="ar-SA"/>
              </w:rPr>
              <w:t>: To what extent does adherence to robust governance practices, such as compliance with CBN Guidelines 2023, independent board oversight, and effective risk management, influence NPL ratios in Nigerian commercial banks within a fragmented regulatory framework?</w:t>
            </w:r>
          </w:p>
        </w:tc>
        <w:tc>
          <w:tcPr>
            <w:tcW w:w="2157"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β=-0.48 (p&lt;0.001) for Tenet 1; r=-0.75 (p&lt;0.01) bank-level; Fidelity (M=3.0, NPL=3.2%) vs. First Bank (M=2.4, NPL=12.9%).</w:t>
            </w:r>
          </w:p>
        </w:tc>
        <w:tc>
          <w:tcPr>
            <w:tcW w:w="2253"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Risk Management Challenges (90%, n=9 interviews): "Risk assets are 50/50" (I2); lax lending practices (n=45 surveys).</w:t>
            </w:r>
          </w:p>
        </w:tc>
        <w:tc>
          <w:tcPr>
            <w:tcW w:w="233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Robust practices significantly lower NPL ratios despite fragmentation, per strong regression and qualitative risk control issues.</w:t>
            </w:r>
          </w:p>
        </w:tc>
      </w:tr>
      <w:tr>
        <w:trPr/>
        <w:tc>
          <w:tcPr>
            <w:tcW w:w="322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b/>
                <w:bCs/>
                <w:sz w:val="24"/>
                <w:szCs w:val="24"/>
                <w:lang w:val="en-GB" w:bidi="ar-SA"/>
              </w:rPr>
            </w:pPr>
            <w:r>
              <w:rPr>
                <w:rStyle w:val="Strong"/>
                <w:sz w:val="24"/>
                <w:szCs w:val="24"/>
                <w:lang w:val="en-GB" w:bidi="ar-SA"/>
              </w:rPr>
              <w:t>RQ2</w:t>
            </w:r>
            <w:r>
              <w:rPr>
                <w:b/>
                <w:bCs/>
                <w:sz w:val="24"/>
                <w:szCs w:val="24"/>
                <w:lang w:val="en-GB" w:bidi="ar-SA"/>
              </w:rPr>
              <w:t>: How does the independence of audit committees affect NPL ratios in Nigerian commercial banks?</w:t>
            </w:r>
          </w:p>
        </w:tc>
        <w:tc>
          <w:tcPr>
            <w:tcW w:w="2157"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β=-0.28 (p&lt;0.001) for Tenet 4; r=-0.62 (p&lt;0.01); Wema (M=1.6, NPL=3.17%) vs. Ecobank (M=1.5, NPL=9.5%).</w:t>
            </w:r>
          </w:p>
        </w:tc>
        <w:tc>
          <w:tcPr>
            <w:tcW w:w="2253"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Transparency Issues (70%, n=7 interviews): "Audit influenced by shareholders" (I6); audit capture (n=25 surveys).</w:t>
            </w:r>
          </w:p>
        </w:tc>
        <w:tc>
          <w:tcPr>
            <w:tcW w:w="233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Audit independence reduces NPLs, limited by shareholder influence, per moderate quantitative effects and qualitative barriers.</w:t>
            </w:r>
          </w:p>
        </w:tc>
      </w:tr>
      <w:tr>
        <w:trPr/>
        <w:tc>
          <w:tcPr>
            <w:tcW w:w="322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b/>
                <w:bCs/>
                <w:sz w:val="24"/>
                <w:szCs w:val="24"/>
                <w:lang w:val="en-GB" w:bidi="ar-SA"/>
              </w:rPr>
            </w:pPr>
            <w:r>
              <w:rPr>
                <w:rStyle w:val="Strong"/>
                <w:sz w:val="24"/>
                <w:szCs w:val="24"/>
                <w:lang w:val="en-GB" w:bidi="ar-SA"/>
              </w:rPr>
              <w:t>RQ3</w:t>
            </w:r>
            <w:r>
              <w:rPr>
                <w:b/>
                <w:bCs/>
                <w:sz w:val="24"/>
                <w:szCs w:val="24"/>
                <w:lang w:val="en-GB" w:bidi="ar-SA"/>
              </w:rPr>
              <w:t>: What is the impact of management qualifications, defined by banking experience and governance training, on NPL ratios in Nigerian commercial banks?</w:t>
            </w:r>
          </w:p>
        </w:tc>
        <w:tc>
          <w:tcPr>
            <w:tcW w:w="2157"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β=-0.40 (p&lt;0.001) for Tenet 2; r=-0.68 (p&lt;0.05); Zenith (M=5.9, NPL=4.7%) vs. First Bank (M=5.3, NPL=12.9%).</w:t>
            </w:r>
          </w:p>
        </w:tc>
        <w:tc>
          <w:tcPr>
            <w:tcW w:w="2253"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Lack of Expertise (60%, n=6 interviews; 48%, n=67 surveys): "Family ties trump qualifications" (I9); nepotism (n=28 surveys).</w:t>
            </w:r>
          </w:p>
        </w:tc>
        <w:tc>
          <w:tcPr>
            <w:tcW w:w="233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Qualified management reduces NPLs, hindered by nepotism, per strong quantitative predictors and qualitative appointment issues.</w:t>
            </w:r>
          </w:p>
        </w:tc>
      </w:tr>
      <w:tr>
        <w:trPr/>
        <w:tc>
          <w:tcPr>
            <w:tcW w:w="322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b/>
                <w:bCs/>
                <w:sz w:val="24"/>
                <w:szCs w:val="24"/>
                <w:lang w:val="en-GB" w:bidi="ar-SA"/>
              </w:rPr>
            </w:pPr>
            <w:r>
              <w:rPr>
                <w:rStyle w:val="Strong"/>
                <w:sz w:val="24"/>
                <w:szCs w:val="24"/>
                <w:lang w:val="en-GB" w:bidi="ar-SA"/>
              </w:rPr>
              <w:t>RQ4</w:t>
            </w:r>
            <w:r>
              <w:rPr>
                <w:b/>
                <w:bCs/>
                <w:sz w:val="24"/>
                <w:szCs w:val="24"/>
                <w:lang w:val="en-GB" w:bidi="ar-SA"/>
              </w:rPr>
              <w:t>: How does the clarity and enforcement consistency of regulatory frameworks influence NPL ratios in Nigerian commercial banks?</w:t>
            </w:r>
          </w:p>
        </w:tc>
        <w:tc>
          <w:tcPr>
            <w:tcW w:w="2157"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β=-0.32 (p&lt;0.001) for Tenet 3; r=-0.60 (p&lt;0.05); Wema (M=4.2, NPL=3.17%) vs. Ecobank (M=3.8, NPL=9.5%).</w:t>
            </w:r>
          </w:p>
        </w:tc>
        <w:tc>
          <w:tcPr>
            <w:tcW w:w="2253"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Regulatory Confusion (62%, n=87 surveys; 80%, n=8 interviews): "Too many regulations" (I7); code conflicts (n=45 surveys).</w:t>
            </w:r>
          </w:p>
        </w:tc>
        <w:tc>
          <w:tcPr>
            <w:tcW w:w="2336" w:type="dxa"/>
            <w:tcBorders>
              <w:top w:val="single" w:sz="4" w:space="0" w:color="FFE599"/>
              <w:start w:val="single" w:sz="4" w:space="0" w:color="FFE599"/>
              <w:bottom w:val="single" w:sz="4" w:space="0" w:color="FFE599"/>
              <w:end w:val="single" w:sz="4" w:space="0" w:color="FFE599"/>
            </w:tcBorders>
          </w:tcPr>
          <w:p>
            <w:pPr>
              <w:pStyle w:val="TableContents"/>
              <w:suppressAutoHyphens w:val="true"/>
              <w:spacing w:before="0" w:after="0"/>
              <w:rPr>
                <w:rFonts w:ascii="Calibri" w:hAnsi="Calibri"/>
                <w:sz w:val="24"/>
                <w:szCs w:val="24"/>
                <w:lang w:val="en-GB" w:bidi="ar-SA"/>
              </w:rPr>
            </w:pPr>
            <w:r>
              <w:rPr>
                <w:sz w:val="24"/>
                <w:szCs w:val="24"/>
                <w:lang w:val="en-GB" w:bidi="ar-SA"/>
              </w:rPr>
              <w:t>Clear regulations reduce NPLs, undermined by multiplicity, per moderate quantitative effects and qualitative confusion accounts.</w:t>
            </w:r>
          </w:p>
        </w:tc>
      </w:tr>
    </w:tbl>
    <w:p>
      <w:pPr>
        <w:pStyle w:val="Normal"/>
        <w:rPr/>
      </w:pPr>
      <w:r>
        <w:rPr/>
        <w:br/>
        <w:t>These direct answers to RQ1–RQ4 confirm H1–H4, demonstrating that robust governance practices, independent audit committees, qualified management, and clear regulatory frameworks significantly reduce NPL ratios in Nigerian commercial banks, though challenges like patronage, audit capture, and regulatory multiplicity persist. The quantitative evidence (e.g., β=-0.48 to -0.28, r=-0.75 to -0.60) and qualitative themes (e.g., Risk Management Challenges, Transparency Issues) provide a cohesive picture, setting the foundation for broader implications and reform recommendations in subsequent sections.</w:t>
      </w:r>
    </w:p>
    <w:p>
      <w:pPr>
        <w:pStyle w:val="Heading2"/>
        <w:rPr/>
      </w:pPr>
      <w:r>
        <w:rPr/>
        <w:br/>
        <w:t>5.7 Theoretical and Practical Implications</w:t>
      </w:r>
    </w:p>
    <w:p>
      <w:pPr>
        <w:pStyle w:val="BodyText"/>
        <w:spacing w:lineRule="auto" w:line="480"/>
        <w:rPr/>
      </w:pPr>
      <w:r>
        <w:rPr/>
        <w:t>The findings from this study, as synthesized in Chapters 4 and 5, offer significant theoretical and practical implications for corporate governance (CG) in Nigeria's Deposit Money Banks (DMBs). Theoretically, they extend established frameworks like agency theory (Jensen &amp; Meckling, 1976) and stakeholder theory (Freeman, 1984) by contextualizing them within Nigeria's unique socio-economic and historical landscape, particularly highlighting patronage and regulatory fragmentation as amplified mechanisms driving Non-Performing Loan (NPL) ratios. Practically, the results inform policy reforms aligned with objective OB4, such as harmonizing regulatory codes and mandating independent nomination committees, while providing actionable insights for banks, regulators like the Central Bank of Nigeria (CBN), and the broader economy. These implications are contextualized with 2025 data, including the International Monetary Fund's (IMF) upwardly revised projection of 3.4% real GDP growth for Nigeria (from earlier estimates; IMF, 2025) and the CBN's July 2025 Monetary Policy Committee (MPC) Communiqué No. 158, which retained the Monetary Policy Rate (MPR) at 27.5% amid declining headline inflation (third consecutive month in June 2025, moderating toward 23-24% from a 24.1% average; CBN, 2025). This economic backdrop underscores the urgency of CG reforms to sustain stability in a volatile environment, where persistent NPLs (sector average 5.62% in April 2025, above the 5% threshold) threaten growth projections.</w:t>
      </w:r>
    </w:p>
    <w:p>
      <w:pPr>
        <w:pStyle w:val="Heading3"/>
        <w:rPr/>
      </w:pPr>
      <w:r>
        <w:rPr/>
        <w:t>Theoretical Implications</w:t>
      </w:r>
    </w:p>
    <w:p>
      <w:pPr>
        <w:pStyle w:val="Normal"/>
        <w:rPr/>
      </w:pPr>
      <w:r>
        <w:rPr/>
        <w:t>The study's mixed-methods findings refine agency theory by illustrating how governance deficiencies exacerbate principal-agent conflicts in an emerging market like Nigeria, where historical legacies amplify traditional mechanisms. Agency theory posits that managers (agents) may prioritize self-interest over shareholders (principals), leading to moral hazard and adverse selection (Jensen &amp; Meckling, 1976). Here, quantitative results (e.g., Tenet 1 β=-0.48, Tenet 2 β=-0.40) and qualitative themes (e.g., "Risk Management Challenges" 90% prevalence; "Lack of Expertise" 60%) reveal patronage as a novel, context-specific agency mechanism: Politically motivated or family-based appointments (e.g., I9: "Family ties trump qualifications") entrench unqualified management, enabling insider lending and lax risk controls that inflate NPLs, as seen in Oceanic Bank's 2009 collapse (75% insider-linked NPLs; Sanusi, 2009). This extends the theory beyond Western contexts, where concentrated ownership correlates with defaults (Fernando et al., 2019), by integrating Nigeria's colonial legacies—pre-1986 government cronyism persisting post-consolidation (Chinweoda et al., 2020; Elias, 2024)—as structural enablers of agency costs. For instance, the strong Tenet 1-Tenet 2 correlation (r=0.70) mechanistically shows how weak board practices (e.g., absent nomination committees in 61% of banks; Ogbechie, 2016) allow agents to misuse depositors' funds via special purpose vehicles (Abubakar, 2011), shifting risks to taxpayers (e.g., 2009 $3.9 billion bailout).</w:t>
      </w:r>
    </w:p>
    <w:p>
      <w:pPr>
        <w:pStyle w:val="Normal"/>
        <w:rPr/>
      </w:pPr>
      <w:r>
        <w:rPr/>
        <w:t>Furthermore, the findings enrich stakeholder theory by emphasizing how CG failures erode trust across diverse groups—depositors, minority shareholders, regulators—in a stakeholder-intensive banking sector (Freeman, 1984). Low Tenet 4 scores (M=1.8, β=-0.28) and themes like "Transparency Issues" (70%) highlight opacity's role in marginalizing stakeholders: Audit capture (I6: "Influenced by shareholders") and weak whistleblowing conceal fraud, triggering deposit withdrawals and systemic instability (Ugochukwu, 2000). This aligns with Healy and Palepu (2001) on disclosure's importance but extends it to Nigeria, where regulatory multiplicity (Tenet 3 β=-0.32) creates ambiguity that prioritizes majority shareholders over minorities, exacerbating agency-stakeholder overlaps (Osemeke &amp; Adegbite, 2016). The cross-cutting patronage-fragmentation dynamic (Table 4.9) refines the theory for emerging economies: In Nigeria's context, where banks drive economic growth (King &amp; Levine, 1993), governance lapses not only heighten defaults (425 failures since 1988; Udo, 2020) but also undermine stakeholder confidence amid 2025's moderating inflation and 3.4% GDP growth (IMF, 2025), potentially derailing sustainable development.</w:t>
      </w:r>
    </w:p>
    <w:p>
      <w:pPr>
        <w:pStyle w:val="Normal"/>
        <w:rPr/>
      </w:pPr>
      <w:r>
        <w:rPr/>
        <w:t>Overall, these extensions contribute to CG literature by bridging global theories with local realities, such as cultural cronyism rooted in pre-colonial communal structures disrupted by colonial ordinances (Altin, 2024; Agamah, 2024). They affirm the study's pragmatic epistemology, where quantitative rigor (e.g., bootstrapped CIs) meets qualitative depth (e.g., I2 on "50/50" lending risks) to reveal nuanced mechanisms, informing future theoretical models for African banking (e.g., incorporating patronage as a variable in agency equations).</w:t>
      </w:r>
    </w:p>
    <w:p>
      <w:pPr>
        <w:pStyle w:val="Heading3"/>
        <w:rPr/>
      </w:pPr>
      <w:r>
        <w:rPr/>
        <w:t>Practical Implications</w:t>
      </w:r>
    </w:p>
    <w:p>
      <w:pPr>
        <w:pStyle w:val="Normal"/>
        <w:rPr/>
      </w:pPr>
      <w:r>
        <w:rPr/>
        <w:t>Practically, the findings translate into targeted recommendations for enhancing accountability and transparency, directly fulfilling OB4's call for a harmonized CG framework aligned with global standards (OECD, 2023; BCBS, 2010). For policymakers, a key reform is regulatory harmonization: Conflicting codes (e.g., CAMA 2020's fines vs. NCCG 2018's flexibility; Abdulmalik &amp; Ahmad, 2020) enable evasion, as per Tenet 3's moderate impact (β=-0.32) and "Regulatory Confusion" (62% surveys). A unified code under the Financial Reporting Council of Nigeria (FRCN) and CBN could streamline enforcement, reducing ambiguity and NPLs, especially given the CBN's July 2025 MPC retention of 27.5% MPR to combat inflation (CBN, 2025). Mandating independent nomination committees in all banks—addressing the 61% gap (Ogbechie, 2016)—would curb patronage, ensuring qualified appointments with banking experience and governance training (H3 supported; Tenet 2 β=-0.40). This could be enforced via CBN guidelines, with penalties for non-compliance, potentially lowering the sector's 5.62% NPL average and averting future insolvencies (NDIC managed 425 since 1988; Udo, 2020).</w:t>
      </w:r>
    </w:p>
    <w:p>
      <w:pPr>
        <w:pStyle w:val="Normal"/>
        <w:rPr/>
      </w:pPr>
      <w:r>
        <w:rPr/>
        <w:t>For banks, practical steps include bolstering risk management (Tenet 1 β=-0.48) through AI-driven KYC/CRC systems and Basel III-compliant tools, as qualitative narratives reveal infrastructure gaps (I8). Training programs for board members on ethical oversight and performance-linked compensation (Al-Shaer et al., 2022) would address "Lack of Expertise" (48% surveys), fostering independence and reducing agency-driven NPLs. Banks like Fidelity (low NPL 3.2%) could serve as models, implementing robust whistleblowing mechanisms to enhance transparency (Tenet 4 β=-0.28), protecting stakeholders and mitigating fraud concealment (Olojede et al., 2020). In 2025's context, with IMF-projected 3.4% GDP growth amid moderating inflation (IMF, 2025; CBN, 2025), such measures could improve liquidity and credit access, supporting economic recovery.</w:t>
      </w:r>
    </w:p>
    <w:p>
      <w:pPr>
        <w:pStyle w:val="Normal"/>
        <w:rPr/>
      </w:pPr>
      <w:r>
        <w:rPr/>
        <w:t>For regulators like the CBN and FRCN, implications emphasize stronger enforcement: Weak mechanisms (42% surveys) allow non-compliance, as per "Weak Enforcement" theme. Empowering regulators with resources for regular audits and blacklisting (e.g., 178 executives removed post-2009; Jimoh &amp; Iyoha, 2012) would align with OECD (2023) principles, while risk-based deposit insurance (Demirguc-Kunt &amp; Huizinga, 2010) could incentivize better governance. This is critical amid 2025's economic projections, where sustained high MPR (27.5%) aims to curb inflation but risks stifling lending if NPLs persist.</w:t>
      </w:r>
    </w:p>
    <w:p>
      <w:pPr>
        <w:pStyle w:val="Normal"/>
        <w:rPr/>
      </w:pPr>
      <w:r>
        <w:rPr/>
        <w:t>Economically, robust CG could reduce systemic risks, safeguarding Nigeria's banking sector—pivotal for growth (Siyanbola, 2019)—and preventing ripple effects like the 2009 crisis. By lowering NPLs below 5%, reforms could enhance financial stability, attract foreign investment amid 3.4% GDP forecasts (IMF, 2025), and minimize taxpayer burdens from bailouts. Ultimately, these implications promote sustainable governance, aligning Nigeria with global standards and fostering resilience in a post-consolidation era.</w:t>
      </w:r>
    </w:p>
    <w:p>
      <w:pPr>
        <w:pStyle w:val="Normal"/>
        <w:rPr/>
      </w:pPr>
      <w:r>
        <w:rPr/>
      </w:r>
    </w:p>
    <w:p>
      <w:pPr>
        <w:pStyle w:val="Heading2"/>
        <w:rPr/>
      </w:pPr>
      <w:r>
        <w:rPr/>
        <w:t>5.8 Limitations and Future Research</w:t>
      </w:r>
    </w:p>
    <w:p>
      <w:pPr>
        <w:pStyle w:val="Normal"/>
        <w:rPr/>
      </w:pPr>
      <w:r>
        <w:rPr/>
        <w:t>This study provides robust insights into corporate governance (CG) deficiencies in Nigerian Deposit Money Banks (DMBs) and their impact on Non-Performing Loan (NPL) ratios, yet several methodological and contextual limitations must be acknowledged. These limitations, while not undermining the findings' validity, highlight areas for refinement. Future research directions are proposed to address these constraints, leveraging longitudinal, comparative, and experimental approaches to deepen understanding and inform governance reforms in Nigeria and similar African contexts.</w:t>
      </w:r>
    </w:p>
    <w:p>
      <w:pPr>
        <w:pStyle w:val="Normal"/>
        <w:rPr/>
      </w:pPr>
      <w:r>
        <w:rPr/>
        <w:t>Limitations</w:t>
      </w:r>
    </w:p>
    <w:p>
      <w:pPr>
        <w:pStyle w:val="Normal"/>
        <w:rPr/>
      </w:pPr>
      <w:r>
        <w:rPr>
          <w:rStyle w:val="Strong"/>
        </w:rPr>
        <w:t>Sample Bias and Geographic Focus</w:t>
      </w:r>
      <w:r>
        <w:rPr/>
        <w:t>: The quantitative component relied on a purposive sample of 230 respondents (57.5% response rate from 400 distributed questionnaires), primarily drawn from Abuja-based banking professionals. While Abuja, as a financial hub, provided diverse insights, this focus may limit generalizability to other regions, such as Lagos or rural areas, where governance practices or economic conditions differ (e.g., rural banks face unique infrastructure gaps; I8, interview). The sample skewed toward large banks (75%, n=173; assets &gt; N10 trillion), reflecting their market dominance (over 80% of sector assets; CBN, 2025), but underrepresenting medium and small banks (25%, n=57). This skew may overemphasize governance challenges in complex, large institutions (e.g., First Bank, NPL=12.9%) while undercapturing dynamics in smaller banks like Wema (NPL=3.17%). Cross-validation with secondary data (e.g., CBN, NDIC 2025) mitigated this, but broader sampling could enhance representativeness.</w:t>
      </w:r>
    </w:p>
    <w:p>
      <w:pPr>
        <w:pStyle w:val="Normal"/>
        <w:rPr/>
      </w:pPr>
      <w:r>
        <w:rPr>
          <w:rStyle w:val="Strong"/>
        </w:rPr>
        <w:t>Small Interview Sample Size</w:t>
      </w:r>
      <w:r>
        <w:rPr/>
        <w:t>: The qualitative component included 10 semi-structured interviews (50% response rate from 20 scheduled), constrained by logistical challenges and participant availability during March–June 2025. While saturation was achieved after eight interviews (Guest et al., 2006), the small sample (n=10, 5 CEOs/board chairs, 5 executives) limits the depth of perspectives, particularly from operational staff or regulators. This may have underrepresented certain views, such as frontline insights on whistleblowing implementation. High inter-coder reliability (85%, Cohen’s Kappa=0.82) and triangulation with survey data (n≈140 open-ended responses) bolstered rigor, but a larger, more diverse interviewee pool could uncover additional nuances, especially on sensitive issues like fraud concealment.</w:t>
      </w:r>
    </w:p>
    <w:p>
      <w:pPr>
        <w:pStyle w:val="Normal"/>
        <w:rPr/>
      </w:pPr>
      <w:r>
        <w:rPr>
          <w:rStyle w:val="Strong"/>
        </w:rPr>
        <w:t>Response Bias on Sensitive Topics</w:t>
      </w:r>
      <w:r>
        <w:rPr/>
        <w:t>: The study’s focus on sensitive topics—fraud, insider lending, and audit capture—introduces potential response bias, particularly in surveys and interviews. Social desirability bias (Nederhof, 1985) may have led respondents to underreport governance lapses (e.g., "undue influence" noted by I1) due to professional or cultural pressures, especially in Nigeria’s hierarchical banking culture rooted in colonial legacies (Elias, 2024). The low Tenet 4 mean (M=1.8, SD=0.9) suggests transparency issues were acknowledged, but their weaker predictive power (β=-0.28) may reflect underreporting, as qualitative narratives (e.g., "Transparency Issues," 70% interviews) indicate deeper entrenchment than quantified. Anonymous data collection and compliance with the Nigeria Data Protection Act 2023 mitigated this, but indirect questioning techniques (Tourangeau &amp; Yan, 2007) could further reduce bias.</w:t>
      </w:r>
    </w:p>
    <w:p>
      <w:pPr>
        <w:pStyle w:val="Normal"/>
        <w:rPr/>
      </w:pPr>
      <w:r>
        <w:rPr>
          <w:rStyle w:val="Strong"/>
        </w:rPr>
        <w:t>Data and Contextual Constraints</w:t>
      </w:r>
      <w:r>
        <w:rPr/>
        <w:t>: The reliance on Q1/H1 2025 NPL data (e.g., CBN, Nairametrics) introduces potential reporting opacity, a known issue in Nigeria’s banking sector (Olojede et al., 2020). While triangulated with audited financials, inconsistencies in bank disclosures (e.g., delayed H1 data for some banks) may affect precision. Additionally, the 2025 economic context (3.4% GDP growth, 24.1% inflation; IMF, CBN, 2025) may have influenced perceptions, potentially amplifying concerns about risk management (Tenet 1 M=2.4). These temporal factors limit historical comparisons, such as with the 2009 crisis (Sanusi, 2009).</w:t>
      </w:r>
    </w:p>
    <w:p>
      <w:pPr>
        <w:pStyle w:val="Heading3"/>
        <w:rPr/>
      </w:pPr>
      <w:r>
        <w:rPr/>
        <w:t>Future Research Directions</w:t>
      </w:r>
    </w:p>
    <w:p>
      <w:pPr>
        <w:pStyle w:val="Normal"/>
        <w:rPr/>
      </w:pPr>
      <w:r>
        <w:rPr>
          <w:rStyle w:val="Strong"/>
        </w:rPr>
        <w:t>Longitudinal Studies</w:t>
      </w:r>
      <w:r>
        <w:rPr/>
        <w:t>: This cross-sectional study captures a 2025 snapshot, limiting insights into how CG reforms evolve over time. Longitudinal designs tracking NPL ratios and governance metrics (e.g., Tenet scores) across multiple years could assess the durability of interventions like CBN Guidelines 2023 or post-2009 reforms. For instance, examining whether banks like Fidelity (NPL=3.2%) sustain low NPLs with improved risk management (Tenet 1 M=3.0) could validate long-term reform efficacy, addressing Kafidipe’s (2021) call for sustained post-consolidation analysis.</w:t>
      </w:r>
    </w:p>
    <w:p>
      <w:pPr>
        <w:pStyle w:val="Normal"/>
        <w:rPr/>
      </w:pPr>
      <w:r>
        <w:rPr>
          <w:rStyle w:val="Strong"/>
        </w:rPr>
        <w:t>Comparative Analysis with African Countries</w:t>
      </w:r>
      <w:r>
        <w:rPr/>
        <w:t>: Nigeria’s banking sector shares challenges with other African nations, such as weak enforcement and colonial legacies (Adegbite et al., 2012). Comparative studies with countries like Ghana or Kenya, which have similar banking structures but differing regulatory frameworks (e.g., Ghana’s 2018 Banking Act), could identify best practices. For example, exploring how Kenya’s stricter whistleblowing protections impact NPLs versus Nigeria’s weak mechanisms (I4, interview) could inform OB4’s harmonization goals, extending Osemeke and Adegbite (2016).</w:t>
      </w:r>
    </w:p>
    <w:p>
      <w:pPr>
        <w:pStyle w:val="Normal"/>
        <w:rPr/>
      </w:pPr>
      <w:r>
        <w:rPr>
          <w:rStyle w:val="Strong"/>
        </w:rPr>
        <w:t>Experimental Designs on Governance Interventions</w:t>
      </w:r>
      <w:r>
        <w:rPr/>
        <w:t>: Experimental or quasi-experimental studies testing specific interventions—e.g., mandatory nomination committees or AI-driven KYC systems—could quantify their impact on NPLs. For instance, a pilot in medium banks (e.g., Wema) implementing independent audit committees could measure changes in Tenet 4 scores and NPLs, addressing "audit capture" concerns (I6). Such designs, aligned with OECD (2023) principles, could provide causal evidence, overcoming this study’s correlational limitations.</w:t>
      </w:r>
    </w:p>
    <w:p>
      <w:pPr>
        <w:pStyle w:val="Normal"/>
        <w:rPr/>
      </w:pPr>
      <w:r>
        <w:rPr>
          <w:rStyle w:val="Strong"/>
        </w:rPr>
        <w:t>Broader Sampling and Mixed Methods</w:t>
      </w:r>
      <w:r>
        <w:rPr/>
        <w:t>: Future research should expand sampling to include rural banks and a wider range of roles (e.g., frontline staff, minority shareholders) to capture diverse perspectives. Increasing interview sample sizes (e.g., n=20–30) and incorporating focus groups could deepen qualitative insights, particularly on cultural barriers like patronage (I9). Advanced mixed-methods approaches, such as sequential explanatory designs (Creswell &amp; Plano Clark, 2018), could further integrate quantitative trends with qualitative mechanisms, refining meta-inferences like patronage-fragmentation links (Table 4.9).</w:t>
      </w:r>
    </w:p>
    <w:p>
      <w:pPr>
        <w:pStyle w:val="Normal"/>
        <w:rPr/>
      </w:pPr>
      <w:r>
        <w:rPr/>
        <w:t>In conclusion, while sample bias, small interview sizes, response biases, and data constraints limit generalizability, triangulation and rigorous analysis (e.g., bootstrapped CIs, NVivo coding) ensure robustness. Future longitudinal, comparative, and experimental studies can build on these findings to enhance CG reforms, reducing NPLs and strengthening Nigeria’s banking sector in alignment with global standards.</w:t>
      </w:r>
    </w:p>
    <w:p>
      <w:pPr>
        <w:pStyle w:val="Normal"/>
        <w:spacing w:lineRule="auto" w:line="240"/>
        <w:jc w:val="start"/>
        <w:rPr>
          <w:rFonts w:ascii="Calibri Light" w:hAnsi="Calibri Light"/>
          <w:color w:themeColor="accent1" w:themeShade="bf" w:val="2F5496"/>
          <w:sz w:val="40"/>
          <w:szCs w:val="40"/>
        </w:rPr>
      </w:pPr>
      <w:r>
        <w:rPr>
          <w:rFonts w:ascii="Calibri Light" w:hAnsi="Calibri Light"/>
          <w:color w:themeColor="accent1" w:themeShade="bf" w:val="2F5496"/>
          <w:sz w:val="40"/>
          <w:szCs w:val="40"/>
        </w:rPr>
      </w:r>
      <w:r>
        <w:br w:type="page"/>
      </w:r>
    </w:p>
    <w:p>
      <w:pPr>
        <w:pStyle w:val="Heading1"/>
        <w:spacing w:before="0" w:after="80"/>
        <w:rPr/>
      </w:pPr>
      <w:r>
        <w:rPr/>
        <w:t>Chapter 6: Conclusion</w:t>
      </w:r>
    </w:p>
    <w:p>
      <w:pPr>
        <w:pStyle w:val="Normal"/>
        <w:rPr/>
      </w:pPr>
      <w:r>
        <w:rPr/>
        <w:t>This concluding chapter synthesizes the key findings, contributions, and proposed strategies of the thesis, without introducing new data. It restates the research’s core objectives, recaps the answers to the research questions (RQs) and hypotheses (H1–H4), and underscores the study’s contributions to filling the research gap on corporate governance (CG) deficiencies in Nigeria’s Deposit Money Banks (DMBs) post-2004 consolidation. The chapter reinforces actionable strategies to enhance accountability and transparency, aligning with objective OB4, and concludes with a forward-looking perspective on sustainable governance reforms to strengthen Nigeria’s banking sector, a critical driver of economic growth (King &amp; Levine, 1993). By integrating quantitative and qualitative insights, the thesis provides context-specific evidence to address systemic challenges, such as patronage and regulatory fragmentation, which inflate Non-Performing Loan (NPL) ratios and threaten financial stability. The discussion is contextualized within Nigeria’s 2025 economic landscape, marked by 3.4% GDP growth and moderating inflation (IMF, 2025; CBN, 2025), emphasizing the urgency of reforms to sustain resilience.</w:t>
      </w:r>
    </w:p>
    <w:p>
      <w:pPr>
        <w:pStyle w:val="Heading2"/>
        <w:rPr/>
      </w:pPr>
      <w:r>
        <w:rPr/>
        <w:t>6.1 Summary of Key Findings</w:t>
      </w:r>
    </w:p>
    <w:p>
      <w:pPr>
        <w:pStyle w:val="Normal"/>
        <w:rPr/>
      </w:pPr>
      <w:r>
        <w:rPr/>
        <w:t>This study examined CG deficiencies at the board level in Nigerian DMBs, focusing on their impact on NPL ratios as a proxy for default risk, and proposed strategies to enhance accountability and transparency. Guided by four research questions (RQ1–RQ4), hypotheses (H1–H4), and objectives (OB1–OB4), it adopted a mixed-methods approach, combining quantitative data (230 questionnaire responses, 57.5% response rate) with qualitative insights (10 interviews, ~140 open-ended survey responses) and secondary sources (e.g., CBN, NDIC, Nairametrics, 2025). The findings, detailed in Chapters 4 and 5, confirm the hypotheses and address the RQs, revealing systemic governance failures rooted in historical legacies, regulatory multiplicity, and cultural barriers like patronage, which drive NPLs (sector average 5.62% in April 2025, above the 5% threshold; CBN, 2025).</w:t>
      </w:r>
    </w:p>
    <w:p>
      <w:pPr>
        <w:pStyle w:val="Normal"/>
        <w:rPr/>
      </w:pPr>
      <w:r>
        <w:rPr>
          <w:rStyle w:val="Strong"/>
        </w:rPr>
        <w:t>RQ1: Adherence to Robust Governance Practices</w:t>
      </w:r>
      <w:r>
        <w:rPr/>
        <w:t>: RQ1 asked to what extent adherence to robust governance practices, such as compliance with CBN Guidelines 2023, independent board oversight, and effective risk management, influences NPL ratios within a fragmented regulatory framework. H1 was supported, with Tenet 1 (Bank Governance and Risk Management) showing the strongest predictive power (β=-0.48, p&lt;0.001; Table 4.5), explaining 48% of NPL variance (Adjusted R²=0.48). Bank-level correlations (r=-0.75, p&lt;0.01) highlighted stronger risk governance in low-NPL banks like Fidelity (M=3.0, NPL=3.2%) versus high-NPL ones like First Bank (M=2.4, NPL=12.9%). Qualitative themes, particularly "Risk Management Challenges" (90% interviews, n=9; Table 4.8), underscored lax lending practices and inadequate KYC/CRC processes (I2: "Risk assets are 50/50"), linking to historical failures like Oceanic Bank’s 2009 insider lending (Sanusi, 2009). These findings confirm that robust risk governance significantly reduces NPLs, despite regulatory fragmentation.</w:t>
      </w:r>
    </w:p>
    <w:p>
      <w:pPr>
        <w:pStyle w:val="Normal"/>
        <w:rPr/>
      </w:pPr>
      <w:r>
        <w:rPr>
          <w:rStyle w:val="Strong"/>
        </w:rPr>
        <w:t>RQ2: Audit Committee Independence</w:t>
      </w:r>
      <w:r>
        <w:rPr/>
        <w:t>: RQ2 explored how audit committee independence affects NPL ratios. H2 was supported, with Tenet 4 (Transparency and Accountability) showing a significant but weaker effect (β=-0.28, p&lt;0.001; r=-0.62, p&lt;0.01). The low mean (M=1.8, SD=0.9; Table 4.2) reflected severe transparency deficits, with banks like Wema (M=1.6, NPL=3.17%) outperforming Ecobank (M=1.5, NPL=9.5%). Qualitative "Transparency Issues" (70%, n=7 interviews) revealed audit capture (I6: "Influenced by shareholders") and weak whistleblowing, explaining limited impact due to entrenched shareholder dominance, consistent with 2009 crisis opacity (Olojede et al., 2020).</w:t>
      </w:r>
    </w:p>
    <w:p>
      <w:pPr>
        <w:pStyle w:val="Normal"/>
        <w:rPr/>
      </w:pPr>
      <w:r>
        <w:rPr>
          <w:rStyle w:val="Strong"/>
        </w:rPr>
        <w:t>RQ3: Management Qualifications</w:t>
      </w:r>
      <w:r>
        <w:rPr/>
        <w:t>: RQ3 assessed the impact of management qualifications (banking experience, governance training) on NPL ratios. H3 was confirmed, with Tenet 2 (Corporate Governance and Bank Practice) yielding β=-0.40 (p&lt;0.001; r=-0.68, p&lt;0.05). Higher scores in Zenith (M=5.9, NPL=4.7%) contrasted with First Bank (M=5.3, NPL=12.9%), supported by "Lack of Expertise" (60% interviews, n=6; 48% surveys, n=67), with nepotism sub-themes (I9: "Family ties trump qualifications") highlighting unqualified appointments’ role in poor oversight (Ogbechie, 2016).</w:t>
      </w:r>
    </w:p>
    <w:p>
      <w:pPr>
        <w:pStyle w:val="Normal"/>
        <w:rPr/>
      </w:pPr>
      <w:r>
        <w:rPr>
          <w:rStyle w:val="Strong"/>
        </w:rPr>
        <w:t>RQ4: Regulatory Clarity and Enforcement</w:t>
      </w:r>
      <w:r>
        <w:rPr/>
        <w:t>: RQ4 investigated how regulatory clarity and enforcement consistency influence NPL ratios. H4 was supported, with Tenet 3 (Regulatory Multiplicity) showing β=-0.32 (p&lt;0.001; r=-0.60, p&lt;0.05). Moderate scores (M=4.0, SD=1.1) and "Regulatory Confusion" (62% surveys, n=87; 80% interviews, n=8) indicated that overlapping codes (e.g., CAMA 2020 vs. NCCG 2018) enable evasion (I7: "Too many regulations"), undermining enforcement (Abdulmalik &amp; Ahmad, 2020).</w:t>
      </w:r>
    </w:p>
    <w:p>
      <w:pPr>
        <w:pStyle w:val="BodyText"/>
        <w:rPr/>
      </w:pPr>
      <w:r>
        <w:rPr/>
      </w:r>
    </w:p>
    <w:p>
      <w:pPr>
        <w:pStyle w:val="Heading2"/>
        <w:rPr/>
      </w:pPr>
      <w:r>
        <w:rPr/>
        <w:t>6.2 Contributions to Knowledge and Practice</w:t>
      </w:r>
    </w:p>
    <w:p>
      <w:pPr>
        <w:pStyle w:val="BodyText"/>
        <w:rPr/>
      </w:pPr>
      <w:r>
        <w:rPr/>
        <w:t>This thesis makes significant contributions to both academic knowledge and practical application in the field of corporate governance (CG) within Nigeria’s Deposit Money Banks (DMBs). By addressing systemic deficiencies that elevate Non-Performing Loan (NPL) ratios and default risk, it fills a critical research gap in post-2004 consolidation studies, offering context-specific insights grounded in Nigeria’s unique historical and institutional landscape. The mixed-methods approach—integrating quantitative data (230 questionnaire responses, regression models with Adjusted R²=0.48) with qualitative themes (e.g., "Risk Management Challenges" in 90% of interviews)—provides a robust framework for understanding governance-NPL linkages, advancing theoretical frameworks and informing actionable reforms. These contributions align with broader goals of aligning Nigeria’s banking sector with global standards (e.g., OECD, 2023; BCBS, 2010) and reducing default risk to bolster economic stability, particularly in the 2025 context of 3.4% GDP growth and moderating inflation (IMF, 2025; CBN, 2025).</w:t>
      </w:r>
    </w:p>
    <w:p>
      <w:pPr>
        <w:pStyle w:val="Heading3"/>
        <w:rPr/>
      </w:pPr>
      <w:r>
        <w:rPr/>
        <w:t>6.2.1 Academic Contributions</w:t>
      </w:r>
    </w:p>
    <w:p>
      <w:pPr>
        <w:pStyle w:val="Normal"/>
        <w:rPr/>
      </w:pPr>
      <w:r>
        <w:rPr/>
        <w:t>The study significantly enriches CG literature by providing empirical, context-specific evidence on Nigeria’s banking sector, addressing a gap in post-consolidation research (Osita et al., 2019; Tsamenyi et al., 2007). Quantitative findings, such as the strong negative correlation between Tenet 1 (Bank Governance and Risk Management) and NPLs (r=-0.75, p&lt;0.01; Table 4.6) and regression coefficients (e.g., β=-0.48 for Tenet 1, β=-0.40 for Tenet 2), quantify the impact of governance deficiencies on default risk, extending prior analyses like Adegboye (2020) on 2017’s 20% NPL spike. Qualitative themes, including "Regulatory Confusion" (62% surveys, n=87) and "Lack of Expertise" (48%, n=67), elucidate mechanisms behind these patterns, revealing how historical legacies—pre-colonial communal structures disrupted by colonial ordinances (Elias, 2024; Altin, 2024)—amplify regulatory multiplicity and patronage. For instance, the thesis links colonial-era Companies Ordinance of 1912 to current fragmented codes (e.g., CAMA 2020 vs. NCCG 2018), explaining their role in enabling selective compliance (Abdulmalik &amp; Ahmad, 2020).</w:t>
      </w:r>
    </w:p>
    <w:p>
      <w:pPr>
        <w:pStyle w:val="Normal"/>
        <w:rPr/>
      </w:pPr>
      <w:r>
        <w:rPr/>
        <w:t>Theoretically, the study refines agency theory (Jensen &amp; Meckling, 1976) by identifying patronage as a context-specific mechanism in Nigeria, where unqualified, politically motivated appointments (I9: "Family ties trump qualifications") exacerbate agency costs, as seen in Oceanic Bank’s 2009 insider lending (Sanusi, 2009). This extends Fernando et al. (2019) on concentrated ownership by embedding Nigeria’s pre-1986 government interference and post-consolidation cronyism (Chinweoda et al., 2020). Similarly, stakeholder theory (Freeman, 1984) is advanced by showing how transparency deficits (Tenet 4 M=1.8; "Transparency Issues" 70%, n=7 interviews) marginalize minority shareholders and depositors, triggering withdrawals and systemic instability (Ugochukwu, 2000). These contributions provide a nuanced model for emerging markets, where cultural and historical factors intersect with global governance principles, informing future studies on African banking systems.</w:t>
      </w:r>
    </w:p>
    <w:p>
      <w:pPr>
        <w:pStyle w:val="Heading3"/>
        <w:rPr/>
      </w:pPr>
      <w:r>
        <w:rPr/>
        <w:t>6.2.1 Practical Contributions</w:t>
      </w:r>
    </w:p>
    <w:p>
      <w:pPr>
        <w:pStyle w:val="Normal"/>
        <w:rPr/>
      </w:pPr>
      <w:r>
        <w:rPr/>
        <w:t>Practically, the thesis offers actionable strategies to enhance accountability and transparency, fulfilling OB4’s goal of proposing a harmonized CG framework. For banks, the findings advocate adopting AI-driven Know-Your-Customer (KYC) and Credit Risk Control (CRC) systems to address risk management deficiencies (Tenet 1 M=2.4; I5: "Inadequate data for borrowers"). Banks like Fidelity (NPL=3.2%, Tenet 1 M=3.0) and Wema (NPL=3.17%, M=2.8) demonstrate that stronger risk governance correlates with lower NPLs, serving as models for others. Implementing mandatory independent nomination committees—absent in 61% of banks (Ogbechie, 2016)—would curb nepotism, ensuring qualified appointments with banking experience and governance training (H3 supported, β=-0.40). Performance-linked compensation, aligned with shareholder approval per SEC Code 2011 (Osemeke &amp; Adegbite, 2016), could incentivize ethical behavior, addressing "Lack of Expertise" concerns (48% surveys).</w:t>
      </w:r>
    </w:p>
    <w:p>
      <w:pPr>
        <w:pStyle w:val="Normal"/>
        <w:rPr/>
      </w:pPr>
      <w:r>
        <w:rPr/>
        <w:t>For regulators like the CBN and FRCN, harmonizing conflicting codes (e.g., CAMA’s fines vs. NCCG’s "Apply and Explain") is critical to reduce ambiguity, as evidenced by "Regulatory Confusion" (62% surveys; I7: "Too many regulations"). A unified FRCN-CBN framework, enforced with robust audits and sanctions (e.g., blacklisting 178 executives post-2009; Jimoh &amp; Iyoha, 2012), would strengthen compliance, lowering the sector’s 5.62% NPL average (CBN, 2025). Robust whistleblowing mechanisms, inspired by EU protections (EU, 2019), would address transparency deficits (Tenet 4 β=-0.28; I6: "Audit influenced by shareholders"), reducing fraud concealment (Olojede et al., 2020).</w:t>
      </w:r>
    </w:p>
    <w:p>
      <w:pPr>
        <w:pStyle w:val="Normal"/>
        <w:rPr/>
      </w:pPr>
      <w:r>
        <w:rPr/>
        <w:t>These strategies align with broader economic goals in Nigeria’s 2025 context, where 3.4% GDP growth and declining inflation (23-24% projected; CBN, 2025) signal recovery potential. By reducing NPLs below 5%, reforms could prevent systemic failures (425 since 1988; Udo, 2020), enhance credit access, and attract foreign investment, supporting sustainable growth (Siyanbola, 2019). The proposed framework aligns with OECD (2023) principles on independent boards and Basel III (BCBS, 2010) risk standards, positioning Nigeria’s banking sector for global competitiveness while addressing local challenges like patronage and multiplicity.</w:t>
      </w:r>
    </w:p>
    <w:p>
      <w:pPr>
        <w:pStyle w:val="Heading2"/>
        <w:rPr/>
      </w:pPr>
      <w:r>
        <w:rPr/>
        <w:t>6.3 Recommendations</w:t>
      </w:r>
    </w:p>
    <w:p>
      <w:pPr>
        <w:pStyle w:val="Normal"/>
        <w:rPr/>
      </w:pPr>
      <w:r>
        <w:rPr/>
        <w:t>This section presents actionable recommendations to enhance accountability and transparency in Nigeria’s Deposit Money Banks (DMBs), addressing the systemic corporate governance (CG) deficiencies identified in this study that contribute to elevated Non-Performing Loan (NPL) ratios (sector average 5.62% in April 2025; CBN, 2025). These strategies, aligned with objective OB4, aim to mitigate default risk, restore stakeholder trust, and align Nigeria’s banking sector with global standards (OECD, 2023; BCBS, 2010). They are informed by quantitative findings (e.g., Tenet 1 β=-0.48, Tenet 4 M=1.8) and qualitative themes (e.g., "Regulatory Confusion," "Transparency Issues") that highlight patronage, regulatory multiplicity, and weak oversight as key drivers of NPLs. The recommendations are structured as a bulleted list, with timelines and feasibility considerations distinguishing short-term (implementable by 2026) and long-term (2027–2030) actions, tailored to Nigeria’s 2025 economic context of 3.4% GDP growth and moderating inflation (IMF, 2025; CBN, 2025).</w:t>
      </w:r>
    </w:p>
    <w:p>
      <w:pPr>
        <w:pStyle w:val="Normal"/>
        <w:rPr/>
      </w:pPr>
      <w:r>
        <w:rPr>
          <w:rStyle w:val="Strong"/>
        </w:rPr>
        <w:t>CBN-Led Regulatory Harmonization</w:t>
      </w:r>
      <w:r>
        <w:rPr/>
        <w:t xml:space="preserve"> </w:t>
      </w:r>
    </w:p>
    <w:p>
      <w:pPr>
        <w:pStyle w:val="Normal"/>
        <w:rPr/>
      </w:pPr>
      <w:r>
        <w:rPr>
          <w:rStyle w:val="Emphasis"/>
        </w:rPr>
        <w:t>Action</w:t>
      </w:r>
      <w:r>
        <w:rPr/>
        <w:t xml:space="preserve">: The Central Bank of Nigeria (CBN) and Financial Reporting Council of Nigeria (FRCN) should collaborate to develop a unified CG code by 2026, integrating CAMA 2020, NCCG 2018, CBN Guidelines 2023, and SEC Code 2011, reducing ambiguity noted in "Regulatory Confusion" (62% surveys; I7: "Too many regulations"). </w:t>
      </w:r>
    </w:p>
    <w:p>
      <w:pPr>
        <w:pStyle w:val="Normal"/>
        <w:rPr/>
      </w:pPr>
      <w:r>
        <w:rPr>
          <w:rStyle w:val="Emphasis"/>
        </w:rPr>
        <w:t>Rationale</w:t>
      </w:r>
      <w:r>
        <w:rPr/>
        <w:t xml:space="preserve">: Tenet 3’s moderate impact (β=-0.32, r=-0.60) shows multiplicity enables evasion, inflating NPLs (Abdulmalik &amp; Ahmad, 2020). A single code with clear board tenure and audit rules would enhance compliance. </w:t>
      </w:r>
    </w:p>
    <w:p>
      <w:pPr>
        <w:pStyle w:val="Normal"/>
        <w:rPr/>
      </w:pPr>
      <w:r>
        <w:rPr>
          <w:rStyle w:val="Emphasis"/>
        </w:rPr>
        <w:t>Timeline/Feasibility</w:t>
      </w:r>
      <w:r>
        <w:rPr/>
        <w:t xml:space="preserve">: Short-term (2026). Feasible via CBN’s regulatory authority (CBN Act, 2007), with stakeholder consultations in 2025 Q4 to draft and pilot by mid-2026. </w:t>
      </w:r>
    </w:p>
    <w:p>
      <w:pPr>
        <w:pStyle w:val="Normal"/>
        <w:rPr/>
      </w:pPr>
      <w:r>
        <w:rPr>
          <w:rStyle w:val="Emphasis"/>
        </w:rPr>
        <w:t>Impact</w:t>
      </w:r>
      <w:r>
        <w:rPr/>
        <w:t xml:space="preserve">: Could lower NPLs below 5% by standardizing enforcement, as seen in low-NPL banks like Wema (3.17%). </w:t>
      </w:r>
    </w:p>
    <w:p>
      <w:pPr>
        <w:pStyle w:val="Normal"/>
        <w:rPr/>
      </w:pPr>
      <w:r>
        <w:rPr>
          <w:rStyle w:val="Strong"/>
        </w:rPr>
        <w:t>Mandatory Expertise Criteria for Board and Management Appointments</w:t>
      </w:r>
      <w:r>
        <w:rPr/>
        <w:t xml:space="preserve"> </w:t>
      </w:r>
    </w:p>
    <w:p>
      <w:pPr>
        <w:pStyle w:val="Normal"/>
        <w:rPr/>
      </w:pPr>
      <w:r>
        <w:rPr>
          <w:rStyle w:val="Emphasis"/>
        </w:rPr>
        <w:t>Action</w:t>
      </w:r>
      <w:r>
        <w:rPr/>
        <w:t xml:space="preserve">: Enforce CBN-mandated criteria requiring banking experience (minimum 5 years) and governance training (e.g., CIBN certification) for all board members and executives by 2026, addressing "Lack of Expertise" (60% interviews, n=6; 48% surveys). </w:t>
      </w:r>
    </w:p>
    <w:p>
      <w:pPr>
        <w:pStyle w:val="Normal"/>
        <w:rPr/>
      </w:pPr>
      <w:r>
        <w:rPr>
          <w:rStyle w:val="Emphasis"/>
        </w:rPr>
        <w:t>Rationale</w:t>
      </w:r>
      <w:r>
        <w:rPr/>
        <w:t xml:space="preserve">: Tenet 2’s strong effect (β=-0.40, r=-0.68) links unqualified appointments to NPLs, as in Oceanic Bank’s 2009 collapse (Sanusi, 2009). Independent nomination committees, absent in 61% of banks (Ogbechie, 2016), would ensure merit-based selections. </w:t>
      </w:r>
    </w:p>
    <w:p>
      <w:pPr>
        <w:pStyle w:val="Normal"/>
        <w:rPr/>
      </w:pPr>
      <w:r>
        <w:rPr>
          <w:rStyle w:val="Emphasis"/>
        </w:rPr>
        <w:t>Timeline/Feasibility</w:t>
      </w:r>
      <w:r>
        <w:rPr/>
        <w:t xml:space="preserve">: Short-term (2026). Feasible via CBN’s supervisory powers, with compliance audits integrated into 2026 reporting cycles. Training programs can leverage existing CIBN frameworks. </w:t>
      </w:r>
    </w:p>
    <w:p>
      <w:pPr>
        <w:pStyle w:val="Normal"/>
        <w:rPr/>
      </w:pPr>
      <w:r>
        <w:rPr>
          <w:rStyle w:val="Emphasis"/>
        </w:rPr>
        <w:t>Impact</w:t>
      </w:r>
      <w:r>
        <w:rPr/>
        <w:t xml:space="preserve">: Enhances oversight, potentially reducing NPLs in high-risk banks like First Bank (12.9%). </w:t>
      </w:r>
    </w:p>
    <w:p>
      <w:pPr>
        <w:pStyle w:val="Normal"/>
        <w:rPr/>
      </w:pPr>
      <w:r>
        <w:rPr>
          <w:rStyle w:val="Strong"/>
        </w:rPr>
        <w:t>Enhanced Whistleblowing Mechanisms</w:t>
      </w:r>
      <w:r>
        <w:rPr/>
        <w:t xml:space="preserve"> </w:t>
      </w:r>
    </w:p>
    <w:p>
      <w:pPr>
        <w:pStyle w:val="Normal"/>
        <w:rPr/>
      </w:pPr>
      <w:r>
        <w:rPr>
          <w:rStyle w:val="Emphasis"/>
        </w:rPr>
        <w:t>Action</w:t>
      </w:r>
      <w:r>
        <w:rPr/>
        <w:t xml:space="preserve">: Mandate robust, anonymous whistleblowing systems by 2027, modeled on EU protections (EU, 2019), with CBN oversight and penalties for non-compliance, addressing "Transparency Issues" (70%, n=7 interviews). </w:t>
      </w:r>
    </w:p>
    <w:p>
      <w:pPr>
        <w:pStyle w:val="Normal"/>
        <w:rPr/>
      </w:pPr>
      <w:r>
        <w:rPr>
          <w:rStyle w:val="Emphasis"/>
        </w:rPr>
        <w:t>Rationale</w:t>
      </w:r>
      <w:r>
        <w:rPr/>
        <w:t xml:space="preserve">: Low Tenet 4 scores (M=1.8, β=-0.28) and audit capture (I6: "Influenced by shareholders") enable fraud concealment, inflating NPLs (Olojede et al., 2020). Protected reporting channels would empower stakeholders to report misconduct. </w:t>
      </w:r>
    </w:p>
    <w:p>
      <w:pPr>
        <w:pStyle w:val="Normal"/>
        <w:rPr/>
      </w:pPr>
      <w:r>
        <w:rPr>
          <w:rStyle w:val="Emphasis"/>
        </w:rPr>
        <w:t>Timeline/Feasibility</w:t>
      </w:r>
      <w:r>
        <w:rPr/>
        <w:t xml:space="preserve">: Medium-term (2027). Requires legislative updates to strengthen CAMA 2020 provisions, feasible with CBN-FRCN advocacy and pilot programs in 2026. </w:t>
      </w:r>
    </w:p>
    <w:p>
      <w:pPr>
        <w:pStyle w:val="Normal"/>
        <w:rPr/>
      </w:pPr>
      <w:r>
        <w:rPr>
          <w:rStyle w:val="Emphasis"/>
        </w:rPr>
        <w:t>Impact</w:t>
      </w:r>
      <w:r>
        <w:rPr/>
        <w:t xml:space="preserve">: Improves transparency, reducing NPLs and restoring trust, as seen in low-NPL banks like Fidelity (3.2%). </w:t>
      </w:r>
    </w:p>
    <w:p>
      <w:pPr>
        <w:pStyle w:val="Normal"/>
        <w:rPr/>
      </w:pPr>
      <w:r>
        <w:rPr>
          <w:rStyle w:val="Strong"/>
        </w:rPr>
        <w:t>Mandatory Independent Audit Committees and Regular Governance Audits</w:t>
      </w:r>
      <w:r>
        <w:rPr/>
        <w:t xml:space="preserve"> </w:t>
      </w:r>
    </w:p>
    <w:p>
      <w:pPr>
        <w:pStyle w:val="Normal"/>
        <w:rPr/>
      </w:pPr>
      <w:r>
        <w:rPr>
          <w:rStyle w:val="Emphasis"/>
        </w:rPr>
        <w:t>Action</w:t>
      </w:r>
      <w:r>
        <w:rPr/>
        <w:t xml:space="preserve">: Enforce CAMA Section 359(4) for equal director-shareholder representation in audit committees by 2026, with CBN-led annual governance audits to ensure independence and compliance. </w:t>
      </w:r>
    </w:p>
    <w:p>
      <w:pPr>
        <w:pStyle w:val="Normal"/>
        <w:rPr/>
      </w:pPr>
      <w:r>
        <w:rPr>
          <w:rStyle w:val="Emphasis"/>
        </w:rPr>
        <w:t>Rationale</w:t>
      </w:r>
      <w:r>
        <w:rPr/>
        <w:t xml:space="preserve">: Tenet 4’s weak effect (β=-0.28) and "Transparency Issues" highlight shareholder dominance undermining audits (Adegbite, 2014). Regular audits would detect mismanagement, as seen in 2009 crisis failures (Sanusi, 2009). </w:t>
      </w:r>
    </w:p>
    <w:p>
      <w:pPr>
        <w:pStyle w:val="Normal"/>
        <w:rPr/>
      </w:pPr>
      <w:r>
        <w:rPr>
          <w:rStyle w:val="Emphasis"/>
        </w:rPr>
        <w:t>Timeline/Feasibility</w:t>
      </w:r>
      <w:r>
        <w:rPr/>
        <w:t xml:space="preserve">: Short-term (2026). Feasible via existing CBN audit frameworks, with enhanced resources for FRCN enforcement by 2026 Q2. </w:t>
      </w:r>
    </w:p>
    <w:p>
      <w:pPr>
        <w:pStyle w:val="Normal"/>
        <w:rPr/>
      </w:pPr>
      <w:r>
        <w:rPr>
          <w:rStyle w:val="Emphasis"/>
        </w:rPr>
        <w:t>Impact</w:t>
      </w:r>
      <w:r>
        <w:rPr/>
        <w:t xml:space="preserve">: Strengthens financial reporting, potentially lowering NPLs in banks like Ecobank (9.5%). </w:t>
      </w:r>
    </w:p>
    <w:p>
      <w:pPr>
        <w:pStyle w:val="Normal"/>
        <w:rPr/>
      </w:pPr>
      <w:r>
        <w:rPr>
          <w:rStyle w:val="Strong"/>
        </w:rPr>
        <w:t>Performance-Linked Compensation Structures</w:t>
      </w:r>
      <w:r>
        <w:rPr/>
        <w:t xml:space="preserve"> </w:t>
      </w:r>
    </w:p>
    <w:p>
      <w:pPr>
        <w:pStyle w:val="Normal"/>
        <w:rPr/>
      </w:pPr>
      <w:r>
        <w:rPr>
          <w:rStyle w:val="Emphasis"/>
        </w:rPr>
        <w:t>Action</w:t>
      </w:r>
      <w:r>
        <w:rPr/>
        <w:t xml:space="preserve">: Implement SEC Code 2011’s requirement for shareholder-approved, performance-linked compensation by 2027, aligning executive incentives with long-term bank stability. </w:t>
      </w:r>
    </w:p>
    <w:p>
      <w:pPr>
        <w:pStyle w:val="Normal"/>
        <w:rPr/>
      </w:pPr>
      <w:r>
        <w:rPr>
          <w:rStyle w:val="Emphasis"/>
        </w:rPr>
        <w:t>Rationale</w:t>
      </w:r>
      <w:r>
        <w:rPr/>
        <w:t xml:space="preserve">: Qualitative data (I1: "Undue influence on executives") and literature (Al-Shaer et al., 2022) link misaligned incentives to NPLs. Transparent pay structures curb self-interest, supporting Tenet 2 findings. </w:t>
      </w:r>
    </w:p>
    <w:p>
      <w:pPr>
        <w:pStyle w:val="Normal"/>
        <w:rPr/>
      </w:pPr>
      <w:r>
        <w:rPr>
          <w:rStyle w:val="Emphasis"/>
        </w:rPr>
        <w:t>Timeline/Feasibility</w:t>
      </w:r>
      <w:r>
        <w:rPr/>
        <w:t xml:space="preserve">: Medium-term (2027). Requires regulatory updates and shareholder engagement, feasible with CBN-led guidelines by 2026 Q4. </w:t>
      </w:r>
    </w:p>
    <w:p>
      <w:pPr>
        <w:pStyle w:val="Normal"/>
        <w:rPr/>
      </w:pPr>
      <w:r>
        <w:rPr>
          <w:rStyle w:val="Emphasis"/>
        </w:rPr>
        <w:t>Impact</w:t>
      </w:r>
      <w:r>
        <w:rPr/>
        <w:t xml:space="preserve">: Aligns management with stakeholders, reducing defaults and supporting economic stability. </w:t>
      </w:r>
    </w:p>
    <w:p>
      <w:pPr>
        <w:pStyle w:val="Normal"/>
        <w:rPr/>
      </w:pPr>
      <w:r>
        <w:rPr/>
        <w:t>These recommendations, blending short-term feasibility with long-term legislative reforms, address the root causes of NPLs (425 bank failures since 1988; Udo, 2020), leveraging Nigeria’s 2025 economic momentum to foster a resilient banking sector aligned with global benchmarks.</w:t>
      </w:r>
    </w:p>
    <w:p>
      <w:pPr>
        <w:pStyle w:val="Heading2"/>
        <w:rPr/>
      </w:pPr>
      <w:r>
        <w:rPr/>
        <w:t>6.4 Final Reflections and Future Directions</w:t>
      </w:r>
    </w:p>
    <w:p>
      <w:pPr>
        <w:pStyle w:val="Normal"/>
        <w:rPr/>
      </w:pPr>
      <w:r>
        <w:rPr/>
        <w:t>This study holds profound significance for Nigeria’s banking sector, particularly as of June 2025, a pivotal moment marked by ongoing economic reforms and a stabilizing financial landscape (3.4% GDP growth, moderating inflation at 23-24%; IMF, 2025; CBN, 2025). As a researcher immersed in corporate governance (CG), I am struck by the urgency of addressing systemic deficiencies—patronage, regulatory multiplicity, and transparency gaps—that perpetuate Non-Performing Loan (NPL) ratios (5.62% sector average, above the 5% threshold; CBN, 2025). The mixed-methods approach, blending quantitative rigor (e.g., β=-0.48 for Tenet 1) with qualitative depth (e.g., "Risk Management Challenges" in 90% of interviews), underscores the entrenched nature of these issues, rooted in colonial legacies and post-consolidation failures (Elias, 2024; Sanusi, 2009). The findings resonate personally, as they highlight the potential to safeguard Nigeria’s economy—where banks are engines of growth (King &amp; Levine, 1993)—by fostering accountability and trust. Contributing to this transformative agenda, amid 2025’s economic optimism, feels both a privilege and a responsibility, as the proposed reforms (e.g., harmonized codes, independent audits) could prevent future crises like the 2009 $3.9 billion bailout.</w:t>
      </w:r>
    </w:p>
    <w:p>
      <w:pPr>
        <w:pStyle w:val="Normal"/>
        <w:rPr/>
      </w:pPr>
      <w:r>
        <w:rPr/>
        <w:t>Future research should build on these insights to deepen impact. First, exploring AI-driven risk management tools, such as advanced KYC/CRC systems, could quantify their efficacy in reducing NPLs, particularly for smaller banks with infrastructure gaps (I8). Experimental pilots in banks like Wema (NPL=3.17%) could test these innovations, addressing Tenet 1 deficiencies (M=2.4). Second, post-2025 crisis analysis is critical, given Nigeria’s volatile economic cycles. Longitudinal studies tracking NPLs and governance metrics beyond 2025 could assess the durability of reforms like CBN Guidelines 2023, extending Kafidipe’s (2021) post-consolidation framework. Third, comparative studies with African peers (e.g., Ghana, Kenya) could identify transferable governance practices, such as stricter whistleblowing protections, to address Nigeria’s transparency deficits (Tenet 4 M=1.8; Olojede et al., 2020). Finally, investigating cultural barriers, like patronage rooted in pre-colonial communal norms (Altin, 2024), through ethnographic methods could unpack resistance to reforms, enriching agency and stakeholder theories (Jensen &amp; Meckling, 1976; Freeman, 1984). These directions promise to sustain momentum, ensuring Nigeria’s banking sector aligns with global standards while fostering economic resilience.</w:t>
      </w:r>
    </w:p>
    <w:p>
      <w:pPr>
        <w:pStyle w:val="Normal"/>
        <w:rPr/>
      </w:pPr>
      <w:r>
        <w:rPr/>
      </w:r>
    </w:p>
    <w:p>
      <w:pPr>
        <w:pStyle w:val="Normal"/>
        <w:rPr/>
      </w:pPr>
      <w:r>
        <w:rPr/>
      </w:r>
    </w:p>
    <w:sectPr>
      <w:footerReference w:type="default" r:id="rId30"/>
      <w:footerReference w:type="first" r:id="rId31"/>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alibri">
    <w:charset w:val="01" w:characterSet="utf-8"/>
    <w:family w:val="swiss"/>
    <w:pitch w:val="variable"/>
  </w:font>
  <w:font w:name="Nimbus Mono PS">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Nimbus Sans">
    <w:charset w:val="01" w:characterSet="utf-8"/>
    <w:family w:val="swiss"/>
    <w:pitch w:val="variable"/>
  </w:font>
  <w:font w:name="Times New Roman">
    <w:charset w:val="01" w:characterSet="utf-8"/>
    <w:family w:val="roman"/>
    <w:pitch w:val="variable"/>
  </w:font>
  <w:font w:name="Calibri Light">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635" distR="0" simplePos="0" locked="0" layoutInCell="0" allowOverlap="1" relativeHeight="40">
              <wp:simplePos x="0" y="0"/>
              <wp:positionH relativeFrom="margin">
                <wp:align>right</wp:align>
              </wp:positionH>
              <wp:positionV relativeFrom="paragraph">
                <wp:posOffset>635</wp:posOffset>
              </wp:positionV>
              <wp:extent cx="153035" cy="648970"/>
              <wp:effectExtent l="635" t="0" r="0" b="0"/>
              <wp:wrapNone/>
              <wp:docPr id="1" name="Frame4"/>
              <a:graphic xmlns:a="http://schemas.openxmlformats.org/drawingml/2006/main">
                <a:graphicData uri="http://schemas.microsoft.com/office/word/2010/wordprocessingShape">
                  <wps:wsp>
                    <wps:cNvSpPr/>
                    <wps:spPr>
                      <a:xfrm>
                        <a:off x="0" y="0"/>
                        <a:ext cx="153000" cy="64908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w:t>
                          </w:r>
                          <w:r>
                            <w:rPr>
                              <w:rStyle w:val="Heading7Char"/>
                              <w:color w:val="000000"/>
                            </w:rPr>
                            <w:fldChar w:fldCharType="end"/>
                          </w:r>
                        </w:p>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486.5pt;margin-top:0.05pt;width:12pt;height:51.05pt;mso-wrap-style:square;v-text-anchor:top;mso-position-horizontal:right;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w:t>
                    </w:r>
                    <w:r>
                      <w:rPr>
                        <w:rStyle w:val="Heading7Cha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635" distR="0" simplePos="0" locked="0" layoutInCell="0" allowOverlap="1" relativeHeight="42">
              <wp:simplePos x="0" y="0"/>
              <wp:positionH relativeFrom="margin">
                <wp:align>right</wp:align>
              </wp:positionH>
              <wp:positionV relativeFrom="paragraph">
                <wp:posOffset>635</wp:posOffset>
              </wp:positionV>
              <wp:extent cx="153035" cy="648970"/>
              <wp:effectExtent l="635" t="0" r="0" b="0"/>
              <wp:wrapNone/>
              <wp:docPr id="5" name="Frame 1"/>
              <a:graphic xmlns:a="http://schemas.openxmlformats.org/drawingml/2006/main">
                <a:graphicData uri="http://schemas.microsoft.com/office/word/2010/wordprocessingShape">
                  <wps:wsp>
                    <wps:cNvSpPr/>
                    <wps:spPr>
                      <a:xfrm>
                        <a:off x="0" y="0"/>
                        <a:ext cx="153000" cy="64908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wps:txbx>
                    <wps:bodyPr lIns="0" rIns="0" tIns="0" bIns="0" anchor="t">
                      <a:spAutoFit/>
                    </wps:bodyPr>
                  </wps:wsp>
                </a:graphicData>
              </a:graphic>
            </wp:anchor>
          </w:drawing>
        </mc:Choice>
        <mc:Fallback>
          <w:pict>
            <v:rect id="shape_0" ID="Frame 1" path="m0,0l-2147483645,0l-2147483645,-2147483646l0,-2147483646xe" stroked="f" o:allowincell="f" style="position:absolute;margin-left:666.5pt;margin-top:0.05pt;width:12pt;height:51.05pt;mso-wrap-style:square;v-text-anchor:top;mso-position-horizontal:right;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21</w:t>
                    </w:r>
                    <w:r>
                      <w:rPr>
                        <w:rStyle w:val="Heading7Cha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635" distR="0" simplePos="0" locked="0" layoutInCell="0" allowOverlap="1" relativeHeight="58">
              <wp:simplePos x="0" y="0"/>
              <wp:positionH relativeFrom="margin">
                <wp:align>right</wp:align>
              </wp:positionH>
              <wp:positionV relativeFrom="paragraph">
                <wp:posOffset>635</wp:posOffset>
              </wp:positionV>
              <wp:extent cx="153035" cy="648970"/>
              <wp:effectExtent l="635" t="0" r="0" b="0"/>
              <wp:wrapNone/>
              <wp:docPr id="6" name="Frame 2"/>
              <a:graphic xmlns:a="http://schemas.openxmlformats.org/drawingml/2006/main">
                <a:graphicData uri="http://schemas.microsoft.com/office/word/2010/wordprocessingShape">
                  <wps:wsp>
                    <wps:cNvSpPr/>
                    <wps:spPr>
                      <a:xfrm>
                        <a:off x="0" y="0"/>
                        <a:ext cx="153000" cy="64908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29</w:t>
                          </w:r>
                          <w:r>
                            <w:rPr>
                              <w:rStyle w:val="Heading7Char"/>
                              <w:color w:val="000000"/>
                            </w:rPr>
                            <w:fldChar w:fldCharType="end"/>
                          </w:r>
                        </w:p>
                      </w:txbxContent>
                    </wps:txbx>
                    <wps:bodyPr lIns="0" rIns="0" tIns="0" bIns="0" anchor="t">
                      <a:spAutoFit/>
                    </wps:bodyPr>
                  </wps:wsp>
                </a:graphicData>
              </a:graphic>
            </wp:anchor>
          </w:drawing>
        </mc:Choice>
        <mc:Fallback>
          <w:pict>
            <v:rect id="shape_0" ID="Frame 2" path="m0,0l-2147483645,0l-2147483645,-2147483646l0,-2147483646xe" stroked="f" o:allowincell="f" style="position:absolute;margin-left:486.5pt;margin-top:0.05pt;width:12pt;height:51.05pt;mso-wrap-style:square;v-text-anchor:top;mso-position-horizontal:right;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29</w:t>
                    </w:r>
                    <w:r>
                      <w:rPr>
                        <w:rStyle w:val="Heading7Char"/>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635" distR="0" simplePos="0" locked="0" layoutInCell="0" allowOverlap="1" relativeHeight="60">
              <wp:simplePos x="0" y="0"/>
              <wp:positionH relativeFrom="margin">
                <wp:align>right</wp:align>
              </wp:positionH>
              <wp:positionV relativeFrom="paragraph">
                <wp:posOffset>635</wp:posOffset>
              </wp:positionV>
              <wp:extent cx="153035" cy="648970"/>
              <wp:effectExtent l="635" t="0" r="0" b="0"/>
              <wp:wrapNone/>
              <wp:docPr id="7" name="Frame6"/>
              <a:graphic xmlns:a="http://schemas.openxmlformats.org/drawingml/2006/main">
                <a:graphicData uri="http://schemas.microsoft.com/office/word/2010/wordprocessingShape">
                  <wps:wsp>
                    <wps:cNvSpPr/>
                    <wps:spPr>
                      <a:xfrm>
                        <a:off x="0" y="0"/>
                        <a:ext cx="153000" cy="64908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30</w:t>
                          </w:r>
                          <w:r>
                            <w:rPr>
                              <w:rStyle w:val="Heading7Cha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666.5pt;margin-top:0.05pt;width:12pt;height:51.05pt;mso-wrap-style:square;v-text-anchor:top;mso-position-horizontal:right;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30</w:t>
                    </w:r>
                    <w:r>
                      <w:rPr>
                        <w:rStyle w:val="Heading7Char"/>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86">
              <wp:simplePos x="0" y="0"/>
              <wp:positionH relativeFrom="margin">
                <wp:posOffset>6026150</wp:posOffset>
              </wp:positionH>
              <wp:positionV relativeFrom="paragraph">
                <wp:posOffset>-1905</wp:posOffset>
              </wp:positionV>
              <wp:extent cx="302895" cy="181610"/>
              <wp:effectExtent l="635" t="0" r="0" b="0"/>
              <wp:wrapNone/>
              <wp:docPr id="8" name="Frame7"/>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43</w:t>
                          </w:r>
                          <w:r>
                            <w:rPr>
                              <w:rStyle w:val="Heading7Char"/>
                              <w:color w:val="000000"/>
                            </w:rPr>
                            <w:fldChar w:fldCharType="end"/>
                          </w:r>
                        </w:p>
                      </w:txbxContent>
                    </wps:txbx>
                    <wps:bodyPr lIns="0" rIns="0" tIns="0" bIns="0" anchor="t">
                      <a:noAutofit/>
                    </wps:bodyPr>
                  </wps:wsp>
                </a:graphicData>
              </a:graphic>
            </wp:anchor>
          </w:drawing>
        </mc:Choice>
        <mc:Fallback>
          <w:pict>
            <v:rect id="shape_0" ID="Frame7"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43</w:t>
                    </w:r>
                    <w:r>
                      <w:rPr>
                        <w:rStyle w:val="Heading7Char"/>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88">
              <wp:simplePos x="0" y="0"/>
              <wp:positionH relativeFrom="margin">
                <wp:posOffset>6026150</wp:posOffset>
              </wp:positionH>
              <wp:positionV relativeFrom="paragraph">
                <wp:posOffset>-1905</wp:posOffset>
              </wp:positionV>
              <wp:extent cx="302895" cy="181610"/>
              <wp:effectExtent l="635" t="0" r="0" b="0"/>
              <wp:wrapNone/>
              <wp:docPr id="10" name="Frame 3"/>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44</w:t>
                          </w:r>
                          <w:r>
                            <w:rPr>
                              <w:rStyle w:val="Heading7Char"/>
                              <w:color w:val="000000"/>
                            </w:rPr>
                            <w:fldChar w:fldCharType="end"/>
                          </w:r>
                        </w:p>
                      </w:txbxContent>
                    </wps:txbx>
                    <wps:bodyPr lIns="0" rIns="0" tIns="0" bIns="0" anchor="t">
                      <a:noAutofit/>
                    </wps:bodyPr>
                  </wps:wsp>
                </a:graphicData>
              </a:graphic>
            </wp:anchor>
          </w:drawing>
        </mc:Choice>
        <mc:Fallback>
          <w:pict>
            <v:rect id="shape_0" ID="Frame 3"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44</w:t>
                    </w:r>
                    <w:r>
                      <w:rPr>
                        <w:rStyle w:val="Heading7Char"/>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133">
              <wp:simplePos x="0" y="0"/>
              <wp:positionH relativeFrom="margin">
                <wp:posOffset>6026150</wp:posOffset>
              </wp:positionH>
              <wp:positionV relativeFrom="paragraph">
                <wp:posOffset>-1905</wp:posOffset>
              </wp:positionV>
              <wp:extent cx="302895" cy="181610"/>
              <wp:effectExtent l="635" t="0" r="0" b="0"/>
              <wp:wrapNone/>
              <wp:docPr id="11" name="Frame 4"/>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67</w:t>
                          </w:r>
                          <w:r>
                            <w:rPr>
                              <w:rStyle w:val="Heading7Char"/>
                              <w:color w:val="000000"/>
                            </w:rPr>
                            <w:fldChar w:fldCharType="end"/>
                          </w:r>
                        </w:p>
                      </w:txbxContent>
                    </wps:txbx>
                    <wps:bodyPr lIns="0" rIns="0" tIns="0" bIns="0" anchor="t">
                      <a:noAutofit/>
                    </wps:bodyPr>
                  </wps:wsp>
                </a:graphicData>
              </a:graphic>
            </wp:anchor>
          </w:drawing>
        </mc:Choice>
        <mc:Fallback>
          <w:pict>
            <v:rect id="shape_0" ID="Frame 4"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67</w:t>
                    </w:r>
                    <w:r>
                      <w:rPr>
                        <w:rStyle w:val="Heading7Char"/>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137">
              <wp:simplePos x="0" y="0"/>
              <wp:positionH relativeFrom="margin">
                <wp:posOffset>6026150</wp:posOffset>
              </wp:positionH>
              <wp:positionV relativeFrom="paragraph">
                <wp:posOffset>-1905</wp:posOffset>
              </wp:positionV>
              <wp:extent cx="302895" cy="181610"/>
              <wp:effectExtent l="635" t="0" r="0" b="0"/>
              <wp:wrapNone/>
              <wp:docPr id="12" name="Frame 5"/>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68</w:t>
                          </w:r>
                          <w:r>
                            <w:rPr>
                              <w:rStyle w:val="Heading7Char"/>
                              <w:color w:val="000000"/>
                            </w:rPr>
                            <w:fldChar w:fldCharType="end"/>
                          </w:r>
                        </w:p>
                      </w:txbxContent>
                    </wps:txbx>
                    <wps:bodyPr lIns="0" rIns="0" tIns="0" bIns="0" anchor="t">
                      <a:noAutofit/>
                    </wps:bodyPr>
                  </wps:wsp>
                </a:graphicData>
              </a:graphic>
            </wp:anchor>
          </w:drawing>
        </mc:Choice>
        <mc:Fallback>
          <w:pict>
            <v:rect id="shape_0" ID="Frame 5"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68</w:t>
                    </w:r>
                    <w:r>
                      <w:rPr>
                        <w:rStyle w:val="Heading7Cha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152">
              <wp:simplePos x="0" y="0"/>
              <wp:positionH relativeFrom="margin">
                <wp:posOffset>6026150</wp:posOffset>
              </wp:positionH>
              <wp:positionV relativeFrom="paragraph">
                <wp:posOffset>-1905</wp:posOffset>
              </wp:positionV>
              <wp:extent cx="302895" cy="181610"/>
              <wp:effectExtent l="635" t="0" r="0" b="0"/>
              <wp:wrapNone/>
              <wp:docPr id="13" name="Frame 6"/>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76</w:t>
                          </w:r>
                          <w:r>
                            <w:rPr>
                              <w:rStyle w:val="Heading7Char"/>
                              <w:color w:val="000000"/>
                            </w:rPr>
                            <w:fldChar w:fldCharType="end"/>
                          </w:r>
                        </w:p>
                      </w:txbxContent>
                    </wps:txbx>
                    <wps:bodyPr lIns="0" rIns="0" tIns="0" bIns="0" anchor="t">
                      <a:noAutofit/>
                    </wps:bodyPr>
                  </wps:wsp>
                </a:graphicData>
              </a:graphic>
            </wp:anchor>
          </w:drawing>
        </mc:Choice>
        <mc:Fallback>
          <w:pict>
            <v:rect id="shape_0" ID="Frame 6"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76</w:t>
                    </w:r>
                    <w:r>
                      <w:rPr>
                        <w:rStyle w:val="Heading7Char"/>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278">
              <wp:simplePos x="0" y="0"/>
              <wp:positionH relativeFrom="margin">
                <wp:posOffset>6026150</wp:posOffset>
              </wp:positionH>
              <wp:positionV relativeFrom="paragraph">
                <wp:posOffset>-1905</wp:posOffset>
              </wp:positionV>
              <wp:extent cx="302895" cy="181610"/>
              <wp:effectExtent l="635" t="0" r="0" b="0"/>
              <wp:wrapNone/>
              <wp:docPr id="14" name="Frame 7"/>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77</w:t>
                          </w:r>
                          <w:r>
                            <w:rPr>
                              <w:rStyle w:val="Heading7Char"/>
                              <w:color w:val="000000"/>
                            </w:rPr>
                            <w:fldChar w:fldCharType="end"/>
                          </w:r>
                        </w:p>
                      </w:txbxContent>
                    </wps:txbx>
                    <wps:bodyPr lIns="0" rIns="0" tIns="0" bIns="0" anchor="t">
                      <a:noAutofit/>
                    </wps:bodyPr>
                  </wps:wsp>
                </a:graphicData>
              </a:graphic>
            </wp:anchor>
          </w:drawing>
        </mc:Choice>
        <mc:Fallback>
          <w:pict>
            <v:rect id="shape_0" ID="Frame 7"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77</w:t>
                    </w:r>
                    <w:r>
                      <w:rPr>
                        <w:rStyle w:val="Heading7Char"/>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275">
              <wp:simplePos x="0" y="0"/>
              <wp:positionH relativeFrom="margin">
                <wp:posOffset>6026150</wp:posOffset>
              </wp:positionH>
              <wp:positionV relativeFrom="paragraph">
                <wp:posOffset>-1905</wp:posOffset>
              </wp:positionV>
              <wp:extent cx="302895" cy="181610"/>
              <wp:effectExtent l="635" t="0" r="0" b="0"/>
              <wp:wrapNone/>
              <wp:docPr id="15" name="Frame 8"/>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139</w:t>
                          </w:r>
                          <w:r>
                            <w:rPr>
                              <w:rStyle w:val="Heading7Char"/>
                              <w:color w:val="000000"/>
                            </w:rPr>
                            <w:fldChar w:fldCharType="end"/>
                          </w:r>
                        </w:p>
                      </w:txbxContent>
                    </wps:txbx>
                    <wps:bodyPr lIns="0" rIns="0" tIns="0" bIns="0" anchor="t">
                      <a:noAutofit/>
                    </wps:bodyPr>
                  </wps:wsp>
                </a:graphicData>
              </a:graphic>
            </wp:anchor>
          </w:drawing>
        </mc:Choice>
        <mc:Fallback>
          <w:pict>
            <v:rect id="shape_0" ID="Frame 8"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139</w:t>
                    </w:r>
                    <w:r>
                      <w:rPr>
                        <w:rStyle w:val="Heading7Char"/>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435">
              <wp:simplePos x="0" y="0"/>
              <wp:positionH relativeFrom="margin">
                <wp:posOffset>6026150</wp:posOffset>
              </wp:positionH>
              <wp:positionV relativeFrom="paragraph">
                <wp:posOffset>-1905</wp:posOffset>
              </wp:positionV>
              <wp:extent cx="302895" cy="181610"/>
              <wp:effectExtent l="635" t="0" r="0" b="0"/>
              <wp:wrapNone/>
              <wp:docPr id="18" name="Frame 11"/>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226</w:t>
                          </w:r>
                          <w:r>
                            <w:rPr>
                              <w:rStyle w:val="Heading7Char"/>
                              <w:color w:val="000000"/>
                            </w:rPr>
                            <w:fldChar w:fldCharType="end"/>
                          </w:r>
                        </w:p>
                      </w:txbxContent>
                    </wps:txbx>
                    <wps:bodyPr lIns="0" rIns="0" tIns="0" bIns="0" anchor="t">
                      <a:noAutofit/>
                    </wps:bodyPr>
                  </wps:wsp>
                </a:graphicData>
              </a:graphic>
            </wp:anchor>
          </w:drawing>
        </mc:Choice>
        <mc:Fallback>
          <w:pict>
            <v:rect id="shape_0" ID="Frame 11"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226</w:t>
                    </w:r>
                    <w:r>
                      <w:rPr>
                        <w:rStyle w:val="Heading7Char"/>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9525" distL="0" distR="1270" simplePos="0" locked="0" layoutInCell="0" allowOverlap="1" relativeHeight="458">
              <wp:simplePos x="0" y="0"/>
              <wp:positionH relativeFrom="margin">
                <wp:posOffset>6026150</wp:posOffset>
              </wp:positionH>
              <wp:positionV relativeFrom="paragraph">
                <wp:posOffset>-1905</wp:posOffset>
              </wp:positionV>
              <wp:extent cx="302895" cy="181610"/>
              <wp:effectExtent l="635" t="0" r="0" b="0"/>
              <wp:wrapNone/>
              <wp:docPr id="19" name="Frame 12"/>
              <a:graphic xmlns:a="http://schemas.openxmlformats.org/drawingml/2006/main">
                <a:graphicData uri="http://schemas.microsoft.com/office/word/2010/wordprocessingShape">
                  <wps:wsp>
                    <wps:cNvSpPr/>
                    <wps:spPr>
                      <a:xfrm>
                        <a:off x="0" y="0"/>
                        <a:ext cx="302760" cy="1814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229</w:t>
                          </w:r>
                          <w:r>
                            <w:rPr>
                              <w:rStyle w:val="Heading7Char"/>
                              <w:color w:val="000000"/>
                            </w:rPr>
                            <w:fldChar w:fldCharType="end"/>
                          </w:r>
                        </w:p>
                      </w:txbxContent>
                    </wps:txbx>
                    <wps:bodyPr lIns="0" rIns="0" tIns="0" bIns="0" anchor="t">
                      <a:noAutofit/>
                    </wps:bodyPr>
                  </wps:wsp>
                </a:graphicData>
              </a:graphic>
            </wp:anchor>
          </w:drawing>
        </mc:Choice>
        <mc:Fallback>
          <w:pict>
            <v:rect id="shape_0" ID="Frame 12" path="m0,0l-2147483645,0l-2147483645,-2147483646l0,-2147483646xe" stroked="f" o:allowincell="f" style="position:absolute;margin-left:474.5pt;margin-top:-0.15pt;width:23.8pt;height:14.25pt;mso-wrap-style:square;v-text-anchor:top;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229</w:t>
                    </w:r>
                    <w:r>
                      <w:rPr>
                        <w:rStyle w:val="Heading7Char"/>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635" distR="0" simplePos="0" locked="0" layoutInCell="0" allowOverlap="1" relativeHeight="542">
              <wp:simplePos x="0" y="0"/>
              <wp:positionH relativeFrom="margin">
                <wp:align>right</wp:align>
              </wp:positionH>
              <wp:positionV relativeFrom="paragraph">
                <wp:posOffset>635</wp:posOffset>
              </wp:positionV>
              <wp:extent cx="153035" cy="1014730"/>
              <wp:effectExtent l="635" t="0" r="0" b="0"/>
              <wp:wrapNone/>
              <wp:docPr id="20" name="Frame7"/>
              <a:graphic xmlns:a="http://schemas.openxmlformats.org/drawingml/2006/main">
                <a:graphicData uri="http://schemas.microsoft.com/office/word/2010/wordprocessingShape">
                  <wps:wsp>
                    <wps:cNvSpPr/>
                    <wps:spPr>
                      <a:xfrm>
                        <a:off x="0" y="0"/>
                        <a:ext cx="153000" cy="1014840"/>
                      </a:xfrm>
                      <a:prstGeom prst="rect">
                        <a:avLst/>
                      </a:prstGeom>
                      <a:noFill/>
                      <a:ln w="0">
                        <a:noFill/>
                      </a:ln>
                    </wps:spPr>
                    <wps:style>
                      <a:lnRef idx="0"/>
                      <a:fillRef idx="0"/>
                      <a:effectRef idx="0"/>
                      <a:fontRef idx="minor"/>
                    </wps:style>
                    <wps:txb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271</w:t>
                          </w:r>
                          <w:r>
                            <w:rPr>
                              <w:rStyle w:val="Heading7Char"/>
                              <w:color w:val="000000"/>
                            </w:rPr>
                            <w:fldChar w:fldCharType="end"/>
                          </w:r>
                        </w:p>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439.2pt;margin-top:0.05pt;width:12pt;height:79.85pt;mso-wrap-style:square;v-text-anchor:top;mso-position-horizontal:right;mso-position-horizontal-relative:margin">
              <v:fill o:detectmouseclick="t" on="false"/>
              <v:stroke color="#3465a4" joinstyle="round" endcap="flat"/>
              <v:textbox>
                <w:txbxContent>
                  <w:p>
                    <w:pPr>
                      <w:pStyle w:val="Quote"/>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271</w:t>
                    </w:r>
                    <w:r>
                      <w:rPr>
                        <w:rStyle w:val="Heading7Char"/>
                        <w:color w:val="00000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6"/>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4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reeSerif"/>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0"/>
      <w:jc w:val="both"/>
    </w:pPr>
    <w:rPr>
      <w:rFonts w:eastAsia="Times New Roman" w:cs="Times New Roman" w:ascii="Calibri" w:hAnsi="Calibri"/>
      <w:color w:val="auto"/>
      <w:kern w:val="0"/>
      <w:sz w:val="24"/>
      <w:szCs w:val="24"/>
      <w:lang w:eastAsia="en-GB" w:val="en-GB"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FreeSerif"/>
      <w:color w:themeColor="accent1" w:themeShade="bf" w:val="2F5496"/>
      <w:sz w:val="40"/>
      <w:szCs w:val="40"/>
    </w:rPr>
  </w:style>
  <w:style w:type="paragraph" w:styleId="Heading2">
    <w:name w:val="heading 2"/>
    <w:basedOn w:val="Normal"/>
    <w:next w:val="Normal"/>
    <w:link w:val="Heading2Char"/>
    <w:autoRedefine/>
    <w:qFormat/>
    <w:pPr>
      <w:keepNext w:val="true"/>
      <w:keepLines/>
      <w:numPr>
        <w:ilvl w:val="0"/>
        <w:numId w:val="0"/>
      </w:numPr>
      <w:spacing w:before="40" w:after="0"/>
      <w:jc w:val="start"/>
      <w:outlineLvl w:val="1"/>
    </w:pPr>
    <w:rPr>
      <w:rFonts w:eastAsia="DejaVu Sans" w:cs="Mangal"/>
      <w:b/>
      <w:szCs w:val="23"/>
    </w:rPr>
  </w:style>
  <w:style w:type="paragraph" w:styleId="Heading3">
    <w:name w:val="heading 3"/>
    <w:basedOn w:val="Normal"/>
    <w:next w:val="Normal"/>
    <w:link w:val="Heading3Char"/>
    <w:qFormat/>
    <w:pPr>
      <w:keepNext w:val="true"/>
      <w:keepLines/>
      <w:numPr>
        <w:ilvl w:val="0"/>
        <w:numId w:val="0"/>
      </w:numPr>
      <w:spacing w:before="160" w:after="80"/>
      <w:jc w:val="start"/>
      <w:outlineLvl w:val="2"/>
    </w:pPr>
    <w:rPr>
      <w:rFonts w:eastAsia="Calibri" w:cs="FreeSerif"/>
      <w:b/>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FreeSerif"/>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FreeSerif"/>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FreeSerif"/>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FreeSerif"/>
      <w:color w:themeColor="dark1" w:themeTint="a6" w:val="595959"/>
    </w:rPr>
  </w:style>
  <w:style w:type="paragraph" w:styleId="Heading8">
    <w:name w:val="heading 8"/>
    <w:basedOn w:val="Normal"/>
    <w:next w:val="Normal"/>
    <w:link w:val="Heading8Char"/>
    <w:qFormat/>
    <w:pPr>
      <w:keepNext w:val="true"/>
      <w:keepLines/>
      <w:numPr>
        <w:ilvl w:val="0"/>
        <w:numId w:val="0"/>
      </w:numPr>
      <w:outlineLvl w:val="7"/>
    </w:pPr>
    <w:rPr>
      <w:rFonts w:eastAsia="Calibri" w:cs="FreeSerif"/>
      <w:i/>
      <w:iCs/>
      <w:color w:themeColor="dark1" w:themeTint="d8" w:val="272727"/>
    </w:rPr>
  </w:style>
  <w:style w:type="paragraph" w:styleId="Heading9">
    <w:name w:val="heading 9"/>
    <w:basedOn w:val="Normal"/>
    <w:next w:val="Normal"/>
    <w:link w:val="Heading9Char"/>
    <w:qFormat/>
    <w:pPr>
      <w:keepNext w:val="true"/>
      <w:keepLines/>
      <w:numPr>
        <w:ilvl w:val="0"/>
        <w:numId w:val="0"/>
      </w:numPr>
      <w:outlineLvl w:val="8"/>
    </w:pPr>
    <w:rPr>
      <w:rFonts w:eastAsia="Calibri" w:cs="FreeSerif"/>
      <w:color w:themeColor="dark1" w:themeTint="d8" w:val="272727"/>
    </w:rPr>
  </w:style>
  <w:style w:type="character" w:styleId="DefaultParagraphFont">
    <w:name w:val="Default Paragraph Font"/>
    <w:qFormat/>
    <w:rPr/>
  </w:style>
  <w:style w:type="character" w:styleId="Heading2Char">
    <w:name w:val="Heading 2 Char"/>
    <w:basedOn w:val="DefaultParagraphFont"/>
    <w:link w:val="Heading2"/>
    <w:qFormat/>
    <w:rPr>
      <w:rFonts w:ascii="Calibri" w:hAnsi="Calibri" w:eastAsia="DejaVu Sans" w:cs="Mangal"/>
      <w:b/>
      <w:kern w:val="0"/>
      <w:szCs w:val="23"/>
      <w:lang w:eastAsia="en-GB"/>
    </w:rPr>
  </w:style>
  <w:style w:type="character" w:styleId="Heading1Char">
    <w:name w:val="Heading 1 Char"/>
    <w:basedOn w:val="DefaultParagraphFont"/>
    <w:link w:val="Heading1"/>
    <w:qFormat/>
    <w:rPr>
      <w:rFonts w:ascii="Calibri Light" w:hAnsi="Calibri Light" w:eastAsia="Calibri" w:cs="FreeSerif"/>
      <w:color w:themeColor="accent1" w:themeShade="bf" w:val="2F5496"/>
      <w:sz w:val="40"/>
      <w:szCs w:val="40"/>
    </w:rPr>
  </w:style>
  <w:style w:type="character" w:styleId="Heading3Char">
    <w:name w:val="Heading 3 Char"/>
    <w:basedOn w:val="DefaultParagraphFont"/>
    <w:link w:val="Heading3"/>
    <w:qFormat/>
    <w:rPr>
      <w:rFonts w:eastAsia="Calibri" w:cs="FreeSerif"/>
      <w:b/>
      <w:kern w:val="0"/>
      <w:szCs w:val="28"/>
      <w:lang w:eastAsia="en-GB"/>
    </w:rPr>
  </w:style>
  <w:style w:type="character" w:styleId="Heading4Char">
    <w:name w:val="Heading 4 Char"/>
    <w:basedOn w:val="DefaultParagraphFont"/>
    <w:link w:val="Heading4"/>
    <w:qFormat/>
    <w:rPr>
      <w:rFonts w:eastAsia="Calibri" w:cs="FreeSerif"/>
      <w:i/>
      <w:iCs/>
      <w:color w:themeColor="accent1" w:themeShade="bf" w:val="2F5496"/>
    </w:rPr>
  </w:style>
  <w:style w:type="character" w:styleId="Heading5Char">
    <w:name w:val="Heading 5 Char"/>
    <w:basedOn w:val="DefaultParagraphFont"/>
    <w:link w:val="Heading5"/>
    <w:qFormat/>
    <w:rPr>
      <w:rFonts w:eastAsia="Calibri" w:cs="FreeSerif"/>
      <w:color w:themeColor="accent1" w:themeShade="bf" w:val="2F5496"/>
    </w:rPr>
  </w:style>
  <w:style w:type="character" w:styleId="Heading6Char">
    <w:name w:val="Heading 6 Char"/>
    <w:basedOn w:val="DefaultParagraphFont"/>
    <w:link w:val="Heading6"/>
    <w:qFormat/>
    <w:rPr>
      <w:rFonts w:eastAsia="Calibri" w:cs="FreeSerif"/>
      <w:i/>
      <w:iCs/>
      <w:color w:themeColor="dark1" w:themeTint="a6" w:val="595959"/>
    </w:rPr>
  </w:style>
  <w:style w:type="character" w:styleId="Heading7Char">
    <w:name w:val="Heading 7 Char"/>
    <w:basedOn w:val="DefaultParagraphFont"/>
    <w:link w:val="Heading7"/>
    <w:qFormat/>
    <w:rPr>
      <w:rFonts w:eastAsia="Calibri" w:cs="FreeSerif"/>
      <w:color w:themeColor="dark1" w:themeTint="a6" w:val="595959"/>
    </w:rPr>
  </w:style>
  <w:style w:type="character" w:styleId="Heading8Char">
    <w:name w:val="Heading 8 Char"/>
    <w:basedOn w:val="DefaultParagraphFont"/>
    <w:link w:val="Heading8"/>
    <w:qFormat/>
    <w:rPr>
      <w:rFonts w:eastAsia="Calibri" w:cs="FreeSerif"/>
      <w:i/>
      <w:iCs/>
      <w:color w:themeColor="dark1" w:themeTint="d8" w:val="272727"/>
    </w:rPr>
  </w:style>
  <w:style w:type="character" w:styleId="Heading9Char">
    <w:name w:val="Heading 9 Char"/>
    <w:basedOn w:val="DefaultParagraphFont"/>
    <w:link w:val="Heading9"/>
    <w:qFormat/>
    <w:rPr>
      <w:rFonts w:eastAsia="Calibri" w:cs="FreeSerif"/>
      <w:color w:themeColor="dark1" w:themeTint="d8" w:val="272727"/>
    </w:rPr>
  </w:style>
  <w:style w:type="character" w:styleId="TitleChar">
    <w:name w:val="Title Char"/>
    <w:basedOn w:val="DefaultParagraphFont"/>
    <w:link w:val="Title"/>
    <w:qFormat/>
    <w:rPr>
      <w:rFonts w:ascii="Calibri Light" w:hAnsi="Calibri Light" w:eastAsia="Calibri" w:cs="FreeSerif"/>
      <w:spacing w:val="-10"/>
      <w:kern w:val="2"/>
      <w:sz w:val="56"/>
      <w:szCs w:val="56"/>
    </w:rPr>
  </w:style>
  <w:style w:type="character" w:styleId="SubtitleChar">
    <w:name w:val="Subtitle Char"/>
    <w:basedOn w:val="DefaultParagraphFont"/>
    <w:link w:val="Subtitle"/>
    <w:qFormat/>
    <w:rPr>
      <w:rFonts w:eastAsia="Calibri" w:cs="FreeSerif"/>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katex-mathml">
    <w:name w:val="katex-mathml"/>
    <w:basedOn w:val="DefaultParagraphFont"/>
    <w:qFormat/>
    <w:rPr/>
  </w:style>
  <w:style w:type="character" w:styleId="mord">
    <w:name w:val="mord"/>
    <w:basedOn w:val="DefaultParagraphFont"/>
    <w:qFormat/>
    <w:rPr/>
  </w:style>
  <w:style w:type="character" w:styleId="vlist-s">
    <w:name w:val="vlist-s"/>
    <w:basedOn w:val="DefaultParagraphFont"/>
    <w:qFormat/>
    <w:rPr/>
  </w:style>
  <w:style w:type="character" w:styleId="mrel">
    <w:name w:val="mrel"/>
    <w:basedOn w:val="DefaultParagraphFont"/>
    <w:qFormat/>
    <w:rPr/>
  </w:style>
  <w:style w:type="character" w:styleId="mbin">
    <w:name w:val="mbin"/>
    <w:basedOn w:val="DefaultParagraphFont"/>
    <w:qFormat/>
    <w:rPr/>
  </w:style>
  <w:style w:type="character" w:styleId="Strong">
    <w:name w:val="Strong"/>
    <w:basedOn w:val="DefaultParagraphFont"/>
    <w:qFormat/>
    <w:rPr>
      <w:b/>
      <w:bCs/>
    </w:rPr>
  </w:style>
  <w:style w:type="character" w:styleId="NumberingSymbols">
    <w:name w:val="Numbering Symbols"/>
    <w:qFormat/>
    <w:rPr/>
  </w:style>
  <w:style w:type="character" w:styleId="FooterChar">
    <w:name w:val="Footer Char"/>
    <w:basedOn w:val="DefaultParagraphFont"/>
    <w:link w:val="Footer"/>
    <w:qFormat/>
    <w:rPr>
      <w:rFonts w:ascii="Calibri" w:hAnsi="Calibri" w:eastAsia="Times New Roman" w:cs="Times New Roman"/>
      <w:kern w:val="0"/>
      <w:lang w:eastAsia="en-GB"/>
    </w:rPr>
  </w:style>
  <w:style w:type="character" w:styleId="PageNumber">
    <w:name w:val="page number"/>
    <w:basedOn w:val="DefaultParagraphFont"/>
    <w:rPr/>
  </w:style>
  <w:style w:type="character" w:styleId="HeaderChar">
    <w:name w:val="Header Char"/>
    <w:basedOn w:val="DefaultParagraphFont"/>
    <w:link w:val="Header"/>
    <w:qFormat/>
    <w:rPr>
      <w:rFonts w:ascii="Calibri" w:hAnsi="Calibri" w:eastAsia="Times New Roman" w:cs="Times New Roman"/>
      <w:kern w:val="0"/>
      <w:lang w:eastAsia="en-GB"/>
    </w:rPr>
  </w:style>
  <w:style w:type="character" w:styleId="SourceText">
    <w:name w:val="Source Text"/>
    <w:qFormat/>
    <w:rPr>
      <w:rFonts w:ascii="Nimbus Mono PS" w:hAnsi="Nimbus Mono PS" w:eastAsia="Nimbus Mono PS" w:cs="Nimbus Mono PS"/>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Emphasis">
    <w:name w:val="Emphasis"/>
    <w:basedOn w:val="DefaultParagraphFont"/>
    <w:qFormat/>
    <w:rPr>
      <w:i/>
      <w:iCs/>
    </w:rPr>
  </w:style>
  <w:style w:type="character" w:styleId="BodyTextChar">
    <w:name w:val="Body Text Char"/>
    <w:basedOn w:val="DefaultParagraphFont"/>
    <w:qFormat/>
    <w:rPr>
      <w:rFonts w:ascii="Calibri" w:hAnsi="Calibri" w:eastAsia="Times New Roman" w:cs="Times New Roman"/>
      <w:kern w:val="0"/>
      <w:lang w:eastAsia="en-GB"/>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rFonts w:ascii="Calibri" w:hAnsi="Calibri" w:eastAsia="Times New Roman" w:cs="Times New Roman"/>
      <w:kern w:val="0"/>
      <w:sz w:val="20"/>
      <w:szCs w:val="20"/>
      <w:lang w:eastAsia="en-GB"/>
    </w:rPr>
  </w:style>
  <w:style w:type="character" w:styleId="CommentSubjectChar">
    <w:name w:val="Comment Subject Char"/>
    <w:basedOn w:val="CommentTextChar"/>
    <w:link w:val="annotationsubject"/>
    <w:qFormat/>
    <w:rPr>
      <w:rFonts w:ascii="Calibri" w:hAnsi="Calibri" w:eastAsia="Times New Roman" w:cs="Times New Roman"/>
      <w:b/>
      <w:bCs/>
      <w:kern w:val="0"/>
      <w:sz w:val="20"/>
      <w:szCs w:val="20"/>
      <w:lang w:eastAsia="en-GB"/>
    </w:rPr>
  </w:style>
  <w:style w:type="character" w:styleId="mspace">
    <w:name w:val="mspace"/>
    <w:basedOn w:val="DefaultParagraphFont"/>
    <w:qFormat/>
    <w:rPr/>
  </w:style>
  <w:style w:type="character" w:styleId="mopen">
    <w:name w:val="mopen"/>
    <w:basedOn w:val="DefaultParagraphFont"/>
    <w:qFormat/>
    <w:rPr/>
  </w:style>
  <w:style w:type="character" w:styleId="mclose">
    <w:name w:val="mclose"/>
    <w:basedOn w:val="DefaultParagraphFont"/>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link w:val="BodyTextChar"/>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FreeSerif"/>
      <w:spacing w:val="-10"/>
      <w:kern w:val="2"/>
      <w:sz w:val="56"/>
      <w:szCs w:val="56"/>
    </w:rPr>
  </w:style>
  <w:style w:type="paragraph" w:styleId="Subtitle">
    <w:name w:val="Subtitle"/>
    <w:basedOn w:val="Normal"/>
    <w:next w:val="Normal"/>
    <w:link w:val="SubtitleChar"/>
    <w:qFormat/>
    <w:pPr/>
    <w:rPr>
      <w:rFonts w:eastAsia="Calibri" w:cs="FreeSerif"/>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rPr>
  </w:style>
  <w:style w:type="paragraph" w:styleId="Revision">
    <w:name w:val="Revision"/>
    <w:qFormat/>
    <w:pPr>
      <w:widowControl/>
      <w:suppressAutoHyphens w:val="true"/>
      <w:kinsoku w:val="true"/>
      <w:overflowPunct w:val="true"/>
      <w:autoSpaceDE w:val="true"/>
      <w:bidi w:val="0"/>
      <w:spacing w:before="0" w:after="0"/>
      <w:jc w:val="start"/>
    </w:pPr>
    <w:rPr>
      <w:rFonts w:ascii="Calibri" w:hAnsi="Calibri" w:eastAsia="Times New Roman" w:cs="Times New Roman"/>
      <w:color w:val="auto"/>
      <w:kern w:val="0"/>
      <w:sz w:val="24"/>
      <w:szCs w:val="24"/>
      <w:lang w:eastAsia="en-GB" w:val="en-GB" w:bidi="ar-SA"/>
    </w:rPr>
  </w:style>
  <w:style w:type="paragraph" w:styleId="break-words">
    <w:name w:val="break-words"/>
    <w:basedOn w:val="Normal"/>
    <w:qFormat/>
    <w:pPr>
      <w:spacing w:lineRule="auto" w:line="240" w:before="280" w:after="280"/>
      <w:jc w:val="start"/>
    </w:pPr>
    <w:rPr>
      <w:rFonts w:ascii="Times New Roman" w:hAnsi="Times New Roman"/>
    </w:rPr>
  </w:style>
  <w:style w:type="paragraph" w:styleId="msonormal">
    <w:name w:val="msonormal"/>
    <w:basedOn w:val="Normal"/>
    <w:qFormat/>
    <w:pPr>
      <w:spacing w:lineRule="auto" w:line="240" w:before="280" w:after="280"/>
      <w:jc w:val="start"/>
    </w:pPr>
    <w:rPr>
      <w:rFonts w:ascii="Times New Roman" w:hAnsi="Times New Roman"/>
    </w:rPr>
  </w:style>
  <w:style w:type="paragraph" w:styleId="NormalWeb">
    <w:name w:val="Normal (Web)"/>
    <w:basedOn w:val="Normal"/>
    <w:qFormat/>
    <w:pPr>
      <w:spacing w:lineRule="auto" w:line="240" w:before="280" w:after="280"/>
      <w:jc w:val="start"/>
    </w:pPr>
    <w:rPr>
      <w:rFonts w:ascii="Times New Roman" w:hAnsi="Times New Roman"/>
    </w:rPr>
  </w:style>
  <w:style w:type="paragraph" w:styleId="TableContents">
    <w:name w:val="Table Contents"/>
    <w:basedOn w:val="Normal"/>
    <w:qFormat/>
    <w:pPr>
      <w:widowControl w:val="false"/>
      <w:suppressLineNumbers/>
      <w:spacing w:lineRule="auto" w:line="240"/>
    </w:pPr>
    <w:rPr/>
  </w:style>
  <w:style w:type="paragraph" w:styleId="TableHeading">
    <w:name w:val="Table Heading"/>
    <w:basedOn w:val="TableContents"/>
    <w:qFormat/>
    <w:pPr>
      <w:jc w:val="center"/>
    </w:pPr>
    <w:rPr>
      <w:b/>
      <w:bC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uppressAutoHyphens w:val="false"/>
    </w:pPr>
    <w:rPr>
      <w:rFonts w:ascii="Nimbus Mono PS" w:hAnsi="Nimbus Mono PS" w:eastAsia="Nimbus Mono PS" w:cs="Nimbus Mono PS"/>
      <w:sz w:val="20"/>
      <w:szCs w:val="20"/>
    </w:rPr>
  </w:style>
  <w:style w:type="paragraph" w:styleId="Index1">
    <w:name w:val="index 1"/>
    <w:basedOn w:val="Normal"/>
    <w:next w:val="Normal"/>
    <w:autoRedefine/>
    <w:pPr>
      <w:spacing w:lineRule="auto" w:line="240"/>
      <w:ind w:hanging="240" w:start="240"/>
    </w:pPr>
    <w:rPr/>
  </w:style>
  <w:style w:type="paragraph" w:styleId="IndexHeading">
    <w:name w:val="index heading"/>
    <w:basedOn w:val="Heading"/>
    <w:pPr>
      <w:suppressAutoHyphens w:val="false"/>
      <w:jc w:val="center"/>
    </w:pPr>
    <w:rPr>
      <w:rFonts w:ascii="Calibri Light" w:hAnsi="Calibri Light" w:eastAsia="Times New Roman" w:cs="Times New Roman"/>
      <w:b/>
      <w:sz w:val="24"/>
    </w:rPr>
  </w:style>
  <w:style w:type="paragraph" w:styleId="TOCHeading">
    <w:name w:val="TOC Heading"/>
    <w:basedOn w:val="Heading1"/>
    <w:next w:val="Normal"/>
    <w:qFormat/>
    <w:pPr>
      <w:suppressAutoHyphens w:val="false"/>
      <w:spacing w:lineRule="auto" w:line="276" w:before="480" w:after="0"/>
      <w:jc w:val="center"/>
      <w:outlineLvl w:val="9"/>
    </w:pPr>
    <w:rPr>
      <w:rFonts w:ascii="Arial" w:hAnsi="Arial" w:eastAsia="DejaVu Sans" w:cs="DejaVu Sans"/>
      <w:bCs/>
      <w:sz w:val="28"/>
      <w:szCs w:val="28"/>
      <w:lang w:eastAsia="en-US"/>
    </w:rPr>
  </w:style>
  <w:style w:type="paragraph" w:styleId="TOC1">
    <w:name w:val="toc 1"/>
    <w:basedOn w:val="Normal"/>
    <w:next w:val="Normal"/>
    <w:autoRedefine/>
    <w:pPr>
      <w:suppressAutoHyphens w:val="false"/>
      <w:spacing w:before="120" w:after="120"/>
      <w:jc w:val="start"/>
    </w:pPr>
    <w:rPr>
      <w:rFonts w:cs="Calibri"/>
      <w:b/>
      <w:bCs/>
      <w:caps/>
      <w:sz w:val="20"/>
      <w:szCs w:val="20"/>
    </w:rPr>
  </w:style>
  <w:style w:type="paragraph" w:styleId="TOC2">
    <w:name w:val="toc 2"/>
    <w:basedOn w:val="Normal"/>
    <w:next w:val="Normal"/>
    <w:autoRedefine/>
    <w:pPr>
      <w:suppressAutoHyphens w:val="false"/>
      <w:ind w:start="240"/>
      <w:jc w:val="start"/>
    </w:pPr>
    <w:rPr>
      <w:rFonts w:cs="Calibri"/>
      <w:smallCaps/>
      <w:sz w:val="20"/>
      <w:szCs w:val="20"/>
    </w:rPr>
  </w:style>
  <w:style w:type="paragraph" w:styleId="TOC3">
    <w:name w:val="toc 3"/>
    <w:basedOn w:val="Normal"/>
    <w:next w:val="Normal"/>
    <w:autoRedefine/>
    <w:pPr>
      <w:suppressAutoHyphens w:val="false"/>
      <w:ind w:start="480"/>
      <w:jc w:val="start"/>
    </w:pPr>
    <w:rPr>
      <w:rFonts w:cs="Calibri"/>
      <w:i/>
      <w:iCs/>
      <w:sz w:val="20"/>
      <w:szCs w:val="20"/>
    </w:rPr>
  </w:style>
  <w:style w:type="paragraph" w:styleId="TOC4">
    <w:name w:val="toc 4"/>
    <w:basedOn w:val="Normal"/>
    <w:next w:val="Normal"/>
    <w:autoRedefine/>
    <w:pPr>
      <w:suppressAutoHyphens w:val="false"/>
      <w:ind w:start="720"/>
      <w:jc w:val="start"/>
    </w:pPr>
    <w:rPr>
      <w:rFonts w:cs="Calibri"/>
      <w:sz w:val="18"/>
      <w:szCs w:val="18"/>
    </w:rPr>
  </w:style>
  <w:style w:type="paragraph" w:styleId="TOC5">
    <w:name w:val="toc 5"/>
    <w:basedOn w:val="Normal"/>
    <w:next w:val="Normal"/>
    <w:autoRedefine/>
    <w:pPr>
      <w:suppressAutoHyphens w:val="false"/>
      <w:ind w:start="960"/>
      <w:jc w:val="start"/>
    </w:pPr>
    <w:rPr>
      <w:rFonts w:cs="Calibri"/>
      <w:sz w:val="18"/>
      <w:szCs w:val="18"/>
    </w:rPr>
  </w:style>
  <w:style w:type="paragraph" w:styleId="TOC6">
    <w:name w:val="toc 6"/>
    <w:basedOn w:val="Normal"/>
    <w:next w:val="Normal"/>
    <w:autoRedefine/>
    <w:pPr>
      <w:suppressAutoHyphens w:val="false"/>
      <w:ind w:start="1200"/>
      <w:jc w:val="start"/>
    </w:pPr>
    <w:rPr>
      <w:rFonts w:cs="Calibri"/>
      <w:sz w:val="18"/>
      <w:szCs w:val="18"/>
    </w:rPr>
  </w:style>
  <w:style w:type="paragraph" w:styleId="TOC7">
    <w:name w:val="toc 7"/>
    <w:basedOn w:val="Normal"/>
    <w:next w:val="Normal"/>
    <w:autoRedefine/>
    <w:pPr>
      <w:suppressAutoHyphens w:val="false"/>
      <w:ind w:start="1440"/>
      <w:jc w:val="start"/>
    </w:pPr>
    <w:rPr>
      <w:rFonts w:cs="Calibri"/>
      <w:sz w:val="18"/>
      <w:szCs w:val="18"/>
    </w:rPr>
  </w:style>
  <w:style w:type="paragraph" w:styleId="TOC8">
    <w:name w:val="toc 8"/>
    <w:basedOn w:val="Normal"/>
    <w:next w:val="Normal"/>
    <w:autoRedefine/>
    <w:pPr>
      <w:suppressAutoHyphens w:val="false"/>
      <w:ind w:start="1680"/>
      <w:jc w:val="start"/>
    </w:pPr>
    <w:rPr>
      <w:rFonts w:cs="Calibri"/>
      <w:sz w:val="18"/>
      <w:szCs w:val="18"/>
    </w:rPr>
  </w:style>
  <w:style w:type="paragraph" w:styleId="TOC9">
    <w:name w:val="toc 9"/>
    <w:basedOn w:val="Normal"/>
    <w:next w:val="Normal"/>
    <w:autoRedefine/>
    <w:pPr>
      <w:suppressAutoHyphens w:val="false"/>
      <w:ind w:start="1920"/>
      <w:jc w:val="start"/>
    </w:pPr>
    <w:rPr>
      <w:rFonts w:cs="Calibri"/>
      <w:sz w:val="18"/>
      <w:szCs w:val="18"/>
    </w:rPr>
  </w:style>
  <w:style w:type="paragraph" w:styleId="TableofFigures">
    <w:name w:val="table of figures"/>
    <w:basedOn w:val="Normal"/>
    <w:next w:val="Normal"/>
    <w:pPr>
      <w:suppressAutoHyphens w:val="false"/>
      <w:jc w:val="start"/>
    </w:pPr>
    <w:rPr>
      <w:rFonts w:ascii="Arial" w:hAnsi="Arial" w:cs="Arial"/>
      <w:i/>
      <w:iCs/>
      <w:sz w:val="20"/>
      <w:szCs w:val="20"/>
    </w:rPr>
  </w:style>
  <w:style w:type="paragraph" w:styleId="FrameContentsuser">
    <w:name w:val="Frame Contents (user)"/>
    <w:basedOn w:val="Normal"/>
    <w:qFormat/>
    <w:pPr>
      <w:suppressAutoHyphens w:val="false"/>
    </w:pPr>
    <w:rPr/>
  </w:style>
  <w:style w:type="paragraph" w:styleId="HorizontalLine">
    <w:name w:val="Horizontal Line"/>
    <w:basedOn w:val="Normal"/>
    <w:next w:val="BodyText"/>
    <w:qFormat/>
    <w:pPr>
      <w:suppressLineNumbers/>
      <w:pBdr>
        <w:bottom w:val="double" w:sz="2" w:space="0" w:color="808080"/>
      </w:pBdr>
      <w:suppressAutoHyphens w:val="false"/>
      <w:spacing w:before="0" w:after="283"/>
    </w:pPr>
    <w:rPr>
      <w:sz w:val="12"/>
      <w:szCs w:val="12"/>
    </w:rPr>
  </w:style>
  <w:style w:type="paragraph" w:styleId="FrameContents">
    <w:name w:val="Frame Contents"/>
    <w:basedOn w:val="Normal"/>
    <w:qFormat/>
    <w:pPr>
      <w:suppressAutoHyphens w:val="false"/>
    </w:pPr>
    <w:rPr/>
  </w:style>
  <w:style w:type="paragraph" w:styleId="CommentText">
    <w:name w:val="annotation text"/>
    <w:basedOn w:val="Normal"/>
    <w:link w:val="CommentTextChar"/>
    <w:pPr>
      <w:spacing w:lineRule="auto" w:line="240"/>
    </w:pPr>
    <w:rPr>
      <w:sz w:val="20"/>
      <w:szCs w:val="20"/>
    </w:rPr>
  </w:style>
  <w:style w:type="paragraph" w:styleId="annotationsubject">
    <w:name w:val="annotation subject"/>
    <w:basedOn w:val="CommentText"/>
    <w:next w:val="CommentText"/>
    <w:link w:val="CommentSubjectChar"/>
    <w:qFormat/>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LibreOffice/25.8.1.1$Linux_X86_64 LibreOffice_project/580$Build-1</Application>
  <AppVersion>15.0000</AppVersion>
  <Pages>271</Pages>
  <Words>65054</Words>
  <Characters>422443</Characters>
  <CharactersWithSpaces>484822</CharactersWithSpaces>
  <Paragraphs>2368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2025-10-02T16:36:00Z</dcterms:created>
  <dc:creator>isiah jimoh</dc:creator>
  <dc:description/>
  <dc:language>en-US</dc:language>
  <cp:lastModifiedBy/>
  <cp:lastPrinted>2025-09-12T15:05:00Z</cp:lastPrinted>
  <dcterms:modified xsi:type="dcterms:W3CDTF">2025-10-03T16:58:42Z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