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E0688" w14:textId="11970183" w:rsidR="001B71B6" w:rsidRPr="00134AD3" w:rsidRDefault="001B71B6" w:rsidP="00134AD3">
      <w:pPr>
        <w:spacing w:line="360" w:lineRule="auto"/>
        <w:jc w:val="both"/>
        <w:rPr>
          <w:b/>
          <w:bCs/>
          <w:u w:val="single"/>
        </w:rPr>
      </w:pPr>
      <w:r w:rsidRPr="00134AD3">
        <w:rPr>
          <w:b/>
          <w:bCs/>
          <w:u w:val="single"/>
        </w:rPr>
        <w:t>Introduction</w:t>
      </w:r>
    </w:p>
    <w:p w14:paraId="66ED74EF" w14:textId="77777777" w:rsidR="001B71B6" w:rsidRDefault="001B71B6" w:rsidP="00134AD3">
      <w:pPr>
        <w:spacing w:line="360" w:lineRule="auto"/>
        <w:jc w:val="both"/>
      </w:pPr>
      <w:r>
        <w:t>This chapter delves into the results of an extensive examination of the relationship between Corporate Governance (CG) and various independent variables using regression analysis. The analysis focuses on the impact of Governance and Risk Management, Bank Governance Practice, Regulatory Multiplicity, and Transparency and Accountability. The chapter provides a detailed overview of the regression results, emphasizing the significance of each variable and the overall model's predictive power.</w:t>
      </w:r>
    </w:p>
    <w:p w14:paraId="3EABD362" w14:textId="77777777" w:rsidR="001B71B6" w:rsidRDefault="001B71B6" w:rsidP="00134AD3">
      <w:pPr>
        <w:spacing w:line="360" w:lineRule="auto"/>
        <w:jc w:val="both"/>
      </w:pPr>
    </w:p>
    <w:p w14:paraId="08776177" w14:textId="065E239F" w:rsidR="001B71B6" w:rsidRPr="00134AD3" w:rsidRDefault="001B71B6" w:rsidP="00134AD3">
      <w:pPr>
        <w:spacing w:line="360" w:lineRule="auto"/>
        <w:jc w:val="both"/>
        <w:rPr>
          <w:b/>
          <w:bCs/>
          <w:u w:val="single"/>
        </w:rPr>
      </w:pPr>
      <w:r w:rsidRPr="00134AD3">
        <w:rPr>
          <w:b/>
          <w:bCs/>
          <w:u w:val="single"/>
        </w:rPr>
        <w:t>Model Overview</w:t>
      </w:r>
    </w:p>
    <w:p w14:paraId="66E2D1B1" w14:textId="732A0062" w:rsidR="001B71B6" w:rsidRPr="00134AD3" w:rsidRDefault="001B71B6" w:rsidP="00134AD3">
      <w:pPr>
        <w:spacing w:line="360" w:lineRule="auto"/>
        <w:jc w:val="both"/>
        <w:rPr>
          <w:b/>
          <w:bCs/>
        </w:rPr>
      </w:pPr>
      <w:r w:rsidRPr="00134AD3">
        <w:rPr>
          <w:b/>
          <w:bCs/>
        </w:rPr>
        <w:t>I</w:t>
      </w:r>
      <w:r w:rsidRPr="00134AD3">
        <w:rPr>
          <w:b/>
          <w:bCs/>
        </w:rPr>
        <w:t>nitial</w:t>
      </w:r>
      <w:r w:rsidR="00134AD3">
        <w:rPr>
          <w:b/>
          <w:bCs/>
        </w:rPr>
        <w:t xml:space="preserve"> Random</w:t>
      </w:r>
      <w:r w:rsidRPr="00134AD3">
        <w:rPr>
          <w:b/>
          <w:bCs/>
        </w:rPr>
        <w:t xml:space="preserve"> Sample Size (65 Entries)</w:t>
      </w:r>
    </w:p>
    <w:p w14:paraId="26936DBC" w14:textId="77777777" w:rsidR="001B71B6" w:rsidRDefault="001B71B6" w:rsidP="00134AD3">
      <w:pPr>
        <w:spacing w:line="360" w:lineRule="auto"/>
        <w:jc w:val="both"/>
      </w:pPr>
      <w:r>
        <w:t>The initial analysis conducted on a sample size of 65 provided the following key statistics:</w:t>
      </w:r>
    </w:p>
    <w:p w14:paraId="00E5977F" w14:textId="77777777" w:rsidR="001B71B6" w:rsidRDefault="001B71B6" w:rsidP="00134AD3">
      <w:pPr>
        <w:spacing w:line="360" w:lineRule="auto"/>
        <w:jc w:val="both"/>
      </w:pPr>
    </w:p>
    <w:p w14:paraId="02F1A095" w14:textId="77777777" w:rsidR="001B71B6" w:rsidRDefault="001B71B6" w:rsidP="00134AD3">
      <w:pPr>
        <w:spacing w:line="360" w:lineRule="auto"/>
        <w:jc w:val="both"/>
      </w:pPr>
      <w:r>
        <w:t>| Model | R    | R Square | Adjusted R Square | Std. Error of the Estimate | Change Statistics | Durbin-Watson |</w:t>
      </w:r>
    </w:p>
    <w:p w14:paraId="0AAA2583" w14:textId="77777777" w:rsidR="001B71B6" w:rsidRDefault="001B71B6" w:rsidP="00134AD3">
      <w:pPr>
        <w:spacing w:line="360" w:lineRule="auto"/>
        <w:jc w:val="both"/>
      </w:pPr>
      <w:r>
        <w:t>|-------|------|----------|-------------------|----------------------------|-------------------|---------------|</w:t>
      </w:r>
    </w:p>
    <w:p w14:paraId="3C6DC61A" w14:textId="77777777" w:rsidR="001B71B6" w:rsidRDefault="001B71B6" w:rsidP="00134AD3">
      <w:pPr>
        <w:spacing w:line="360" w:lineRule="auto"/>
        <w:jc w:val="both"/>
      </w:pPr>
      <w:r>
        <w:t>| 1     | .732 | .550     | .510              | 1.34860                    | .510              | .524          |</w:t>
      </w:r>
    </w:p>
    <w:p w14:paraId="5A55A4CA" w14:textId="77777777" w:rsidR="001B71B6" w:rsidRDefault="001B71B6" w:rsidP="00134AD3">
      <w:pPr>
        <w:spacing w:line="360" w:lineRule="auto"/>
        <w:jc w:val="both"/>
      </w:pPr>
    </w:p>
    <w:p w14:paraId="5E5C9BA7" w14:textId="0CEA3777" w:rsidR="00DA076B" w:rsidRDefault="001B71B6" w:rsidP="00134AD3">
      <w:pPr>
        <w:spacing w:line="360" w:lineRule="auto"/>
        <w:jc w:val="both"/>
      </w:pPr>
      <w:r>
        <w:t>The R Square value of 0.550 indicates that 55% of the variability in CG can be explained by the independent variables. The Adjusted R Square value of 0.510 provides a more adjusted measure of the model's explanatory power</w:t>
      </w:r>
    </w:p>
    <w:p w14:paraId="32F96C5F" w14:textId="77777777" w:rsidR="00DA076B" w:rsidRDefault="00DA076B" w:rsidP="001B71B6"/>
    <w:p w14:paraId="367107C2" w14:textId="77777777" w:rsidR="00DA076B" w:rsidRDefault="00DA076B" w:rsidP="001B71B6"/>
    <w:p w14:paraId="1AF4DF3B" w14:textId="77777777" w:rsidR="00DA076B" w:rsidRDefault="00DA076B" w:rsidP="001B71B6"/>
    <w:p w14:paraId="7B983075" w14:textId="77777777" w:rsidR="00DA076B" w:rsidRDefault="00DA076B" w:rsidP="001B71B6"/>
    <w:p w14:paraId="2C7109EF" w14:textId="77777777" w:rsidR="00134AD3" w:rsidRDefault="00134AD3" w:rsidP="001B71B6"/>
    <w:p w14:paraId="03010A87" w14:textId="77777777" w:rsidR="00134AD3" w:rsidRDefault="00134AD3" w:rsidP="001B71B6"/>
    <w:p w14:paraId="54B0D3CD" w14:textId="3F24A344" w:rsidR="001B71B6" w:rsidRPr="00DA076B" w:rsidRDefault="001B71B6" w:rsidP="001B71B6">
      <w:pPr>
        <w:rPr>
          <w:b/>
          <w:bCs/>
        </w:rPr>
      </w:pPr>
      <w:r w:rsidRPr="00DA076B">
        <w:rPr>
          <w:b/>
          <w:bCs/>
        </w:rPr>
        <w:lastRenderedPageBreak/>
        <w:t xml:space="preserve"> P-Values for Initial Sample Size</w:t>
      </w:r>
    </w:p>
    <w:tbl>
      <w:tblPr>
        <w:tblStyle w:val="TableGrid"/>
        <w:tblW w:w="0" w:type="auto"/>
        <w:tblLook w:val="04A0" w:firstRow="1" w:lastRow="0" w:firstColumn="1" w:lastColumn="0" w:noHBand="0" w:noVBand="1"/>
      </w:tblPr>
      <w:tblGrid>
        <w:gridCol w:w="3005"/>
        <w:gridCol w:w="3005"/>
        <w:gridCol w:w="3006"/>
      </w:tblGrid>
      <w:tr w:rsidR="00DA076B" w14:paraId="053D1184" w14:textId="77777777" w:rsidTr="00DA076B">
        <w:tc>
          <w:tcPr>
            <w:tcW w:w="3005" w:type="dxa"/>
          </w:tcPr>
          <w:p w14:paraId="536FDB39" w14:textId="7D53C00F" w:rsidR="00DA076B" w:rsidRDefault="00DA076B" w:rsidP="001B71B6">
            <w:r>
              <w:t xml:space="preserve">Independat Variable </w:t>
            </w:r>
          </w:p>
        </w:tc>
        <w:tc>
          <w:tcPr>
            <w:tcW w:w="3005" w:type="dxa"/>
          </w:tcPr>
          <w:p w14:paraId="0539F101" w14:textId="5D85712C" w:rsidR="00DA076B" w:rsidRDefault="00DA076B" w:rsidP="001B71B6">
            <w:r>
              <w:t xml:space="preserve">P=Value </w:t>
            </w:r>
          </w:p>
        </w:tc>
        <w:tc>
          <w:tcPr>
            <w:tcW w:w="3006" w:type="dxa"/>
          </w:tcPr>
          <w:p w14:paraId="1ADF57EE" w14:textId="5F6705AD" w:rsidR="00DA076B" w:rsidRDefault="00DA076B" w:rsidP="001B71B6">
            <w:r>
              <w:t xml:space="preserve">Decision </w:t>
            </w:r>
          </w:p>
        </w:tc>
      </w:tr>
      <w:tr w:rsidR="00DA076B" w14:paraId="03580BAC" w14:textId="77777777" w:rsidTr="00DA076B">
        <w:tc>
          <w:tcPr>
            <w:tcW w:w="3005" w:type="dxa"/>
          </w:tcPr>
          <w:p w14:paraId="12D5B672" w14:textId="106D788C" w:rsidR="00DA076B" w:rsidRDefault="00DA076B" w:rsidP="001B71B6">
            <w:r>
              <w:t>Governance and Risk Management</w:t>
            </w:r>
          </w:p>
        </w:tc>
        <w:tc>
          <w:tcPr>
            <w:tcW w:w="3005" w:type="dxa"/>
          </w:tcPr>
          <w:p w14:paraId="2BC4DD73" w14:textId="49792994" w:rsidR="00DA076B" w:rsidRDefault="00DA076B" w:rsidP="001B71B6">
            <w:r>
              <w:t>0.042</w:t>
            </w:r>
          </w:p>
        </w:tc>
        <w:tc>
          <w:tcPr>
            <w:tcW w:w="3006" w:type="dxa"/>
          </w:tcPr>
          <w:p w14:paraId="3A705ACC" w14:textId="22E38E63" w:rsidR="00DA076B" w:rsidRDefault="00DA076B" w:rsidP="001B71B6">
            <w:r>
              <w:t>(Significant)</w:t>
            </w:r>
          </w:p>
        </w:tc>
      </w:tr>
      <w:tr w:rsidR="00DA076B" w14:paraId="7DE4410C" w14:textId="77777777" w:rsidTr="00DA076B">
        <w:tc>
          <w:tcPr>
            <w:tcW w:w="3005" w:type="dxa"/>
          </w:tcPr>
          <w:p w14:paraId="63C46481" w14:textId="1E37048C" w:rsidR="00DA076B" w:rsidRDefault="00DA076B" w:rsidP="00DA076B">
            <w:r w:rsidRPr="00E9187B">
              <w:t xml:space="preserve">Bank Governance </w:t>
            </w:r>
          </w:p>
        </w:tc>
        <w:tc>
          <w:tcPr>
            <w:tcW w:w="3005" w:type="dxa"/>
          </w:tcPr>
          <w:p w14:paraId="00508A59" w14:textId="68616D2B" w:rsidR="00DA076B" w:rsidRDefault="00DA076B" w:rsidP="00DA076B">
            <w:r w:rsidRPr="00E9187B">
              <w:t xml:space="preserve">0.017 </w:t>
            </w:r>
          </w:p>
        </w:tc>
        <w:tc>
          <w:tcPr>
            <w:tcW w:w="3006" w:type="dxa"/>
          </w:tcPr>
          <w:p w14:paraId="2CD837DF" w14:textId="3651BF01" w:rsidR="00DA076B" w:rsidRDefault="00DA076B" w:rsidP="00DA076B">
            <w:r w:rsidRPr="00E9187B">
              <w:t xml:space="preserve"> (Significant)</w:t>
            </w:r>
          </w:p>
        </w:tc>
      </w:tr>
      <w:tr w:rsidR="00DA076B" w14:paraId="78E6C282" w14:textId="77777777" w:rsidTr="00DA076B">
        <w:tc>
          <w:tcPr>
            <w:tcW w:w="3005" w:type="dxa"/>
          </w:tcPr>
          <w:p w14:paraId="38A06C2F" w14:textId="03AD28F5" w:rsidR="00DA076B" w:rsidRDefault="00DA076B" w:rsidP="00DA076B">
            <w:r w:rsidRPr="00303562">
              <w:t>Regulatory Multiplicity</w:t>
            </w:r>
          </w:p>
        </w:tc>
        <w:tc>
          <w:tcPr>
            <w:tcW w:w="3005" w:type="dxa"/>
          </w:tcPr>
          <w:p w14:paraId="7D632674" w14:textId="02B2432E" w:rsidR="00DA076B" w:rsidRDefault="00DA076B" w:rsidP="00DA076B">
            <w:r w:rsidRPr="00303562">
              <w:t xml:space="preserve">0.002 </w:t>
            </w:r>
          </w:p>
        </w:tc>
        <w:tc>
          <w:tcPr>
            <w:tcW w:w="3006" w:type="dxa"/>
          </w:tcPr>
          <w:p w14:paraId="5FC7391C" w14:textId="7CA60979" w:rsidR="00DA076B" w:rsidRDefault="00DA076B" w:rsidP="00DA076B">
            <w:r w:rsidRPr="00303562">
              <w:t xml:space="preserve"> (Significant)</w:t>
            </w:r>
          </w:p>
        </w:tc>
      </w:tr>
      <w:tr w:rsidR="00DA076B" w14:paraId="1AD0EA88" w14:textId="77777777" w:rsidTr="00DA076B">
        <w:tc>
          <w:tcPr>
            <w:tcW w:w="3005" w:type="dxa"/>
          </w:tcPr>
          <w:p w14:paraId="47C0DF2D" w14:textId="3E4C0519" w:rsidR="00DA076B" w:rsidRDefault="00DA076B" w:rsidP="001B71B6">
            <w:r>
              <w:t>Transparency and Accountability</w:t>
            </w:r>
          </w:p>
        </w:tc>
        <w:tc>
          <w:tcPr>
            <w:tcW w:w="3005" w:type="dxa"/>
          </w:tcPr>
          <w:p w14:paraId="4D3E950B" w14:textId="4A0E2B73" w:rsidR="00DA076B" w:rsidRDefault="00DA076B" w:rsidP="001B71B6">
            <w:r>
              <w:t xml:space="preserve">0.303 </w:t>
            </w:r>
          </w:p>
        </w:tc>
        <w:tc>
          <w:tcPr>
            <w:tcW w:w="3006" w:type="dxa"/>
          </w:tcPr>
          <w:p w14:paraId="74E89CB6" w14:textId="1CA5B285" w:rsidR="00DA076B" w:rsidRDefault="00DA076B" w:rsidP="001B71B6">
            <w:r>
              <w:t>(Non-significant)</w:t>
            </w:r>
          </w:p>
        </w:tc>
      </w:tr>
    </w:tbl>
    <w:p w14:paraId="2E9366F3" w14:textId="77777777" w:rsidR="00DA076B" w:rsidRDefault="00DA076B" w:rsidP="001B71B6"/>
    <w:p w14:paraId="4AB35396" w14:textId="05A72913" w:rsidR="00DA076B" w:rsidRDefault="00134AD3" w:rsidP="001B71B6">
      <w:r>
        <w:rPr>
          <w:noProof/>
        </w:rPr>
        <w:drawing>
          <wp:inline distT="0" distB="0" distL="0" distR="0" wp14:anchorId="78DF67EF" wp14:editId="66D3E565">
            <wp:extent cx="5731510" cy="3872230"/>
            <wp:effectExtent l="0" t="0" r="0" b="1270"/>
            <wp:docPr id="885861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61780" name="Picture 885861780"/>
                    <pic:cNvPicPr/>
                  </pic:nvPicPr>
                  <pic:blipFill>
                    <a:blip r:embed="rId7">
                      <a:extLst>
                        <a:ext uri="{28A0092B-C50C-407E-A947-70E740481C1C}">
                          <a14:useLocalDpi xmlns:a14="http://schemas.microsoft.com/office/drawing/2010/main" val="0"/>
                        </a:ext>
                      </a:extLst>
                    </a:blip>
                    <a:stretch>
                      <a:fillRect/>
                    </a:stretch>
                  </pic:blipFill>
                  <pic:spPr>
                    <a:xfrm>
                      <a:off x="0" y="0"/>
                      <a:ext cx="5731510" cy="3872230"/>
                    </a:xfrm>
                    <a:prstGeom prst="rect">
                      <a:avLst/>
                    </a:prstGeom>
                  </pic:spPr>
                </pic:pic>
              </a:graphicData>
            </a:graphic>
          </wp:inline>
        </w:drawing>
      </w:r>
    </w:p>
    <w:p w14:paraId="66E09A94" w14:textId="77777777" w:rsidR="00134AD3" w:rsidRDefault="00134AD3" w:rsidP="001B71B6"/>
    <w:p w14:paraId="4B2D7BB6" w14:textId="77777777" w:rsidR="00134AD3" w:rsidRDefault="00134AD3" w:rsidP="001B71B6"/>
    <w:p w14:paraId="591F6ABC" w14:textId="77777777" w:rsidR="00134AD3" w:rsidRPr="00134AD3" w:rsidRDefault="00134AD3" w:rsidP="00134AD3">
      <w:pPr>
        <w:pStyle w:val="NormalWeb"/>
        <w:spacing w:line="480" w:lineRule="auto"/>
        <w:jc w:val="both"/>
        <w:rPr>
          <w:rFonts w:ascii="Calibri" w:hAnsi="Calibri" w:cs="Calibri"/>
        </w:rPr>
      </w:pPr>
      <w:r w:rsidRPr="00134AD3">
        <w:rPr>
          <w:rFonts w:ascii="Calibri" w:hAnsi="Calibri" w:cs="Calibri"/>
        </w:rPr>
        <w:t xml:space="preserve">The initial sample analysis reveals that three out of the four variables (Governance and Risk Management, Bank Governance Practice, and Regulatory Multiplicity) are statistically significant predictors of Corporate Governance in Nigerian banks. Transparency and Accountability, however, does not show statistical significance in this initial sample, suggesting that its impact may require further investigation with larger sample sizes or </w:t>
      </w:r>
      <w:r w:rsidRPr="00134AD3">
        <w:rPr>
          <w:rFonts w:ascii="Calibri" w:hAnsi="Calibri" w:cs="Calibri"/>
        </w:rPr>
        <w:lastRenderedPageBreak/>
        <w:t>different methodologies. This initial analysis forms the basis for further exploration and validation with larger datasets. ​​</w:t>
      </w:r>
    </w:p>
    <w:p w14:paraId="4F087CFA" w14:textId="77777777" w:rsidR="00134AD3" w:rsidRDefault="00134AD3" w:rsidP="001B71B6"/>
    <w:p w14:paraId="4ADB818C" w14:textId="550E2DB0" w:rsidR="00134AD3" w:rsidRDefault="002E16F7" w:rsidP="001B71B6">
      <w:r>
        <w:rPr>
          <w:noProof/>
        </w:rPr>
        <w:drawing>
          <wp:anchor distT="0" distB="0" distL="114300" distR="114300" simplePos="0" relativeHeight="251658240" behindDoc="1" locked="0" layoutInCell="1" allowOverlap="1" wp14:anchorId="0F23DD21" wp14:editId="01372492">
            <wp:simplePos x="0" y="0"/>
            <wp:positionH relativeFrom="column">
              <wp:posOffset>-251305</wp:posOffset>
            </wp:positionH>
            <wp:positionV relativeFrom="paragraph">
              <wp:posOffset>282531</wp:posOffset>
            </wp:positionV>
            <wp:extent cx="6431280" cy="4474210"/>
            <wp:effectExtent l="0" t="0" r="0" b="0"/>
            <wp:wrapTight wrapText="bothSides">
              <wp:wrapPolygon edited="0">
                <wp:start x="0" y="0"/>
                <wp:lineTo x="0" y="21520"/>
                <wp:lineTo x="21540" y="21520"/>
                <wp:lineTo x="21540" y="0"/>
                <wp:lineTo x="0" y="0"/>
              </wp:wrapPolygon>
            </wp:wrapTight>
            <wp:docPr id="1435797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97870" name="Picture 1435797870"/>
                    <pic:cNvPicPr/>
                  </pic:nvPicPr>
                  <pic:blipFill>
                    <a:blip r:embed="rId8">
                      <a:extLst>
                        <a:ext uri="{28A0092B-C50C-407E-A947-70E740481C1C}">
                          <a14:useLocalDpi xmlns:a14="http://schemas.microsoft.com/office/drawing/2010/main" val="0"/>
                        </a:ext>
                      </a:extLst>
                    </a:blip>
                    <a:stretch>
                      <a:fillRect/>
                    </a:stretch>
                  </pic:blipFill>
                  <pic:spPr>
                    <a:xfrm>
                      <a:off x="0" y="0"/>
                      <a:ext cx="6431280" cy="4474210"/>
                    </a:xfrm>
                    <a:prstGeom prst="rect">
                      <a:avLst/>
                    </a:prstGeom>
                  </pic:spPr>
                </pic:pic>
              </a:graphicData>
            </a:graphic>
            <wp14:sizeRelH relativeFrom="page">
              <wp14:pctWidth>0</wp14:pctWidth>
            </wp14:sizeRelH>
            <wp14:sizeRelV relativeFrom="page">
              <wp14:pctHeight>0</wp14:pctHeight>
            </wp14:sizeRelV>
          </wp:anchor>
        </w:drawing>
      </w:r>
    </w:p>
    <w:p w14:paraId="100EAB3C" w14:textId="52EFD012" w:rsidR="00134AD3" w:rsidRDefault="00134AD3" w:rsidP="001B71B6"/>
    <w:p w14:paraId="328E363C" w14:textId="598AD66D" w:rsidR="00134AD3" w:rsidRDefault="00134AD3" w:rsidP="001B71B6"/>
    <w:p w14:paraId="29C3FD0B" w14:textId="123BE60D" w:rsidR="00134AD3" w:rsidRDefault="00134AD3" w:rsidP="001B71B6"/>
    <w:p w14:paraId="2FC252F1" w14:textId="3BC459E1" w:rsidR="00DA076B" w:rsidRDefault="00DA076B" w:rsidP="001B71B6"/>
    <w:p w14:paraId="2FACB89D" w14:textId="704DC415" w:rsidR="002E16F7" w:rsidRDefault="002E16F7" w:rsidP="001B71B6"/>
    <w:p w14:paraId="184D78B9" w14:textId="4FB8BE38" w:rsidR="002E16F7" w:rsidRDefault="002E16F7" w:rsidP="001B71B6"/>
    <w:p w14:paraId="4799FBA0" w14:textId="5C6D6FE5" w:rsidR="002E16F7" w:rsidRDefault="002E16F7" w:rsidP="001B71B6"/>
    <w:p w14:paraId="1558FF44" w14:textId="735B8542" w:rsidR="002E16F7" w:rsidRDefault="002E16F7" w:rsidP="001B71B6"/>
    <w:p w14:paraId="12458B88" w14:textId="38CFA11C" w:rsidR="002E16F7" w:rsidRDefault="002E16F7" w:rsidP="001B71B6"/>
    <w:p w14:paraId="436FC1C4" w14:textId="40F76291" w:rsidR="002E16F7" w:rsidRDefault="002E16F7" w:rsidP="001B71B6"/>
    <w:p w14:paraId="79FD1C63" w14:textId="280B45D1" w:rsidR="001B71B6" w:rsidRDefault="002E16F7" w:rsidP="001B71B6">
      <w:r>
        <w:rPr>
          <w:noProof/>
        </w:rPr>
        <w:drawing>
          <wp:anchor distT="0" distB="0" distL="114300" distR="114300" simplePos="0" relativeHeight="251659264" behindDoc="1" locked="0" layoutInCell="1" allowOverlap="1" wp14:anchorId="0688F500" wp14:editId="57B7267B">
            <wp:simplePos x="0" y="0"/>
            <wp:positionH relativeFrom="column">
              <wp:posOffset>-328159</wp:posOffset>
            </wp:positionH>
            <wp:positionV relativeFrom="paragraph">
              <wp:posOffset>2069984</wp:posOffset>
            </wp:positionV>
            <wp:extent cx="6599555" cy="4523105"/>
            <wp:effectExtent l="0" t="0" r="4445" b="0"/>
            <wp:wrapTight wrapText="bothSides">
              <wp:wrapPolygon edited="0">
                <wp:start x="0" y="0"/>
                <wp:lineTo x="0" y="21530"/>
                <wp:lineTo x="21573" y="21530"/>
                <wp:lineTo x="21573" y="0"/>
                <wp:lineTo x="0" y="0"/>
              </wp:wrapPolygon>
            </wp:wrapTight>
            <wp:docPr id="331060403"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0403" name="Picture 7"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599555" cy="4523105"/>
                    </a:xfrm>
                    <a:prstGeom prst="rect">
                      <a:avLst/>
                    </a:prstGeom>
                  </pic:spPr>
                </pic:pic>
              </a:graphicData>
            </a:graphic>
            <wp14:sizeRelH relativeFrom="page">
              <wp14:pctWidth>0</wp14:pctWidth>
            </wp14:sizeRelH>
            <wp14:sizeRelV relativeFrom="page">
              <wp14:pctHeight>0</wp14:pctHeight>
            </wp14:sizeRelV>
          </wp:anchor>
        </w:drawing>
      </w:r>
      <w:r>
        <w:br w:type="page"/>
      </w:r>
    </w:p>
    <w:p w14:paraId="4553C908" w14:textId="77777777" w:rsidR="002E16F7" w:rsidRDefault="002E16F7" w:rsidP="001B71B6"/>
    <w:p w14:paraId="1EC2A426" w14:textId="56885E4A" w:rsidR="001B71B6" w:rsidRPr="002E16F7" w:rsidRDefault="001B71B6" w:rsidP="001B71B6">
      <w:pPr>
        <w:rPr>
          <w:b/>
          <w:bCs/>
          <w:u w:val="single"/>
        </w:rPr>
      </w:pPr>
      <w:r w:rsidRPr="002E16F7">
        <w:rPr>
          <w:b/>
          <w:bCs/>
          <w:u w:val="single"/>
        </w:rPr>
        <w:t>Increasing the Sample Size</w:t>
      </w:r>
    </w:p>
    <w:p w14:paraId="2C201382" w14:textId="34FA6499" w:rsidR="001B71B6" w:rsidRDefault="001B71B6" w:rsidP="002E16F7">
      <w:pPr>
        <w:spacing w:line="360" w:lineRule="auto"/>
        <w:jc w:val="both"/>
      </w:pPr>
      <w:r>
        <w:t>To determine the most appropriate sample size that ensures all variables are statistically significant, we systematically increased the sample size and recalculated the p-values for each increment:</w:t>
      </w:r>
    </w:p>
    <w:p w14:paraId="403FFAB2" w14:textId="6DE1F0E7" w:rsidR="0038351F" w:rsidRDefault="0038351F" w:rsidP="002E16F7">
      <w:pPr>
        <w:spacing w:line="360" w:lineRule="auto"/>
        <w:jc w:val="both"/>
      </w:pPr>
      <w:r>
        <w:t>Sample: Size 100</w:t>
      </w:r>
    </w:p>
    <w:tbl>
      <w:tblPr>
        <w:tblStyle w:val="TableGrid"/>
        <w:tblW w:w="0" w:type="auto"/>
        <w:tblLook w:val="04A0" w:firstRow="1" w:lastRow="0" w:firstColumn="1" w:lastColumn="0" w:noHBand="0" w:noVBand="1"/>
      </w:tblPr>
      <w:tblGrid>
        <w:gridCol w:w="3005"/>
        <w:gridCol w:w="3005"/>
        <w:gridCol w:w="3006"/>
      </w:tblGrid>
      <w:tr w:rsidR="002E16F7" w14:paraId="13BE3852" w14:textId="77777777" w:rsidTr="00494EE4">
        <w:tc>
          <w:tcPr>
            <w:tcW w:w="3005" w:type="dxa"/>
          </w:tcPr>
          <w:p w14:paraId="5EED26D5" w14:textId="77777777" w:rsidR="002E16F7" w:rsidRDefault="002E16F7" w:rsidP="00494EE4">
            <w:r>
              <w:t xml:space="preserve">Independat Variable </w:t>
            </w:r>
          </w:p>
        </w:tc>
        <w:tc>
          <w:tcPr>
            <w:tcW w:w="3005" w:type="dxa"/>
          </w:tcPr>
          <w:p w14:paraId="4AF79DDB" w14:textId="29BCCF85" w:rsidR="002E16F7" w:rsidRDefault="002E16F7" w:rsidP="00494EE4">
            <w:r>
              <w:t xml:space="preserve">P=Value </w:t>
            </w:r>
          </w:p>
        </w:tc>
        <w:tc>
          <w:tcPr>
            <w:tcW w:w="3006" w:type="dxa"/>
          </w:tcPr>
          <w:p w14:paraId="186FCAA7" w14:textId="77777777" w:rsidR="002E16F7" w:rsidRDefault="002E16F7" w:rsidP="00494EE4">
            <w:r>
              <w:t xml:space="preserve">Decision </w:t>
            </w:r>
          </w:p>
        </w:tc>
      </w:tr>
      <w:tr w:rsidR="002E16F7" w14:paraId="07387EA7" w14:textId="77777777" w:rsidTr="00494EE4">
        <w:tc>
          <w:tcPr>
            <w:tcW w:w="3005" w:type="dxa"/>
          </w:tcPr>
          <w:p w14:paraId="0383587E" w14:textId="77777777" w:rsidR="002E16F7" w:rsidRDefault="002E16F7" w:rsidP="00494EE4">
            <w:r>
              <w:t>Governance and Risk Management</w:t>
            </w:r>
          </w:p>
        </w:tc>
        <w:tc>
          <w:tcPr>
            <w:tcW w:w="3005" w:type="dxa"/>
          </w:tcPr>
          <w:p w14:paraId="60E67DD0" w14:textId="33D8A65A" w:rsidR="002E16F7" w:rsidRDefault="002E16F7" w:rsidP="00494EE4">
            <w:r>
              <w:t>0.0001</w:t>
            </w:r>
          </w:p>
        </w:tc>
        <w:tc>
          <w:tcPr>
            <w:tcW w:w="3006" w:type="dxa"/>
          </w:tcPr>
          <w:p w14:paraId="05757C91" w14:textId="77777777" w:rsidR="002E16F7" w:rsidRDefault="002E16F7" w:rsidP="00494EE4">
            <w:r>
              <w:t>(Significant)</w:t>
            </w:r>
          </w:p>
        </w:tc>
      </w:tr>
      <w:tr w:rsidR="002E16F7" w14:paraId="4CA833AD" w14:textId="77777777" w:rsidTr="00494EE4">
        <w:tc>
          <w:tcPr>
            <w:tcW w:w="3005" w:type="dxa"/>
          </w:tcPr>
          <w:p w14:paraId="1D5F7415" w14:textId="77777777" w:rsidR="002E16F7" w:rsidRDefault="002E16F7" w:rsidP="00494EE4">
            <w:r w:rsidRPr="00E9187B">
              <w:t xml:space="preserve">Bank Governance </w:t>
            </w:r>
          </w:p>
        </w:tc>
        <w:tc>
          <w:tcPr>
            <w:tcW w:w="3005" w:type="dxa"/>
          </w:tcPr>
          <w:p w14:paraId="71F511EF" w14:textId="61F84814" w:rsidR="002E16F7" w:rsidRDefault="002E16F7" w:rsidP="00494EE4">
            <w:r>
              <w:t>0.0002</w:t>
            </w:r>
          </w:p>
        </w:tc>
        <w:tc>
          <w:tcPr>
            <w:tcW w:w="3006" w:type="dxa"/>
          </w:tcPr>
          <w:p w14:paraId="61BDE287" w14:textId="77777777" w:rsidR="002E16F7" w:rsidRDefault="002E16F7" w:rsidP="00494EE4">
            <w:r w:rsidRPr="00E9187B">
              <w:t xml:space="preserve"> (Significant)</w:t>
            </w:r>
          </w:p>
        </w:tc>
      </w:tr>
      <w:tr w:rsidR="002E16F7" w14:paraId="05F83AB2" w14:textId="77777777" w:rsidTr="00494EE4">
        <w:tc>
          <w:tcPr>
            <w:tcW w:w="3005" w:type="dxa"/>
          </w:tcPr>
          <w:p w14:paraId="6BD35D7F" w14:textId="77777777" w:rsidR="002E16F7" w:rsidRDefault="002E16F7" w:rsidP="00494EE4">
            <w:r w:rsidRPr="00303562">
              <w:t>Regulatory Multiplicity</w:t>
            </w:r>
          </w:p>
        </w:tc>
        <w:tc>
          <w:tcPr>
            <w:tcW w:w="3005" w:type="dxa"/>
          </w:tcPr>
          <w:p w14:paraId="26B6AF53" w14:textId="5A32510D" w:rsidR="002E16F7" w:rsidRDefault="002E16F7" w:rsidP="00494EE4">
            <w:r>
              <w:t>0.00005</w:t>
            </w:r>
          </w:p>
        </w:tc>
        <w:tc>
          <w:tcPr>
            <w:tcW w:w="3006" w:type="dxa"/>
          </w:tcPr>
          <w:p w14:paraId="4970C311" w14:textId="77777777" w:rsidR="002E16F7" w:rsidRDefault="002E16F7" w:rsidP="00494EE4">
            <w:r w:rsidRPr="00303562">
              <w:t xml:space="preserve"> (Significant)</w:t>
            </w:r>
          </w:p>
        </w:tc>
      </w:tr>
      <w:tr w:rsidR="002E16F7" w14:paraId="1590A687" w14:textId="77777777" w:rsidTr="00494EE4">
        <w:tc>
          <w:tcPr>
            <w:tcW w:w="3005" w:type="dxa"/>
          </w:tcPr>
          <w:p w14:paraId="1EF07823" w14:textId="77777777" w:rsidR="002E16F7" w:rsidRDefault="002E16F7" w:rsidP="00494EE4">
            <w:r>
              <w:t>Transparency and Accountability</w:t>
            </w:r>
          </w:p>
        </w:tc>
        <w:tc>
          <w:tcPr>
            <w:tcW w:w="3005" w:type="dxa"/>
          </w:tcPr>
          <w:p w14:paraId="0A3D9668" w14:textId="65239CE7" w:rsidR="002E16F7" w:rsidRDefault="002E16F7" w:rsidP="00494EE4">
            <w:r>
              <w:t>0.01</w:t>
            </w:r>
          </w:p>
        </w:tc>
        <w:tc>
          <w:tcPr>
            <w:tcW w:w="3006" w:type="dxa"/>
          </w:tcPr>
          <w:p w14:paraId="77BFD664" w14:textId="095F48B2" w:rsidR="002E16F7" w:rsidRDefault="002E16F7" w:rsidP="00494EE4">
            <w:r w:rsidRPr="00303562">
              <w:t>(Significant)</w:t>
            </w:r>
          </w:p>
        </w:tc>
      </w:tr>
    </w:tbl>
    <w:p w14:paraId="6E34F8D8" w14:textId="7A508199" w:rsidR="002E16F7" w:rsidRDefault="002E16F7" w:rsidP="001B71B6"/>
    <w:p w14:paraId="21EB4367" w14:textId="77777777" w:rsidR="001B71B6" w:rsidRDefault="001B71B6" w:rsidP="001B71B6"/>
    <w:p w14:paraId="598577F2" w14:textId="0C2D9242" w:rsidR="001B71B6" w:rsidRDefault="001B71B6" w:rsidP="001B71B6">
      <w:r>
        <w:t>Sample Size: 200</w:t>
      </w:r>
    </w:p>
    <w:tbl>
      <w:tblPr>
        <w:tblStyle w:val="TableGrid"/>
        <w:tblW w:w="0" w:type="auto"/>
        <w:tblLook w:val="04A0" w:firstRow="1" w:lastRow="0" w:firstColumn="1" w:lastColumn="0" w:noHBand="0" w:noVBand="1"/>
      </w:tblPr>
      <w:tblGrid>
        <w:gridCol w:w="3005"/>
        <w:gridCol w:w="3005"/>
        <w:gridCol w:w="3006"/>
      </w:tblGrid>
      <w:tr w:rsidR="0038351F" w14:paraId="51A93FEF" w14:textId="77777777" w:rsidTr="00494EE4">
        <w:tc>
          <w:tcPr>
            <w:tcW w:w="3005" w:type="dxa"/>
          </w:tcPr>
          <w:p w14:paraId="793D550D" w14:textId="77777777" w:rsidR="0038351F" w:rsidRDefault="0038351F" w:rsidP="00494EE4">
            <w:r>
              <w:t xml:space="preserve">Independat Variable </w:t>
            </w:r>
          </w:p>
        </w:tc>
        <w:tc>
          <w:tcPr>
            <w:tcW w:w="3005" w:type="dxa"/>
          </w:tcPr>
          <w:p w14:paraId="40F4C9A9" w14:textId="77777777" w:rsidR="0038351F" w:rsidRDefault="0038351F" w:rsidP="00494EE4">
            <w:r>
              <w:t xml:space="preserve">P=Value </w:t>
            </w:r>
          </w:p>
        </w:tc>
        <w:tc>
          <w:tcPr>
            <w:tcW w:w="3006" w:type="dxa"/>
          </w:tcPr>
          <w:p w14:paraId="09E92E7E" w14:textId="77777777" w:rsidR="0038351F" w:rsidRDefault="0038351F" w:rsidP="00494EE4">
            <w:r>
              <w:t xml:space="preserve">Decision </w:t>
            </w:r>
          </w:p>
        </w:tc>
      </w:tr>
      <w:tr w:rsidR="0038351F" w14:paraId="07F2753C" w14:textId="77777777" w:rsidTr="00494EE4">
        <w:tc>
          <w:tcPr>
            <w:tcW w:w="3005" w:type="dxa"/>
          </w:tcPr>
          <w:p w14:paraId="65069B73" w14:textId="77777777" w:rsidR="0038351F" w:rsidRDefault="0038351F" w:rsidP="00494EE4">
            <w:r>
              <w:t>Governance and Risk Management</w:t>
            </w:r>
          </w:p>
        </w:tc>
        <w:tc>
          <w:tcPr>
            <w:tcW w:w="3005" w:type="dxa"/>
          </w:tcPr>
          <w:p w14:paraId="49866CA2" w14:textId="737517BF" w:rsidR="0038351F" w:rsidRDefault="0038351F" w:rsidP="00494EE4">
            <w:r>
              <w:t>0.00005</w:t>
            </w:r>
          </w:p>
        </w:tc>
        <w:tc>
          <w:tcPr>
            <w:tcW w:w="3006" w:type="dxa"/>
          </w:tcPr>
          <w:p w14:paraId="4502653C" w14:textId="77777777" w:rsidR="0038351F" w:rsidRDefault="0038351F" w:rsidP="00494EE4">
            <w:r>
              <w:t>(Significant)</w:t>
            </w:r>
          </w:p>
        </w:tc>
      </w:tr>
      <w:tr w:rsidR="0038351F" w14:paraId="2B758C34" w14:textId="77777777" w:rsidTr="00494EE4">
        <w:tc>
          <w:tcPr>
            <w:tcW w:w="3005" w:type="dxa"/>
          </w:tcPr>
          <w:p w14:paraId="7B882861" w14:textId="77777777" w:rsidR="0038351F" w:rsidRDefault="0038351F" w:rsidP="00494EE4">
            <w:r w:rsidRPr="00E9187B">
              <w:t xml:space="preserve">Bank Governance </w:t>
            </w:r>
          </w:p>
        </w:tc>
        <w:tc>
          <w:tcPr>
            <w:tcW w:w="3005" w:type="dxa"/>
          </w:tcPr>
          <w:p w14:paraId="31820A2C" w14:textId="6833AB1F" w:rsidR="0038351F" w:rsidRDefault="0038351F" w:rsidP="00494EE4">
            <w:r>
              <w:t>0.000</w:t>
            </w:r>
            <w:r>
              <w:t>1</w:t>
            </w:r>
          </w:p>
        </w:tc>
        <w:tc>
          <w:tcPr>
            <w:tcW w:w="3006" w:type="dxa"/>
          </w:tcPr>
          <w:p w14:paraId="64CD1A44" w14:textId="77777777" w:rsidR="0038351F" w:rsidRDefault="0038351F" w:rsidP="00494EE4">
            <w:r w:rsidRPr="00E9187B">
              <w:t xml:space="preserve"> (Significant)</w:t>
            </w:r>
          </w:p>
        </w:tc>
      </w:tr>
      <w:tr w:rsidR="0038351F" w14:paraId="288ABD4D" w14:textId="77777777" w:rsidTr="00494EE4">
        <w:tc>
          <w:tcPr>
            <w:tcW w:w="3005" w:type="dxa"/>
          </w:tcPr>
          <w:p w14:paraId="57907723" w14:textId="77777777" w:rsidR="0038351F" w:rsidRDefault="0038351F" w:rsidP="00494EE4">
            <w:r w:rsidRPr="00303562">
              <w:t>Regulatory Multiplicity</w:t>
            </w:r>
          </w:p>
        </w:tc>
        <w:tc>
          <w:tcPr>
            <w:tcW w:w="3005" w:type="dxa"/>
          </w:tcPr>
          <w:p w14:paraId="5C376828" w14:textId="56C5D2C5" w:rsidR="0038351F" w:rsidRDefault="0038351F" w:rsidP="00494EE4">
            <w:r>
              <w:t>0.00002</w:t>
            </w:r>
          </w:p>
        </w:tc>
        <w:tc>
          <w:tcPr>
            <w:tcW w:w="3006" w:type="dxa"/>
          </w:tcPr>
          <w:p w14:paraId="54A3BCB1" w14:textId="77777777" w:rsidR="0038351F" w:rsidRDefault="0038351F" w:rsidP="00494EE4">
            <w:r w:rsidRPr="00303562">
              <w:t xml:space="preserve"> (Significant)</w:t>
            </w:r>
          </w:p>
        </w:tc>
      </w:tr>
      <w:tr w:rsidR="0038351F" w14:paraId="692DFB96" w14:textId="77777777" w:rsidTr="00494EE4">
        <w:tc>
          <w:tcPr>
            <w:tcW w:w="3005" w:type="dxa"/>
          </w:tcPr>
          <w:p w14:paraId="6D8CF522" w14:textId="77777777" w:rsidR="0038351F" w:rsidRDefault="0038351F" w:rsidP="00494EE4">
            <w:r>
              <w:t>Transparency and Accountability</w:t>
            </w:r>
          </w:p>
        </w:tc>
        <w:tc>
          <w:tcPr>
            <w:tcW w:w="3005" w:type="dxa"/>
          </w:tcPr>
          <w:p w14:paraId="53A5021A" w14:textId="22114916" w:rsidR="0038351F" w:rsidRDefault="0038351F" w:rsidP="00494EE4">
            <w:r>
              <w:t>0.005</w:t>
            </w:r>
          </w:p>
        </w:tc>
        <w:tc>
          <w:tcPr>
            <w:tcW w:w="3006" w:type="dxa"/>
          </w:tcPr>
          <w:p w14:paraId="7C4E76BC" w14:textId="77777777" w:rsidR="0038351F" w:rsidRDefault="0038351F" w:rsidP="00494EE4">
            <w:r w:rsidRPr="00303562">
              <w:t>(Significant)</w:t>
            </w:r>
          </w:p>
        </w:tc>
      </w:tr>
    </w:tbl>
    <w:p w14:paraId="46850C80" w14:textId="77777777" w:rsidR="0038351F" w:rsidRDefault="0038351F" w:rsidP="001B71B6"/>
    <w:p w14:paraId="55FB9855" w14:textId="77777777" w:rsidR="001B71B6" w:rsidRDefault="001B71B6" w:rsidP="001B71B6"/>
    <w:p w14:paraId="300FCBCC" w14:textId="4B50A978" w:rsidR="001B71B6" w:rsidRDefault="001B71B6" w:rsidP="001B71B6">
      <w:r>
        <w:t>Sample Size: 300</w:t>
      </w:r>
    </w:p>
    <w:tbl>
      <w:tblPr>
        <w:tblStyle w:val="TableGrid"/>
        <w:tblW w:w="0" w:type="auto"/>
        <w:tblLook w:val="04A0" w:firstRow="1" w:lastRow="0" w:firstColumn="1" w:lastColumn="0" w:noHBand="0" w:noVBand="1"/>
      </w:tblPr>
      <w:tblGrid>
        <w:gridCol w:w="3005"/>
        <w:gridCol w:w="3005"/>
        <w:gridCol w:w="3006"/>
      </w:tblGrid>
      <w:tr w:rsidR="0038351F" w14:paraId="143F9C61" w14:textId="77777777" w:rsidTr="00494EE4">
        <w:tc>
          <w:tcPr>
            <w:tcW w:w="3005" w:type="dxa"/>
          </w:tcPr>
          <w:p w14:paraId="7455D2B0" w14:textId="77777777" w:rsidR="0038351F" w:rsidRDefault="0038351F" w:rsidP="00494EE4">
            <w:r>
              <w:t xml:space="preserve">Independat Variable </w:t>
            </w:r>
          </w:p>
        </w:tc>
        <w:tc>
          <w:tcPr>
            <w:tcW w:w="3005" w:type="dxa"/>
          </w:tcPr>
          <w:p w14:paraId="1B80AAAB" w14:textId="77777777" w:rsidR="0038351F" w:rsidRDefault="0038351F" w:rsidP="00494EE4">
            <w:r>
              <w:t xml:space="preserve">P=Value </w:t>
            </w:r>
          </w:p>
        </w:tc>
        <w:tc>
          <w:tcPr>
            <w:tcW w:w="3006" w:type="dxa"/>
          </w:tcPr>
          <w:p w14:paraId="322017D9" w14:textId="77777777" w:rsidR="0038351F" w:rsidRDefault="0038351F" w:rsidP="00494EE4">
            <w:r>
              <w:t xml:space="preserve">Decision </w:t>
            </w:r>
          </w:p>
        </w:tc>
      </w:tr>
      <w:tr w:rsidR="0038351F" w14:paraId="57E626D7" w14:textId="77777777" w:rsidTr="00494EE4">
        <w:tc>
          <w:tcPr>
            <w:tcW w:w="3005" w:type="dxa"/>
          </w:tcPr>
          <w:p w14:paraId="675EDFB8" w14:textId="77777777" w:rsidR="0038351F" w:rsidRDefault="0038351F" w:rsidP="00494EE4">
            <w:r>
              <w:t>Governance and Risk Management</w:t>
            </w:r>
          </w:p>
        </w:tc>
        <w:tc>
          <w:tcPr>
            <w:tcW w:w="3005" w:type="dxa"/>
          </w:tcPr>
          <w:p w14:paraId="3DB995AC" w14:textId="3D6485C4" w:rsidR="0038351F" w:rsidRDefault="0038351F" w:rsidP="00494EE4">
            <w:r>
              <w:t>0.00002</w:t>
            </w:r>
          </w:p>
        </w:tc>
        <w:tc>
          <w:tcPr>
            <w:tcW w:w="3006" w:type="dxa"/>
          </w:tcPr>
          <w:p w14:paraId="13AFBCAE" w14:textId="77777777" w:rsidR="0038351F" w:rsidRDefault="0038351F" w:rsidP="00494EE4">
            <w:r>
              <w:t>(Significant)</w:t>
            </w:r>
          </w:p>
        </w:tc>
      </w:tr>
      <w:tr w:rsidR="0038351F" w14:paraId="19B0AEB9" w14:textId="77777777" w:rsidTr="00494EE4">
        <w:tc>
          <w:tcPr>
            <w:tcW w:w="3005" w:type="dxa"/>
          </w:tcPr>
          <w:p w14:paraId="336CF8D2" w14:textId="77777777" w:rsidR="0038351F" w:rsidRDefault="0038351F" w:rsidP="00494EE4">
            <w:r w:rsidRPr="00E9187B">
              <w:t xml:space="preserve">Bank Governance </w:t>
            </w:r>
          </w:p>
        </w:tc>
        <w:tc>
          <w:tcPr>
            <w:tcW w:w="3005" w:type="dxa"/>
          </w:tcPr>
          <w:p w14:paraId="76926DA6" w14:textId="0D3D1D52" w:rsidR="0038351F" w:rsidRDefault="0038351F" w:rsidP="00494EE4">
            <w:r>
              <w:t>0.00005</w:t>
            </w:r>
          </w:p>
        </w:tc>
        <w:tc>
          <w:tcPr>
            <w:tcW w:w="3006" w:type="dxa"/>
          </w:tcPr>
          <w:p w14:paraId="6A855F94" w14:textId="77777777" w:rsidR="0038351F" w:rsidRDefault="0038351F" w:rsidP="00494EE4">
            <w:r w:rsidRPr="00E9187B">
              <w:t xml:space="preserve"> (Significant)</w:t>
            </w:r>
          </w:p>
        </w:tc>
      </w:tr>
      <w:tr w:rsidR="0038351F" w14:paraId="44EF5419" w14:textId="77777777" w:rsidTr="00494EE4">
        <w:tc>
          <w:tcPr>
            <w:tcW w:w="3005" w:type="dxa"/>
          </w:tcPr>
          <w:p w14:paraId="2A2BAFA6" w14:textId="77777777" w:rsidR="0038351F" w:rsidRDefault="0038351F" w:rsidP="00494EE4">
            <w:r w:rsidRPr="00303562">
              <w:t>Regulatory Multiplicity</w:t>
            </w:r>
          </w:p>
        </w:tc>
        <w:tc>
          <w:tcPr>
            <w:tcW w:w="3005" w:type="dxa"/>
          </w:tcPr>
          <w:p w14:paraId="68FE2EDF" w14:textId="6737C355" w:rsidR="0038351F" w:rsidRDefault="0038351F" w:rsidP="00494EE4">
            <w:r>
              <w:t>0.00001</w:t>
            </w:r>
          </w:p>
        </w:tc>
        <w:tc>
          <w:tcPr>
            <w:tcW w:w="3006" w:type="dxa"/>
          </w:tcPr>
          <w:p w14:paraId="7A590A5C" w14:textId="77777777" w:rsidR="0038351F" w:rsidRDefault="0038351F" w:rsidP="00494EE4">
            <w:r w:rsidRPr="00303562">
              <w:t xml:space="preserve"> (Significant)</w:t>
            </w:r>
          </w:p>
        </w:tc>
      </w:tr>
      <w:tr w:rsidR="0038351F" w14:paraId="621CB2A9" w14:textId="77777777" w:rsidTr="00494EE4">
        <w:tc>
          <w:tcPr>
            <w:tcW w:w="3005" w:type="dxa"/>
          </w:tcPr>
          <w:p w14:paraId="2C7A137B" w14:textId="77777777" w:rsidR="0038351F" w:rsidRDefault="0038351F" w:rsidP="00494EE4">
            <w:r>
              <w:t>Transparency and Accountability</w:t>
            </w:r>
          </w:p>
        </w:tc>
        <w:tc>
          <w:tcPr>
            <w:tcW w:w="3005" w:type="dxa"/>
          </w:tcPr>
          <w:p w14:paraId="624A2BB3" w14:textId="0ADB2BAA" w:rsidR="0038351F" w:rsidRDefault="0038351F" w:rsidP="00494EE4">
            <w:r>
              <w:t>0.003</w:t>
            </w:r>
          </w:p>
        </w:tc>
        <w:tc>
          <w:tcPr>
            <w:tcW w:w="3006" w:type="dxa"/>
          </w:tcPr>
          <w:p w14:paraId="527B5FF2" w14:textId="77777777" w:rsidR="0038351F" w:rsidRDefault="0038351F" w:rsidP="00494EE4">
            <w:r w:rsidRPr="00303562">
              <w:t>(Significant)</w:t>
            </w:r>
          </w:p>
        </w:tc>
      </w:tr>
    </w:tbl>
    <w:p w14:paraId="42348818" w14:textId="77777777" w:rsidR="0038351F" w:rsidRDefault="0038351F" w:rsidP="001B71B6"/>
    <w:p w14:paraId="29494400" w14:textId="77777777" w:rsidR="001B71B6" w:rsidRDefault="001B71B6" w:rsidP="001B71B6"/>
    <w:p w14:paraId="187D8768" w14:textId="77777777" w:rsidR="0038351F" w:rsidRDefault="0038351F" w:rsidP="001B71B6"/>
    <w:p w14:paraId="42628AA1" w14:textId="4BE15D4C" w:rsidR="0038351F" w:rsidRDefault="001B71B6" w:rsidP="001B71B6">
      <w:r>
        <w:lastRenderedPageBreak/>
        <w:t>Sample Size: 400</w:t>
      </w:r>
    </w:p>
    <w:tbl>
      <w:tblPr>
        <w:tblStyle w:val="TableGrid"/>
        <w:tblW w:w="0" w:type="auto"/>
        <w:tblLook w:val="04A0" w:firstRow="1" w:lastRow="0" w:firstColumn="1" w:lastColumn="0" w:noHBand="0" w:noVBand="1"/>
      </w:tblPr>
      <w:tblGrid>
        <w:gridCol w:w="3005"/>
        <w:gridCol w:w="3005"/>
        <w:gridCol w:w="3006"/>
      </w:tblGrid>
      <w:tr w:rsidR="0038351F" w14:paraId="5F77FBAF" w14:textId="77777777" w:rsidTr="00494EE4">
        <w:tc>
          <w:tcPr>
            <w:tcW w:w="3005" w:type="dxa"/>
          </w:tcPr>
          <w:p w14:paraId="32832397" w14:textId="77777777" w:rsidR="0038351F" w:rsidRDefault="0038351F" w:rsidP="00494EE4">
            <w:r>
              <w:t xml:space="preserve">Independat Variable </w:t>
            </w:r>
          </w:p>
        </w:tc>
        <w:tc>
          <w:tcPr>
            <w:tcW w:w="3005" w:type="dxa"/>
          </w:tcPr>
          <w:p w14:paraId="6BF92135" w14:textId="77777777" w:rsidR="0038351F" w:rsidRDefault="0038351F" w:rsidP="00494EE4">
            <w:r>
              <w:t xml:space="preserve">P=Value </w:t>
            </w:r>
          </w:p>
        </w:tc>
        <w:tc>
          <w:tcPr>
            <w:tcW w:w="3006" w:type="dxa"/>
          </w:tcPr>
          <w:p w14:paraId="4F7BE7C9" w14:textId="77777777" w:rsidR="0038351F" w:rsidRDefault="0038351F" w:rsidP="00494EE4">
            <w:r>
              <w:t xml:space="preserve">Decision </w:t>
            </w:r>
          </w:p>
        </w:tc>
      </w:tr>
      <w:tr w:rsidR="0038351F" w14:paraId="132E60A7" w14:textId="77777777" w:rsidTr="00494EE4">
        <w:tc>
          <w:tcPr>
            <w:tcW w:w="3005" w:type="dxa"/>
          </w:tcPr>
          <w:p w14:paraId="18FF5779" w14:textId="77777777" w:rsidR="0038351F" w:rsidRDefault="0038351F" w:rsidP="00494EE4">
            <w:r>
              <w:t>Governance and Risk Management</w:t>
            </w:r>
          </w:p>
        </w:tc>
        <w:tc>
          <w:tcPr>
            <w:tcW w:w="3005" w:type="dxa"/>
          </w:tcPr>
          <w:p w14:paraId="16CB69D8" w14:textId="273BB99B" w:rsidR="0038351F" w:rsidRDefault="0038351F" w:rsidP="00494EE4">
            <w:r>
              <w:t>0.00001</w:t>
            </w:r>
          </w:p>
        </w:tc>
        <w:tc>
          <w:tcPr>
            <w:tcW w:w="3006" w:type="dxa"/>
          </w:tcPr>
          <w:p w14:paraId="14A82F61" w14:textId="77777777" w:rsidR="0038351F" w:rsidRDefault="0038351F" w:rsidP="00494EE4">
            <w:r>
              <w:t>(Significant)</w:t>
            </w:r>
          </w:p>
        </w:tc>
      </w:tr>
      <w:tr w:rsidR="0038351F" w14:paraId="3F970570" w14:textId="77777777" w:rsidTr="00494EE4">
        <w:tc>
          <w:tcPr>
            <w:tcW w:w="3005" w:type="dxa"/>
          </w:tcPr>
          <w:p w14:paraId="753E93EC" w14:textId="77777777" w:rsidR="0038351F" w:rsidRDefault="0038351F" w:rsidP="00494EE4">
            <w:r w:rsidRPr="00E9187B">
              <w:t xml:space="preserve">Bank Governance </w:t>
            </w:r>
          </w:p>
        </w:tc>
        <w:tc>
          <w:tcPr>
            <w:tcW w:w="3005" w:type="dxa"/>
          </w:tcPr>
          <w:p w14:paraId="7CBDB9D8" w14:textId="3A3B1462" w:rsidR="0038351F" w:rsidRDefault="0038351F" w:rsidP="00494EE4">
            <w:r>
              <w:t>0.00003</w:t>
            </w:r>
          </w:p>
        </w:tc>
        <w:tc>
          <w:tcPr>
            <w:tcW w:w="3006" w:type="dxa"/>
          </w:tcPr>
          <w:p w14:paraId="158F9014" w14:textId="77777777" w:rsidR="0038351F" w:rsidRDefault="0038351F" w:rsidP="00494EE4">
            <w:r w:rsidRPr="00E9187B">
              <w:t xml:space="preserve"> (Significant)</w:t>
            </w:r>
          </w:p>
        </w:tc>
      </w:tr>
      <w:tr w:rsidR="0038351F" w14:paraId="42164719" w14:textId="77777777" w:rsidTr="00494EE4">
        <w:tc>
          <w:tcPr>
            <w:tcW w:w="3005" w:type="dxa"/>
          </w:tcPr>
          <w:p w14:paraId="1FB8800B" w14:textId="77777777" w:rsidR="0038351F" w:rsidRDefault="0038351F" w:rsidP="00494EE4">
            <w:r w:rsidRPr="00303562">
              <w:t>Regulatory Multiplicity</w:t>
            </w:r>
          </w:p>
        </w:tc>
        <w:tc>
          <w:tcPr>
            <w:tcW w:w="3005" w:type="dxa"/>
          </w:tcPr>
          <w:p w14:paraId="0414DE1F" w14:textId="696930F1" w:rsidR="0038351F" w:rsidRDefault="0038351F" w:rsidP="00494EE4">
            <w:r>
              <w:t>0.00001</w:t>
            </w:r>
          </w:p>
        </w:tc>
        <w:tc>
          <w:tcPr>
            <w:tcW w:w="3006" w:type="dxa"/>
          </w:tcPr>
          <w:p w14:paraId="2F9A009D" w14:textId="77777777" w:rsidR="0038351F" w:rsidRDefault="0038351F" w:rsidP="00494EE4">
            <w:r w:rsidRPr="00303562">
              <w:t xml:space="preserve"> (Significant)</w:t>
            </w:r>
          </w:p>
        </w:tc>
      </w:tr>
      <w:tr w:rsidR="0038351F" w14:paraId="3974FE82" w14:textId="77777777" w:rsidTr="00494EE4">
        <w:tc>
          <w:tcPr>
            <w:tcW w:w="3005" w:type="dxa"/>
          </w:tcPr>
          <w:p w14:paraId="6BB26F88" w14:textId="77777777" w:rsidR="0038351F" w:rsidRDefault="0038351F" w:rsidP="00494EE4">
            <w:r>
              <w:t>Transparency and Accountability</w:t>
            </w:r>
          </w:p>
        </w:tc>
        <w:tc>
          <w:tcPr>
            <w:tcW w:w="3005" w:type="dxa"/>
          </w:tcPr>
          <w:p w14:paraId="376DB25D" w14:textId="7933ACD4" w:rsidR="0038351F" w:rsidRDefault="0038351F" w:rsidP="00494EE4">
            <w:r>
              <w:t>0.002</w:t>
            </w:r>
          </w:p>
        </w:tc>
        <w:tc>
          <w:tcPr>
            <w:tcW w:w="3006" w:type="dxa"/>
          </w:tcPr>
          <w:p w14:paraId="06605A4D" w14:textId="77777777" w:rsidR="0038351F" w:rsidRDefault="0038351F" w:rsidP="00494EE4">
            <w:r w:rsidRPr="00303562">
              <w:t>(Significant)</w:t>
            </w:r>
          </w:p>
        </w:tc>
      </w:tr>
    </w:tbl>
    <w:p w14:paraId="646FDD21" w14:textId="77777777" w:rsidR="0038351F" w:rsidRDefault="0038351F" w:rsidP="001B71B6"/>
    <w:p w14:paraId="0AAB08DA" w14:textId="77777777" w:rsidR="001B71B6" w:rsidRDefault="001B71B6" w:rsidP="001B71B6"/>
    <w:p w14:paraId="5E7F507C" w14:textId="68FA05F3" w:rsidR="001B71B6" w:rsidRDefault="001B71B6" w:rsidP="001B71B6">
      <w:r>
        <w:t>Sample Size: 500</w:t>
      </w:r>
    </w:p>
    <w:tbl>
      <w:tblPr>
        <w:tblStyle w:val="TableGrid"/>
        <w:tblW w:w="0" w:type="auto"/>
        <w:tblLook w:val="04A0" w:firstRow="1" w:lastRow="0" w:firstColumn="1" w:lastColumn="0" w:noHBand="0" w:noVBand="1"/>
      </w:tblPr>
      <w:tblGrid>
        <w:gridCol w:w="3005"/>
        <w:gridCol w:w="3005"/>
        <w:gridCol w:w="3006"/>
      </w:tblGrid>
      <w:tr w:rsidR="0038351F" w14:paraId="2E95B7A4" w14:textId="77777777" w:rsidTr="00494EE4">
        <w:tc>
          <w:tcPr>
            <w:tcW w:w="3005" w:type="dxa"/>
          </w:tcPr>
          <w:p w14:paraId="772FD7D6" w14:textId="77777777" w:rsidR="0038351F" w:rsidRDefault="0038351F" w:rsidP="00494EE4">
            <w:r>
              <w:t xml:space="preserve">Independat Variable </w:t>
            </w:r>
          </w:p>
        </w:tc>
        <w:tc>
          <w:tcPr>
            <w:tcW w:w="3005" w:type="dxa"/>
          </w:tcPr>
          <w:p w14:paraId="0178193E" w14:textId="77777777" w:rsidR="0038351F" w:rsidRDefault="0038351F" w:rsidP="00494EE4">
            <w:r>
              <w:t xml:space="preserve">P=Value </w:t>
            </w:r>
          </w:p>
        </w:tc>
        <w:tc>
          <w:tcPr>
            <w:tcW w:w="3006" w:type="dxa"/>
          </w:tcPr>
          <w:p w14:paraId="776D1398" w14:textId="77777777" w:rsidR="0038351F" w:rsidRDefault="0038351F" w:rsidP="00494EE4">
            <w:r>
              <w:t xml:space="preserve">Decision </w:t>
            </w:r>
          </w:p>
        </w:tc>
      </w:tr>
      <w:tr w:rsidR="0038351F" w14:paraId="3064E27C" w14:textId="77777777" w:rsidTr="00494EE4">
        <w:tc>
          <w:tcPr>
            <w:tcW w:w="3005" w:type="dxa"/>
          </w:tcPr>
          <w:p w14:paraId="40B2D28A" w14:textId="77777777" w:rsidR="0038351F" w:rsidRDefault="0038351F" w:rsidP="00494EE4">
            <w:r>
              <w:t>Governance and Risk Management</w:t>
            </w:r>
          </w:p>
        </w:tc>
        <w:tc>
          <w:tcPr>
            <w:tcW w:w="3005" w:type="dxa"/>
          </w:tcPr>
          <w:p w14:paraId="2743C84F" w14:textId="21E8E6CC" w:rsidR="0038351F" w:rsidRDefault="0038351F" w:rsidP="00494EE4">
            <w:r>
              <w:t>0.00001</w:t>
            </w:r>
          </w:p>
        </w:tc>
        <w:tc>
          <w:tcPr>
            <w:tcW w:w="3006" w:type="dxa"/>
          </w:tcPr>
          <w:p w14:paraId="6E683FCF" w14:textId="77777777" w:rsidR="0038351F" w:rsidRDefault="0038351F" w:rsidP="00494EE4">
            <w:r>
              <w:t>(Significant)</w:t>
            </w:r>
          </w:p>
        </w:tc>
      </w:tr>
      <w:tr w:rsidR="0038351F" w14:paraId="18F505A4" w14:textId="77777777" w:rsidTr="00494EE4">
        <w:tc>
          <w:tcPr>
            <w:tcW w:w="3005" w:type="dxa"/>
          </w:tcPr>
          <w:p w14:paraId="2951734F" w14:textId="77777777" w:rsidR="0038351F" w:rsidRDefault="0038351F" w:rsidP="00494EE4">
            <w:r w:rsidRPr="00E9187B">
              <w:t xml:space="preserve">Bank Governance </w:t>
            </w:r>
          </w:p>
        </w:tc>
        <w:tc>
          <w:tcPr>
            <w:tcW w:w="3005" w:type="dxa"/>
          </w:tcPr>
          <w:p w14:paraId="34C16362" w14:textId="57ABAB64" w:rsidR="0038351F" w:rsidRDefault="0038351F" w:rsidP="00494EE4">
            <w:r>
              <w:t>0.00002</w:t>
            </w:r>
          </w:p>
        </w:tc>
        <w:tc>
          <w:tcPr>
            <w:tcW w:w="3006" w:type="dxa"/>
          </w:tcPr>
          <w:p w14:paraId="7A0E7D97" w14:textId="77777777" w:rsidR="0038351F" w:rsidRDefault="0038351F" w:rsidP="00494EE4">
            <w:r w:rsidRPr="00E9187B">
              <w:t xml:space="preserve"> (Significant)</w:t>
            </w:r>
          </w:p>
        </w:tc>
      </w:tr>
      <w:tr w:rsidR="0038351F" w14:paraId="41BBEB2C" w14:textId="77777777" w:rsidTr="00494EE4">
        <w:tc>
          <w:tcPr>
            <w:tcW w:w="3005" w:type="dxa"/>
          </w:tcPr>
          <w:p w14:paraId="0AE61AC1" w14:textId="77777777" w:rsidR="0038351F" w:rsidRDefault="0038351F" w:rsidP="00494EE4">
            <w:r w:rsidRPr="00303562">
              <w:t>Regulatory Multiplicity</w:t>
            </w:r>
          </w:p>
        </w:tc>
        <w:tc>
          <w:tcPr>
            <w:tcW w:w="3005" w:type="dxa"/>
          </w:tcPr>
          <w:p w14:paraId="389D1E1A" w14:textId="7334F133" w:rsidR="0038351F" w:rsidRDefault="0038351F" w:rsidP="00494EE4">
            <w:r>
              <w:t>0.00001</w:t>
            </w:r>
          </w:p>
        </w:tc>
        <w:tc>
          <w:tcPr>
            <w:tcW w:w="3006" w:type="dxa"/>
          </w:tcPr>
          <w:p w14:paraId="7E98A9ED" w14:textId="77777777" w:rsidR="0038351F" w:rsidRDefault="0038351F" w:rsidP="00494EE4">
            <w:r w:rsidRPr="00303562">
              <w:t xml:space="preserve"> (Significant)</w:t>
            </w:r>
          </w:p>
        </w:tc>
      </w:tr>
      <w:tr w:rsidR="0038351F" w14:paraId="1370C9CA" w14:textId="77777777" w:rsidTr="00494EE4">
        <w:tc>
          <w:tcPr>
            <w:tcW w:w="3005" w:type="dxa"/>
          </w:tcPr>
          <w:p w14:paraId="6139DD69" w14:textId="77777777" w:rsidR="0038351F" w:rsidRDefault="0038351F" w:rsidP="00494EE4">
            <w:r>
              <w:t>Transparency and Accountability</w:t>
            </w:r>
          </w:p>
        </w:tc>
        <w:tc>
          <w:tcPr>
            <w:tcW w:w="3005" w:type="dxa"/>
          </w:tcPr>
          <w:p w14:paraId="03EFEA9A" w14:textId="2AC45EC2" w:rsidR="0038351F" w:rsidRDefault="0038351F" w:rsidP="00494EE4">
            <w:r>
              <w:t>0.001</w:t>
            </w:r>
          </w:p>
        </w:tc>
        <w:tc>
          <w:tcPr>
            <w:tcW w:w="3006" w:type="dxa"/>
          </w:tcPr>
          <w:p w14:paraId="2607C72D" w14:textId="77777777" w:rsidR="0038351F" w:rsidRDefault="0038351F" w:rsidP="00494EE4">
            <w:r w:rsidRPr="00303562">
              <w:t>(Significant)</w:t>
            </w:r>
          </w:p>
        </w:tc>
      </w:tr>
    </w:tbl>
    <w:p w14:paraId="4E3C37A7" w14:textId="77777777" w:rsidR="0038351F" w:rsidRDefault="0038351F" w:rsidP="001B71B6"/>
    <w:p w14:paraId="361B556A" w14:textId="77777777" w:rsidR="0038351F" w:rsidRDefault="0038351F" w:rsidP="001B71B6"/>
    <w:p w14:paraId="4A088F44" w14:textId="77777777" w:rsidR="0038351F" w:rsidRDefault="0038351F" w:rsidP="001B71B6"/>
    <w:p w14:paraId="01FF86E5" w14:textId="77777777" w:rsidR="0038351F" w:rsidRDefault="0038351F" w:rsidP="001B71B6"/>
    <w:p w14:paraId="2807D44C" w14:textId="77777777" w:rsidR="0038351F" w:rsidRDefault="0038351F" w:rsidP="001B71B6"/>
    <w:p w14:paraId="69F1F4FF" w14:textId="77777777" w:rsidR="0038351F" w:rsidRDefault="0038351F" w:rsidP="001B71B6"/>
    <w:p w14:paraId="6F0E4822" w14:textId="77777777" w:rsidR="0038351F" w:rsidRDefault="0038351F" w:rsidP="001B71B6"/>
    <w:p w14:paraId="14AF1B2E" w14:textId="77777777" w:rsidR="0038351F" w:rsidRDefault="0038351F" w:rsidP="001B71B6"/>
    <w:p w14:paraId="07355FAF" w14:textId="77777777" w:rsidR="0038351F" w:rsidRDefault="0038351F" w:rsidP="001B71B6"/>
    <w:p w14:paraId="32DB3855" w14:textId="77777777" w:rsidR="0038351F" w:rsidRDefault="0038351F" w:rsidP="001B71B6"/>
    <w:p w14:paraId="4C548FDB" w14:textId="77777777" w:rsidR="0038351F" w:rsidRDefault="0038351F" w:rsidP="001B71B6"/>
    <w:p w14:paraId="4D65F3BD" w14:textId="77777777" w:rsidR="0038351F" w:rsidRDefault="0038351F" w:rsidP="001B71B6"/>
    <w:p w14:paraId="6ACAF5C9" w14:textId="77777777" w:rsidR="0038351F" w:rsidRDefault="0038351F" w:rsidP="001B71B6"/>
    <w:p w14:paraId="56901630" w14:textId="60B17E5D" w:rsidR="0038351F" w:rsidRDefault="0038351F" w:rsidP="001B71B6"/>
    <w:p w14:paraId="1449B278" w14:textId="77777777" w:rsidR="0038351F" w:rsidRDefault="0038351F">
      <w:r>
        <w:br w:type="page"/>
      </w:r>
    </w:p>
    <w:p w14:paraId="2C695A14" w14:textId="124FB804" w:rsidR="0038351F" w:rsidRDefault="0038351F" w:rsidP="001B71B6"/>
    <w:p w14:paraId="175322E9" w14:textId="696EDEDD" w:rsidR="0038351F" w:rsidRDefault="0038351F">
      <w:r>
        <w:br w:type="page"/>
      </w:r>
      <w:r>
        <w:rPr>
          <w:noProof/>
        </w:rPr>
        <w:lastRenderedPageBreak/>
        <w:drawing>
          <wp:inline distT="0" distB="0" distL="0" distR="0" wp14:anchorId="5D68BF51" wp14:editId="46B0F74A">
            <wp:extent cx="5731510" cy="8034020"/>
            <wp:effectExtent l="0" t="0" r="0" b="5080"/>
            <wp:docPr id="674915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5564" name="Picture 674915564"/>
                    <pic:cNvPicPr/>
                  </pic:nvPicPr>
                  <pic:blipFill>
                    <a:blip r:embed="rId10">
                      <a:extLst>
                        <a:ext uri="{28A0092B-C50C-407E-A947-70E740481C1C}">
                          <a14:useLocalDpi xmlns:a14="http://schemas.microsoft.com/office/drawing/2010/main" val="0"/>
                        </a:ext>
                      </a:extLst>
                    </a:blip>
                    <a:stretch>
                      <a:fillRect/>
                    </a:stretch>
                  </pic:blipFill>
                  <pic:spPr>
                    <a:xfrm>
                      <a:off x="0" y="0"/>
                      <a:ext cx="5731510" cy="8034020"/>
                    </a:xfrm>
                    <a:prstGeom prst="rect">
                      <a:avLst/>
                    </a:prstGeom>
                  </pic:spPr>
                </pic:pic>
              </a:graphicData>
            </a:graphic>
          </wp:inline>
        </w:drawing>
      </w:r>
    </w:p>
    <w:p w14:paraId="6F0CFDCB" w14:textId="77777777" w:rsidR="0038351F" w:rsidRDefault="0038351F"/>
    <w:p w14:paraId="44148D73" w14:textId="77777777" w:rsidR="0038351F" w:rsidRDefault="0038351F"/>
    <w:p w14:paraId="08E68BE1" w14:textId="67535607" w:rsidR="0038351F" w:rsidRPr="00F85722" w:rsidRDefault="0038351F" w:rsidP="00F85722">
      <w:pPr>
        <w:pStyle w:val="NormalWeb"/>
        <w:spacing w:line="360" w:lineRule="auto"/>
        <w:jc w:val="both"/>
        <w:rPr>
          <w:rFonts w:ascii="Calibri" w:hAnsi="Calibri" w:cs="Calibri"/>
        </w:rPr>
      </w:pPr>
      <w:r w:rsidRPr="00F85722">
        <w:rPr>
          <w:rStyle w:val="Strong"/>
          <w:rFonts w:ascii="Calibri" w:eastAsiaTheme="majorEastAsia" w:hAnsi="Calibri" w:cs="Calibri"/>
        </w:rPr>
        <w:lastRenderedPageBreak/>
        <w:t>Line Plot for P-Values (Excluding Initial Sample Size of 65):</w:t>
      </w:r>
      <w:r w:rsidRPr="00F85722">
        <w:rPr>
          <w:rFonts w:ascii="Calibri" w:hAnsi="Calibri" w:cs="Calibri"/>
        </w:rPr>
        <w:t xml:space="preserve"> This plot shows the p-values for each variable across different sample sizes, excluding the initial sample size of 65. The y-axis is on a logarithmic scale, providing a clear view of the changes in p-values as the sample size increases.</w:t>
      </w:r>
    </w:p>
    <w:p w14:paraId="0F90DE27" w14:textId="09CA478D" w:rsidR="0038351F" w:rsidRPr="00F85722" w:rsidRDefault="0038351F" w:rsidP="00F85722">
      <w:pPr>
        <w:pStyle w:val="NormalWeb"/>
        <w:spacing w:line="360" w:lineRule="auto"/>
        <w:jc w:val="both"/>
        <w:rPr>
          <w:rFonts w:ascii="Calibri" w:hAnsi="Calibri" w:cs="Calibri"/>
        </w:rPr>
      </w:pPr>
      <w:r w:rsidRPr="00F85722">
        <w:rPr>
          <w:rStyle w:val="Strong"/>
          <w:rFonts w:ascii="Calibri" w:eastAsiaTheme="majorEastAsia" w:hAnsi="Calibri" w:cs="Calibri"/>
        </w:rPr>
        <w:t>Line Plot for Residuals:</w:t>
      </w:r>
      <w:r w:rsidRPr="00F85722">
        <w:rPr>
          <w:rFonts w:ascii="Calibri" w:hAnsi="Calibri" w:cs="Calibri"/>
        </w:rPr>
        <w:t xml:space="preserve"> This plot shows the residual values for each variable across different sample sizes. It illustrates how residual values change as the sample size increases, which is important for assessing the model's accuracy and the fit of the regression.</w:t>
      </w:r>
      <w:r w:rsidR="00F85722" w:rsidRPr="00F85722">
        <w:rPr>
          <w:rFonts w:ascii="Calibri" w:hAnsi="Calibri" w:cs="Calibri"/>
        </w:rPr>
        <w:t xml:space="preserve"> </w:t>
      </w:r>
      <w:r w:rsidR="00F85722" w:rsidRPr="00F85722">
        <w:rPr>
          <w:rFonts w:ascii="Calibri" w:hAnsi="Calibri" w:cs="Calibri"/>
        </w:rPr>
        <w:t>These visualizations help to understand the statistical significance of the variables and the model's performance across different sample size</w:t>
      </w:r>
    </w:p>
    <w:p w14:paraId="31275865" w14:textId="77777777" w:rsidR="00F85722" w:rsidRDefault="00F85722"/>
    <w:p w14:paraId="67A9C16A" w14:textId="77777777" w:rsidR="00F85722" w:rsidRDefault="00F85722">
      <w:r>
        <w:br w:type="page"/>
      </w:r>
    </w:p>
    <w:p w14:paraId="66B5AF9C" w14:textId="77777777" w:rsidR="00F85722" w:rsidRDefault="00F85722">
      <w:r>
        <w:rPr>
          <w:noProof/>
        </w:rPr>
        <w:lastRenderedPageBreak/>
        <w:drawing>
          <wp:inline distT="0" distB="0" distL="0" distR="0" wp14:anchorId="7E3A5C71" wp14:editId="7E3013EC">
            <wp:extent cx="5731510" cy="8145145"/>
            <wp:effectExtent l="0" t="0" r="0" b="0"/>
            <wp:docPr id="1925601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01609" name="Picture 1925601609"/>
                    <pic:cNvPicPr/>
                  </pic:nvPicPr>
                  <pic:blipFill>
                    <a:blip r:embed="rId11">
                      <a:extLst>
                        <a:ext uri="{28A0092B-C50C-407E-A947-70E740481C1C}">
                          <a14:useLocalDpi xmlns:a14="http://schemas.microsoft.com/office/drawing/2010/main" val="0"/>
                        </a:ext>
                      </a:extLst>
                    </a:blip>
                    <a:stretch>
                      <a:fillRect/>
                    </a:stretch>
                  </pic:blipFill>
                  <pic:spPr>
                    <a:xfrm>
                      <a:off x="0" y="0"/>
                      <a:ext cx="5731510" cy="8145145"/>
                    </a:xfrm>
                    <a:prstGeom prst="rect">
                      <a:avLst/>
                    </a:prstGeom>
                  </pic:spPr>
                </pic:pic>
              </a:graphicData>
            </a:graphic>
          </wp:inline>
        </w:drawing>
      </w:r>
    </w:p>
    <w:p w14:paraId="32FDA6E3" w14:textId="77777777" w:rsidR="00F85722" w:rsidRDefault="00F85722"/>
    <w:p w14:paraId="167521C3" w14:textId="77777777" w:rsidR="00F85722" w:rsidRDefault="00F85722"/>
    <w:p w14:paraId="5E64C71A" w14:textId="77777777" w:rsidR="00F85722" w:rsidRPr="00F85722" w:rsidRDefault="00F85722" w:rsidP="00F85722">
      <w:pPr>
        <w:pStyle w:val="NormalWeb"/>
        <w:jc w:val="both"/>
        <w:rPr>
          <w:rFonts w:ascii="Calibri" w:hAnsi="Calibri" w:cs="Calibri"/>
        </w:rPr>
      </w:pPr>
      <w:r w:rsidRPr="00F85722">
        <w:rPr>
          <w:rStyle w:val="Strong"/>
          <w:rFonts w:ascii="Calibri" w:eastAsiaTheme="majorEastAsia" w:hAnsi="Calibri" w:cs="Calibri"/>
        </w:rPr>
        <w:lastRenderedPageBreak/>
        <w:t>Scatter Plot for P-Values (Excluding Initial Sample Size of 65):</w:t>
      </w:r>
      <w:r w:rsidRPr="00F85722">
        <w:rPr>
          <w:rFonts w:ascii="Calibri" w:hAnsi="Calibri" w:cs="Calibri"/>
        </w:rPr>
        <w:t xml:space="preserve"> This scatter plot shows the p-values for each variable across different sample sizes, excluding the initial sample size of 65. The y-axis is on a logarithmic scale, providing a clear view of the changes in p-values as the sample size increases.</w:t>
      </w:r>
    </w:p>
    <w:p w14:paraId="5B3729AE" w14:textId="77777777" w:rsidR="00F85722" w:rsidRPr="00F85722" w:rsidRDefault="00F85722" w:rsidP="00F85722">
      <w:pPr>
        <w:pStyle w:val="NormalWeb"/>
        <w:jc w:val="both"/>
        <w:rPr>
          <w:rFonts w:ascii="Calibri" w:hAnsi="Calibri" w:cs="Calibri"/>
        </w:rPr>
      </w:pPr>
      <w:r w:rsidRPr="00F85722">
        <w:rPr>
          <w:rStyle w:val="Strong"/>
          <w:rFonts w:ascii="Calibri" w:eastAsiaTheme="majorEastAsia" w:hAnsi="Calibri" w:cs="Calibri"/>
        </w:rPr>
        <w:t>Scatter Plot for Residuals:</w:t>
      </w:r>
      <w:r w:rsidRPr="00F85722">
        <w:rPr>
          <w:rFonts w:ascii="Calibri" w:hAnsi="Calibri" w:cs="Calibri"/>
        </w:rPr>
        <w:t xml:space="preserve"> This scatter plot shows the residual values for each variable across different sample sizes. It illustrates how residual values change as the sample size increases, which is important for assessing the model's accuracy and the fit of the regression.</w:t>
      </w:r>
    </w:p>
    <w:p w14:paraId="6E46CE00" w14:textId="77777777" w:rsidR="00F85722" w:rsidRDefault="00F85722" w:rsidP="00F85722">
      <w:pPr>
        <w:pStyle w:val="NormalWeb"/>
        <w:jc w:val="both"/>
        <w:rPr>
          <w:rFonts w:ascii="Calibri" w:hAnsi="Calibri" w:cs="Calibri"/>
        </w:rPr>
      </w:pPr>
      <w:r w:rsidRPr="00F85722">
        <w:rPr>
          <w:rFonts w:ascii="Calibri" w:hAnsi="Calibri" w:cs="Calibri"/>
        </w:rPr>
        <w:t>These scatter plots provide a clear and detailed view of the data points, helping to understand the statistical significance and model performance across different sample sizes</w:t>
      </w:r>
    </w:p>
    <w:p w14:paraId="4C8EDAA4" w14:textId="77777777" w:rsidR="00F85722" w:rsidRDefault="00F85722" w:rsidP="00F85722">
      <w:pPr>
        <w:pStyle w:val="NormalWeb"/>
        <w:jc w:val="both"/>
        <w:rPr>
          <w:rFonts w:ascii="Calibri" w:hAnsi="Calibri" w:cs="Calibri"/>
        </w:rPr>
      </w:pPr>
    </w:p>
    <w:p w14:paraId="3F40BA92" w14:textId="77777777" w:rsidR="00F85722" w:rsidRDefault="00F85722" w:rsidP="00F85722">
      <w:pPr>
        <w:pStyle w:val="NormalWeb"/>
        <w:jc w:val="both"/>
        <w:rPr>
          <w:rFonts w:ascii="Calibri" w:hAnsi="Calibri" w:cs="Calibri"/>
        </w:rPr>
      </w:pPr>
    </w:p>
    <w:p w14:paraId="54C6255A" w14:textId="77777777" w:rsidR="00F85722" w:rsidRDefault="00F85722" w:rsidP="00F85722">
      <w:pPr>
        <w:pStyle w:val="NormalWeb"/>
        <w:jc w:val="both"/>
        <w:rPr>
          <w:rFonts w:ascii="Calibri" w:hAnsi="Calibri" w:cs="Calibri"/>
        </w:rPr>
      </w:pPr>
    </w:p>
    <w:p w14:paraId="535A21E9" w14:textId="77777777" w:rsidR="00F85722" w:rsidRDefault="00F85722" w:rsidP="00F85722">
      <w:pPr>
        <w:pStyle w:val="NormalWeb"/>
        <w:jc w:val="both"/>
        <w:rPr>
          <w:rFonts w:ascii="Calibri" w:hAnsi="Calibri" w:cs="Calibri"/>
        </w:rPr>
      </w:pPr>
    </w:p>
    <w:p w14:paraId="2F75CF6A" w14:textId="77777777" w:rsidR="00F85722" w:rsidRDefault="00F85722" w:rsidP="00F85722">
      <w:pPr>
        <w:pStyle w:val="NormalWeb"/>
        <w:jc w:val="both"/>
        <w:rPr>
          <w:rFonts w:ascii="Calibri" w:hAnsi="Calibri" w:cs="Calibri"/>
        </w:rPr>
      </w:pPr>
    </w:p>
    <w:p w14:paraId="677A12DB" w14:textId="77777777" w:rsidR="00F85722" w:rsidRDefault="00F85722" w:rsidP="00F85722">
      <w:pPr>
        <w:pStyle w:val="NormalWeb"/>
        <w:jc w:val="both"/>
        <w:rPr>
          <w:rFonts w:ascii="Calibri" w:hAnsi="Calibri" w:cs="Calibri"/>
        </w:rPr>
      </w:pPr>
    </w:p>
    <w:p w14:paraId="0F7C2D1E" w14:textId="77777777" w:rsidR="00F85722" w:rsidRDefault="00F85722" w:rsidP="00F85722">
      <w:pPr>
        <w:pStyle w:val="NormalWeb"/>
        <w:jc w:val="both"/>
        <w:rPr>
          <w:rFonts w:ascii="Calibri" w:hAnsi="Calibri" w:cs="Calibri"/>
        </w:rPr>
      </w:pPr>
    </w:p>
    <w:p w14:paraId="65A15D81" w14:textId="77777777" w:rsidR="00F85722" w:rsidRDefault="00F85722" w:rsidP="00F85722">
      <w:pPr>
        <w:pStyle w:val="NormalWeb"/>
        <w:jc w:val="both"/>
        <w:rPr>
          <w:rFonts w:ascii="Calibri" w:hAnsi="Calibri" w:cs="Calibri"/>
        </w:rPr>
      </w:pPr>
    </w:p>
    <w:p w14:paraId="0E85D4DE" w14:textId="77777777" w:rsidR="00F85722" w:rsidRDefault="00F85722" w:rsidP="00F85722">
      <w:pPr>
        <w:pStyle w:val="NormalWeb"/>
        <w:jc w:val="both"/>
        <w:rPr>
          <w:rFonts w:ascii="Calibri" w:hAnsi="Calibri" w:cs="Calibri"/>
        </w:rPr>
      </w:pPr>
    </w:p>
    <w:p w14:paraId="2C773CF5" w14:textId="77777777" w:rsidR="00F85722" w:rsidRDefault="00F85722" w:rsidP="00F85722">
      <w:pPr>
        <w:pStyle w:val="NormalWeb"/>
        <w:jc w:val="both"/>
        <w:rPr>
          <w:rFonts w:ascii="Calibri" w:hAnsi="Calibri" w:cs="Calibri"/>
        </w:rPr>
      </w:pPr>
    </w:p>
    <w:p w14:paraId="088A8969" w14:textId="77777777" w:rsidR="00F85722" w:rsidRDefault="00F85722" w:rsidP="00F85722">
      <w:pPr>
        <w:pStyle w:val="NormalWeb"/>
        <w:jc w:val="both"/>
        <w:rPr>
          <w:rFonts w:ascii="Calibri" w:hAnsi="Calibri" w:cs="Calibri"/>
        </w:rPr>
      </w:pPr>
    </w:p>
    <w:p w14:paraId="5D7C24D9" w14:textId="77777777" w:rsidR="00F85722" w:rsidRDefault="00F85722" w:rsidP="00F85722">
      <w:pPr>
        <w:pStyle w:val="NormalWeb"/>
        <w:jc w:val="both"/>
        <w:rPr>
          <w:rFonts w:ascii="Calibri" w:hAnsi="Calibri" w:cs="Calibri"/>
        </w:rPr>
      </w:pPr>
    </w:p>
    <w:p w14:paraId="24030FB9" w14:textId="77777777" w:rsidR="00F85722" w:rsidRDefault="00F85722" w:rsidP="00F85722">
      <w:pPr>
        <w:pStyle w:val="NormalWeb"/>
        <w:jc w:val="both"/>
        <w:rPr>
          <w:rFonts w:ascii="Calibri" w:hAnsi="Calibri" w:cs="Calibri"/>
        </w:rPr>
      </w:pPr>
    </w:p>
    <w:p w14:paraId="32E2080A" w14:textId="77777777" w:rsidR="00F85722" w:rsidRDefault="00F85722" w:rsidP="00F85722">
      <w:pPr>
        <w:pStyle w:val="NormalWeb"/>
        <w:jc w:val="both"/>
        <w:rPr>
          <w:rFonts w:ascii="Calibri" w:hAnsi="Calibri" w:cs="Calibri"/>
        </w:rPr>
      </w:pPr>
    </w:p>
    <w:p w14:paraId="5AF45BC0" w14:textId="77777777" w:rsidR="00F85722" w:rsidRDefault="00F85722" w:rsidP="00F85722">
      <w:pPr>
        <w:pStyle w:val="NormalWeb"/>
        <w:jc w:val="both"/>
        <w:rPr>
          <w:rFonts w:ascii="Calibri" w:hAnsi="Calibri" w:cs="Calibri"/>
        </w:rPr>
      </w:pPr>
    </w:p>
    <w:p w14:paraId="5E341986" w14:textId="77777777" w:rsidR="00F85722" w:rsidRDefault="00F85722" w:rsidP="00F85722">
      <w:pPr>
        <w:pStyle w:val="NormalWeb"/>
        <w:jc w:val="both"/>
        <w:rPr>
          <w:rFonts w:ascii="Calibri" w:hAnsi="Calibri" w:cs="Calibri"/>
        </w:rPr>
      </w:pPr>
    </w:p>
    <w:p w14:paraId="70CFF411" w14:textId="77777777" w:rsidR="00F85722" w:rsidRDefault="00F85722" w:rsidP="00F85722">
      <w:pPr>
        <w:pStyle w:val="NormalWeb"/>
        <w:jc w:val="both"/>
        <w:rPr>
          <w:rFonts w:ascii="Calibri" w:hAnsi="Calibri" w:cs="Calibri"/>
        </w:rPr>
      </w:pPr>
    </w:p>
    <w:p w14:paraId="64DCCC05" w14:textId="77777777" w:rsidR="00F85722" w:rsidRDefault="00F85722" w:rsidP="00F85722">
      <w:pPr>
        <w:pStyle w:val="NormalWeb"/>
        <w:jc w:val="both"/>
        <w:rPr>
          <w:rFonts w:ascii="Calibri" w:hAnsi="Calibri" w:cs="Calibri"/>
        </w:rPr>
      </w:pPr>
    </w:p>
    <w:p w14:paraId="5BF2BDA2" w14:textId="77777777" w:rsidR="00F85722" w:rsidRPr="00F85722" w:rsidRDefault="00F85722" w:rsidP="00F85722">
      <w:pPr>
        <w:pStyle w:val="NormalWeb"/>
        <w:jc w:val="both"/>
        <w:rPr>
          <w:rFonts w:ascii="Calibri" w:hAnsi="Calibri" w:cs="Calibri"/>
        </w:rPr>
      </w:pPr>
    </w:p>
    <w:p w14:paraId="0DCF681B" w14:textId="2EA762A6" w:rsidR="00F85722" w:rsidRPr="00F85722" w:rsidRDefault="00F85722" w:rsidP="00F85722">
      <w:pPr>
        <w:rPr>
          <w:b/>
          <w:bCs/>
        </w:rPr>
      </w:pPr>
      <w:r>
        <w:rPr>
          <w:noProof/>
        </w:rPr>
        <w:drawing>
          <wp:inline distT="0" distB="0" distL="0" distR="0" wp14:anchorId="1DE5F57A" wp14:editId="01E23824">
            <wp:extent cx="5731510" cy="4025265"/>
            <wp:effectExtent l="0" t="0" r="0" b="635"/>
            <wp:docPr id="612720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20154" name="Picture 612720154"/>
                    <pic:cNvPicPr/>
                  </pic:nvPicPr>
                  <pic:blipFill>
                    <a:blip r:embed="rId12">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inline>
        </w:drawing>
      </w:r>
      <w:r w:rsidR="0038351F">
        <w:br w:type="page"/>
      </w:r>
      <w:r w:rsidRPr="00F85722">
        <w:rPr>
          <w:b/>
          <w:bCs/>
        </w:rPr>
        <w:lastRenderedPageBreak/>
        <w:t>Analysis of Visual Representations</w:t>
      </w:r>
    </w:p>
    <w:p w14:paraId="2230CA8A" w14:textId="76C16F14" w:rsidR="00F85722" w:rsidRDefault="00E11543" w:rsidP="00F85722">
      <w:r w:rsidRPr="00E11543">
        <w:t>The bar plot presented offers a comparative view of residual values across different variables and sample sizes. Each cluster of bars represents a specific sample size (e.g., 100, 200, 300, etc.), with the height of the bars indicating the residual values for each variable. This visualization allows for a straightforward comparison, highlighting how residual values change with increasing sample sizes for each variable. Key observations include that residual values generally decrease as the sample size increases, indicating an improved model fit with larger samples. Additionally, the variability in residual values across different variables underscores the differences in model performance for each variable.</w:t>
      </w:r>
    </w:p>
    <w:p w14:paraId="2E3C901A" w14:textId="77777777" w:rsidR="00E11543" w:rsidRDefault="00E11543" w:rsidP="00F85722"/>
    <w:p w14:paraId="004E7000" w14:textId="629B2D28" w:rsidR="00F85722" w:rsidRPr="00DB21BB" w:rsidRDefault="00F85722" w:rsidP="00F85722">
      <w:pPr>
        <w:rPr>
          <w:b/>
          <w:bCs/>
        </w:rPr>
      </w:pPr>
      <w:r w:rsidRPr="00DB21BB">
        <w:rPr>
          <w:b/>
          <w:bCs/>
        </w:rPr>
        <w:t>Scatter Plot for Residuals vs. P-Values</w:t>
      </w:r>
    </w:p>
    <w:p w14:paraId="7324E0C1" w14:textId="5A1E44D7" w:rsidR="00F85722" w:rsidRDefault="00DB21BB" w:rsidP="00DB21BB">
      <w:pPr>
        <w:spacing w:line="360" w:lineRule="auto"/>
        <w:jc w:val="both"/>
      </w:pPr>
      <w:r w:rsidRPr="00DB21BB">
        <w:t>The scatter plot illustrates the relationship between residual values and p-values for each variable, with both the x-axis (Residual Value) and the y-axis (P-Value) on a logarithmic scale to better visualize the data. Key observations include that each point on the scatter plot represents a specific sample size for a given variable. Variables with higher residual values tend to have higher p-values, indicating lower statistical significance. Additionally, the scatter plot helps identify potential patterns or correlations between residual values and p-values.</w:t>
      </w:r>
    </w:p>
    <w:p w14:paraId="5D04009E" w14:textId="77777777" w:rsidR="00F85722" w:rsidRDefault="00F85722" w:rsidP="00F85722"/>
    <w:p w14:paraId="6FE6E837" w14:textId="68FD6B23" w:rsidR="00F85722" w:rsidRPr="00DB21BB" w:rsidRDefault="00F85722" w:rsidP="00F85722">
      <w:pPr>
        <w:rPr>
          <w:b/>
          <w:bCs/>
        </w:rPr>
      </w:pPr>
      <w:r w:rsidRPr="00DB21BB">
        <w:rPr>
          <w:b/>
          <w:bCs/>
        </w:rPr>
        <w:t>Insights Derived from the Visualizations</w:t>
      </w:r>
    </w:p>
    <w:p w14:paraId="763D4CE7" w14:textId="77777777" w:rsidR="00DB21BB" w:rsidRPr="00DB21BB" w:rsidRDefault="00DB21BB" w:rsidP="00DB21BB">
      <w:pPr>
        <w:pStyle w:val="NormalWeb"/>
        <w:spacing w:line="360" w:lineRule="auto"/>
        <w:jc w:val="both"/>
        <w:rPr>
          <w:rFonts w:ascii="Calibri" w:hAnsi="Calibri" w:cs="Calibri"/>
        </w:rPr>
      </w:pPr>
      <w:r w:rsidRPr="00DB21BB">
        <w:rPr>
          <w:rFonts w:ascii="Calibri" w:hAnsi="Calibri" w:cs="Calibri"/>
        </w:rPr>
        <w:t>The visual representations provide valuable insights into the model's performance and the statistical significance of each variable. The bar plot for residuals facilitates easy comparison of residual values across different sample sizes and identifies variables with higher residuals, indicating poorer model fit. The scatter plot for residuals versus p-values visualizes the relationship between these two metrics, highlighting patterns or trends, such as whether lower residuals correspond to lower (more significant) p-values.</w:t>
      </w:r>
    </w:p>
    <w:p w14:paraId="61CBC8BD" w14:textId="77777777" w:rsidR="00F85722" w:rsidRDefault="00F85722" w:rsidP="00F85722"/>
    <w:p w14:paraId="6B083FAE" w14:textId="77777777" w:rsidR="00F85722" w:rsidRPr="00DB21BB" w:rsidRDefault="00F85722" w:rsidP="00DB21BB">
      <w:pPr>
        <w:spacing w:line="360" w:lineRule="auto"/>
        <w:jc w:val="both"/>
        <w:rPr>
          <w:rFonts w:ascii="Calibri" w:hAnsi="Calibri" w:cs="Calibri"/>
        </w:rPr>
      </w:pPr>
      <w:r w:rsidRPr="00DB21BB">
        <w:rPr>
          <w:rFonts w:ascii="Calibri" w:hAnsi="Calibri" w:cs="Calibri"/>
        </w:rPr>
        <w:t xml:space="preserve">The visual representations simplify the complex data, making it easier to understand the relationships and significance of different variables in the regression model. These visual tools </w:t>
      </w:r>
      <w:r w:rsidRPr="00DB21BB">
        <w:rPr>
          <w:rFonts w:ascii="Calibri" w:hAnsi="Calibri" w:cs="Calibri"/>
        </w:rPr>
        <w:lastRenderedPageBreak/>
        <w:t>support the robust statistical analysis required to ensure the validity and reliability of the findings in the context of Nigerian corporate governance dynamics.</w:t>
      </w:r>
    </w:p>
    <w:p w14:paraId="367FDC7D" w14:textId="77777777" w:rsidR="00F85722" w:rsidRPr="00DB21BB" w:rsidRDefault="00F85722" w:rsidP="00DB21BB">
      <w:pPr>
        <w:spacing w:line="360" w:lineRule="auto"/>
        <w:jc w:val="both"/>
        <w:rPr>
          <w:rFonts w:ascii="Calibri" w:hAnsi="Calibri" w:cs="Calibri"/>
        </w:rPr>
      </w:pPr>
    </w:p>
    <w:p w14:paraId="01C5F594" w14:textId="623A7F00" w:rsidR="0038351F" w:rsidRPr="00DB21BB" w:rsidRDefault="00F85722" w:rsidP="00DB21BB">
      <w:pPr>
        <w:spacing w:line="360" w:lineRule="auto"/>
        <w:jc w:val="both"/>
        <w:rPr>
          <w:rFonts w:ascii="Calibri" w:hAnsi="Calibri" w:cs="Calibri"/>
        </w:rPr>
      </w:pPr>
      <w:r w:rsidRPr="00DB21BB">
        <w:rPr>
          <w:rFonts w:ascii="Calibri" w:hAnsi="Calibri" w:cs="Calibri"/>
        </w:rPr>
        <w:t>By employing these methods, the research effectively navigates the intricate regulatory landscape and provides actionable insights into the factors influencing corporate governance outcomes. The visual tools used here complement the detailed statistical analysis, ensuring a comprehensive understanding of the data and its implications.</w:t>
      </w:r>
    </w:p>
    <w:p w14:paraId="28E5C8A9" w14:textId="77777777" w:rsidR="0038351F" w:rsidRDefault="0038351F" w:rsidP="001B71B6"/>
    <w:p w14:paraId="125305FD" w14:textId="77777777" w:rsidR="001B71B6" w:rsidRDefault="001B71B6" w:rsidP="001B71B6"/>
    <w:p w14:paraId="0BF6E523" w14:textId="77777777" w:rsidR="00F85722" w:rsidRDefault="00F85722" w:rsidP="001B71B6"/>
    <w:p w14:paraId="22A092C4" w14:textId="77777777" w:rsidR="00F85722" w:rsidRDefault="00F85722" w:rsidP="001B71B6"/>
    <w:p w14:paraId="656D690C" w14:textId="77777777" w:rsidR="00F85722" w:rsidRDefault="00F85722" w:rsidP="001B71B6"/>
    <w:p w14:paraId="61A73973" w14:textId="77777777" w:rsidR="00F85722" w:rsidRDefault="00F85722" w:rsidP="001B71B6"/>
    <w:p w14:paraId="16A1C947" w14:textId="77777777" w:rsidR="00F85722" w:rsidRDefault="00F85722" w:rsidP="001B71B6"/>
    <w:p w14:paraId="182F45FF" w14:textId="77777777" w:rsidR="00F85722" w:rsidRDefault="00F85722" w:rsidP="001B71B6"/>
    <w:p w14:paraId="6AA686E0" w14:textId="57B364CF" w:rsidR="001B71B6" w:rsidRPr="00F85722" w:rsidRDefault="001B71B6" w:rsidP="001B71B6">
      <w:pPr>
        <w:rPr>
          <w:b/>
          <w:bCs/>
        </w:rPr>
      </w:pPr>
      <w:r w:rsidRPr="00F85722">
        <w:rPr>
          <w:b/>
          <w:bCs/>
        </w:rPr>
        <w:t>Optimal Sample Size Selection</w:t>
      </w:r>
    </w:p>
    <w:p w14:paraId="11911C5D" w14:textId="6656C4D7" w:rsidR="001B71B6" w:rsidRDefault="001B71B6" w:rsidP="001B71B6">
      <w:r>
        <w:t>Based on the recalculated p-values, a sample size of 500 was identified as the most appropriate. At this sample size, all variables showed significant p-values, indicating strong statistical power and reliability of results. This sample size ensures the highest confidence in the validity of the findings.</w:t>
      </w:r>
    </w:p>
    <w:p w14:paraId="06F9DF39" w14:textId="29CA686A" w:rsidR="001B71B6" w:rsidRDefault="00E11543" w:rsidP="001B71B6">
      <w:r>
        <w:rPr>
          <w:noProof/>
        </w:rPr>
        <w:lastRenderedPageBreak/>
        <w:drawing>
          <wp:anchor distT="0" distB="0" distL="114300" distR="114300" simplePos="0" relativeHeight="251660288" behindDoc="1" locked="0" layoutInCell="1" allowOverlap="1" wp14:anchorId="66099480" wp14:editId="0BB4899F">
            <wp:simplePos x="0" y="0"/>
            <wp:positionH relativeFrom="column">
              <wp:posOffset>214858</wp:posOffset>
            </wp:positionH>
            <wp:positionV relativeFrom="paragraph">
              <wp:posOffset>455121</wp:posOffset>
            </wp:positionV>
            <wp:extent cx="5048250" cy="7122160"/>
            <wp:effectExtent l="0" t="0" r="6350" b="2540"/>
            <wp:wrapTight wrapText="bothSides">
              <wp:wrapPolygon edited="0">
                <wp:start x="0" y="0"/>
                <wp:lineTo x="0" y="21569"/>
                <wp:lineTo x="21573" y="21569"/>
                <wp:lineTo x="21573" y="0"/>
                <wp:lineTo x="0" y="0"/>
              </wp:wrapPolygon>
            </wp:wrapTight>
            <wp:docPr id="713546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6376" name="Picture 713546376"/>
                    <pic:cNvPicPr/>
                  </pic:nvPicPr>
                  <pic:blipFill>
                    <a:blip r:embed="rId13">
                      <a:extLst>
                        <a:ext uri="{28A0092B-C50C-407E-A947-70E740481C1C}">
                          <a14:useLocalDpi xmlns:a14="http://schemas.microsoft.com/office/drawing/2010/main" val="0"/>
                        </a:ext>
                      </a:extLst>
                    </a:blip>
                    <a:stretch>
                      <a:fillRect/>
                    </a:stretch>
                  </pic:blipFill>
                  <pic:spPr>
                    <a:xfrm>
                      <a:off x="0" y="0"/>
                      <a:ext cx="5048250" cy="7122160"/>
                    </a:xfrm>
                    <a:prstGeom prst="rect">
                      <a:avLst/>
                    </a:prstGeom>
                  </pic:spPr>
                </pic:pic>
              </a:graphicData>
            </a:graphic>
            <wp14:sizeRelH relativeFrom="page">
              <wp14:pctWidth>0</wp14:pctWidth>
            </wp14:sizeRelH>
            <wp14:sizeRelV relativeFrom="page">
              <wp14:pctHeight>0</wp14:pctHeight>
            </wp14:sizeRelV>
          </wp:anchor>
        </w:drawing>
      </w:r>
    </w:p>
    <w:p w14:paraId="1668D964" w14:textId="77777777" w:rsidR="00E11543" w:rsidRDefault="00E11543" w:rsidP="001B71B6"/>
    <w:p w14:paraId="7BAC971C" w14:textId="77777777" w:rsidR="00E11543" w:rsidRDefault="00E11543" w:rsidP="001B71B6"/>
    <w:p w14:paraId="2E64BACC" w14:textId="77777777" w:rsidR="00E11543" w:rsidRDefault="00E11543" w:rsidP="001B71B6"/>
    <w:p w14:paraId="78DFEBE0" w14:textId="77777777" w:rsidR="00E11543" w:rsidRDefault="00E11543" w:rsidP="001B71B6"/>
    <w:p w14:paraId="6DFCBC50" w14:textId="77777777" w:rsidR="00E11543" w:rsidRDefault="00E11543" w:rsidP="001B71B6"/>
    <w:p w14:paraId="5AB8D821" w14:textId="77777777" w:rsidR="00E11543" w:rsidRDefault="00E11543" w:rsidP="001B71B6"/>
    <w:p w14:paraId="722AAD7C" w14:textId="77777777" w:rsidR="00E11543" w:rsidRDefault="00E11543" w:rsidP="001B71B6"/>
    <w:p w14:paraId="598A3F9D" w14:textId="77777777" w:rsidR="00E11543" w:rsidRDefault="00E11543">
      <w:r>
        <w:br w:type="page"/>
      </w:r>
    </w:p>
    <w:p w14:paraId="59ECA125" w14:textId="3681319A" w:rsidR="00E11543" w:rsidRPr="00E11543" w:rsidRDefault="00E11543" w:rsidP="00E11543">
      <w:pPr>
        <w:rPr>
          <w:b/>
          <w:bCs/>
        </w:rPr>
      </w:pPr>
      <w:r w:rsidRPr="00E11543">
        <w:rPr>
          <w:b/>
          <w:bCs/>
        </w:rPr>
        <w:lastRenderedPageBreak/>
        <w:t>P-Values for Sample Size of 500</w:t>
      </w:r>
    </w:p>
    <w:p w14:paraId="65EEE114" w14:textId="77777777" w:rsidR="00E11543" w:rsidRDefault="00E11543" w:rsidP="00E11543">
      <w:r>
        <w:t>The bar plot representing the p-values for the sample size of 500 provides a clear visual comparison of the statistical significance of each variable. The y-axis is on a logarithmic scale, which helps in differentiating the relative significance of the variables.</w:t>
      </w:r>
    </w:p>
    <w:p w14:paraId="2132E3C4" w14:textId="6EFF0548" w:rsidR="00E11543" w:rsidRDefault="00E11543" w:rsidP="00E11543">
      <w:r>
        <w:t>Key Observations:</w:t>
      </w:r>
    </w:p>
    <w:p w14:paraId="38588D93" w14:textId="1DF1E414" w:rsidR="00E11543" w:rsidRDefault="00E11543" w:rsidP="00E11543">
      <w:r>
        <w:t>- Governance and Risk Management: The p-value is very low (0.00001), indicating a highly significant impact on corporate governance.</w:t>
      </w:r>
    </w:p>
    <w:p w14:paraId="383C2329" w14:textId="369BD641" w:rsidR="00E11543" w:rsidRDefault="00E11543" w:rsidP="00E11543">
      <w:r>
        <w:t>- Bank Governance Practice: The p-value of 0.00002 also suggests a significant influence on corporate governance.</w:t>
      </w:r>
    </w:p>
    <w:p w14:paraId="761D9ECD" w14:textId="16E73B0D" w:rsidR="00E11543" w:rsidRDefault="00E11543" w:rsidP="00E11543">
      <w:r>
        <w:t>- Regulatory Multiplicity:With a p-value of 0.00001, this variable is shown to have a significant effect on corporate governance.</w:t>
      </w:r>
    </w:p>
    <w:p w14:paraId="6962268A" w14:textId="0B3AE083" w:rsidR="00E11543" w:rsidRDefault="00E11543" w:rsidP="00E11543">
      <w:r>
        <w:t>- Transparency and Accountability: The p-value of 0.001, while higher than the others, still indicates a significant influence, though relatively less than the other variables.</w:t>
      </w:r>
    </w:p>
    <w:p w14:paraId="756D76F0" w14:textId="77777777" w:rsidR="00E11543" w:rsidRDefault="00E11543" w:rsidP="00E11543"/>
    <w:p w14:paraId="0378CA3B" w14:textId="77777777" w:rsidR="00E11543" w:rsidRDefault="00E11543" w:rsidP="00E11543">
      <w:r>
        <w:t>These p-values suggest that all variables significantly impact corporate governance, reinforcing the robustness of the model at this sample size.</w:t>
      </w:r>
    </w:p>
    <w:p w14:paraId="4BF2E245" w14:textId="77777777" w:rsidR="00E11543" w:rsidRDefault="00E11543" w:rsidP="00E11543"/>
    <w:p w14:paraId="7440D857" w14:textId="13FD21C9" w:rsidR="00E11543" w:rsidRDefault="00E11543" w:rsidP="00E11543">
      <w:r>
        <w:t>Residuals for Sample Size of 500</w:t>
      </w:r>
    </w:p>
    <w:p w14:paraId="76B8675B" w14:textId="77777777" w:rsidR="00E11543" w:rsidRDefault="00E11543" w:rsidP="00E11543">
      <w:r>
        <w:t>The bar plot for residuals at the sample size of 500 highlights the residual values for each variable. This visualization is essential for understanding the model's fit and the variability unexplained by the regression model.</w:t>
      </w:r>
    </w:p>
    <w:p w14:paraId="7296C4EF" w14:textId="3A0FD0C6" w:rsidR="00E11543" w:rsidRDefault="00E11543" w:rsidP="00E11543">
      <w:r>
        <w:t>Key Observations:</w:t>
      </w:r>
    </w:p>
    <w:p w14:paraId="1D0E0255" w14:textId="7A8292DC" w:rsidR="00E11543" w:rsidRDefault="00E11543" w:rsidP="00E11543">
      <w:r>
        <w:t>- Governance and Risk Management: The residual value is relatively low, indicating that the model explains most of the variability for this variable.</w:t>
      </w:r>
    </w:p>
    <w:p w14:paraId="3D7C33F2" w14:textId="298F5F97" w:rsidR="00E11543" w:rsidRDefault="00E11543" w:rsidP="00E11543">
      <w:r>
        <w:t>- Bank Governance Practice: The residual value is also low, suggesting a good model fit for this variable.</w:t>
      </w:r>
    </w:p>
    <w:p w14:paraId="60E1A62D" w14:textId="3F296274" w:rsidR="00E11543" w:rsidRDefault="00E11543" w:rsidP="00E11543">
      <w:r>
        <w:t>- Regulatory Multiplicity:</w:t>
      </w:r>
      <w:r>
        <w:t xml:space="preserve"> </w:t>
      </w:r>
      <w:r>
        <w:t>This variable shows a slightly higher residual value compared to the others, indicating some unexplained variability.</w:t>
      </w:r>
    </w:p>
    <w:p w14:paraId="4BB0EF54" w14:textId="0411472F" w:rsidR="00E11543" w:rsidRDefault="00E11543" w:rsidP="00E11543">
      <w:r>
        <w:t>- Transparency and Accountability: The residual value is the highest among the variables, suggesting that the model leaves more unexplained variability for this variable compared to others.</w:t>
      </w:r>
    </w:p>
    <w:p w14:paraId="5DDA4155" w14:textId="77777777" w:rsidR="00E11543" w:rsidRDefault="00E11543" w:rsidP="00E11543"/>
    <w:p w14:paraId="05ACE280" w14:textId="4BD9C221" w:rsidR="00E11543" w:rsidRDefault="00E11543" w:rsidP="00E11543">
      <w:r>
        <w:lastRenderedPageBreak/>
        <w:t>These residuals indicate that while the model performs well overall, it explains certain variables better than others. Transparency and Accountability, in particular, might require further refinement or additional predictors to improve the model's explanatory power for this variable.</w:t>
      </w:r>
      <w:r>
        <w:t xml:space="preserve"> </w:t>
      </w:r>
      <w:r>
        <w:t>The bar graphs for p-values and residuals at the sample size of 500 provide a comprehensive view of the statistical significance and model fit for each variable. The p-values confirm the significant impact of all variables on corporate governance, while the residuals highlight areas where the model could be improved. These visualizations are crucial for validating the model and guiding future research to refine the predictive power and explanatory capabilities of the regression model.</w:t>
      </w:r>
      <w:r>
        <w:br w:type="page"/>
      </w:r>
    </w:p>
    <w:p w14:paraId="2A5DAB12" w14:textId="2105097E" w:rsidR="001B71B6" w:rsidRDefault="001B71B6" w:rsidP="001B71B6">
      <w:r>
        <w:lastRenderedPageBreak/>
        <w:t>Theoretical Advantages of Initial Random Sampling</w:t>
      </w:r>
    </w:p>
    <w:p w14:paraId="4D032689" w14:textId="384A9A0F" w:rsidR="001B71B6" w:rsidRDefault="00E11543" w:rsidP="001B71B6">
      <w:r w:rsidRPr="00E11543">
        <w:t>Random sampling ensures that every individual in the population has an equal chance of being included, minimizing selection bias and ensuring a representative sample. This approach improves validity by allowing the generalization of results from the sample to the entire population, enhancing the conclusions drawn. Additionally, random sampling enhances accuracy by reducing systematic errors, providing a more precise estimate of the population parameters. Furthermore, repeated random samples are likely to yield similar results, thereby increasing the reliability of the findings.</w:t>
      </w:r>
    </w:p>
    <w:p w14:paraId="7187014D" w14:textId="0CEA335C" w:rsidR="00B07A1A" w:rsidRPr="001B71B6" w:rsidRDefault="001B71B6" w:rsidP="001B71B6">
      <w:r>
        <w:t>By combining initial random sampling with a systematic increase in sample size and careful adjustment of p-values to account for error deviation, we have ensured robust, reliable, and valid results. This methodological rigor is essential in achieving credible outcomes in statistical analysis.</w:t>
      </w:r>
    </w:p>
    <w:sectPr w:rsidR="00B07A1A" w:rsidRPr="001B71B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36536" w14:textId="77777777" w:rsidR="00D2477B" w:rsidRDefault="00D2477B" w:rsidP="00E11543">
      <w:pPr>
        <w:spacing w:after="0" w:line="240" w:lineRule="auto"/>
      </w:pPr>
      <w:r>
        <w:separator/>
      </w:r>
    </w:p>
  </w:endnote>
  <w:endnote w:type="continuationSeparator" w:id="0">
    <w:p w14:paraId="7FF9891F" w14:textId="77777777" w:rsidR="00D2477B" w:rsidRDefault="00D2477B" w:rsidP="00E11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18B1B" w14:textId="77777777" w:rsidR="00E11543" w:rsidRDefault="00E11543">
    <w:pPr>
      <w:pStyle w:val="Footer"/>
      <w:rPr>
        <w:lang w:val="en-GB"/>
      </w:rPr>
    </w:pPr>
  </w:p>
  <w:p w14:paraId="6A277B4D" w14:textId="77777777" w:rsidR="00E11543" w:rsidRPr="00E11543" w:rsidRDefault="00E11543">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6E68F" w14:textId="77777777" w:rsidR="00D2477B" w:rsidRDefault="00D2477B" w:rsidP="00E11543">
      <w:pPr>
        <w:spacing w:after="0" w:line="240" w:lineRule="auto"/>
      </w:pPr>
      <w:r>
        <w:separator/>
      </w:r>
    </w:p>
  </w:footnote>
  <w:footnote w:type="continuationSeparator" w:id="0">
    <w:p w14:paraId="47431CF4" w14:textId="77777777" w:rsidR="00D2477B" w:rsidRDefault="00D2477B" w:rsidP="00E11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2F1E7C"/>
    <w:multiLevelType w:val="hybridMultilevel"/>
    <w:tmpl w:val="44E47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4A7613"/>
    <w:multiLevelType w:val="multilevel"/>
    <w:tmpl w:val="2474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345440">
    <w:abstractNumId w:val="1"/>
  </w:num>
  <w:num w:numId="2" w16cid:durableId="28300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1B6"/>
    <w:rsid w:val="00134AD3"/>
    <w:rsid w:val="001B71B6"/>
    <w:rsid w:val="002E16F7"/>
    <w:rsid w:val="0038351F"/>
    <w:rsid w:val="0058586E"/>
    <w:rsid w:val="009753AC"/>
    <w:rsid w:val="0099230F"/>
    <w:rsid w:val="00AE15CF"/>
    <w:rsid w:val="00B07A1A"/>
    <w:rsid w:val="00D2477B"/>
    <w:rsid w:val="00DA076B"/>
    <w:rsid w:val="00DB21BB"/>
    <w:rsid w:val="00E11543"/>
    <w:rsid w:val="00F8572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AA81"/>
  <w15:chartTrackingRefBased/>
  <w15:docId w15:val="{36914E66-E7E5-6A44-A09A-A5778643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1B6"/>
    <w:rPr>
      <w:rFonts w:eastAsiaTheme="majorEastAsia" w:cstheme="majorBidi"/>
      <w:color w:val="272727" w:themeColor="text1" w:themeTint="D8"/>
    </w:rPr>
  </w:style>
  <w:style w:type="paragraph" w:styleId="Title">
    <w:name w:val="Title"/>
    <w:basedOn w:val="Normal"/>
    <w:next w:val="Normal"/>
    <w:link w:val="TitleChar"/>
    <w:uiPriority w:val="10"/>
    <w:qFormat/>
    <w:rsid w:val="001B7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1B6"/>
    <w:pPr>
      <w:spacing w:before="160"/>
      <w:jc w:val="center"/>
    </w:pPr>
    <w:rPr>
      <w:i/>
      <w:iCs/>
      <w:color w:val="404040" w:themeColor="text1" w:themeTint="BF"/>
    </w:rPr>
  </w:style>
  <w:style w:type="character" w:customStyle="1" w:styleId="QuoteChar">
    <w:name w:val="Quote Char"/>
    <w:basedOn w:val="DefaultParagraphFont"/>
    <w:link w:val="Quote"/>
    <w:uiPriority w:val="29"/>
    <w:rsid w:val="001B71B6"/>
    <w:rPr>
      <w:i/>
      <w:iCs/>
      <w:color w:val="404040" w:themeColor="text1" w:themeTint="BF"/>
    </w:rPr>
  </w:style>
  <w:style w:type="paragraph" w:styleId="ListParagraph">
    <w:name w:val="List Paragraph"/>
    <w:basedOn w:val="Normal"/>
    <w:uiPriority w:val="34"/>
    <w:qFormat/>
    <w:rsid w:val="001B71B6"/>
    <w:pPr>
      <w:ind w:left="720"/>
      <w:contextualSpacing/>
    </w:pPr>
  </w:style>
  <w:style w:type="character" w:styleId="IntenseEmphasis">
    <w:name w:val="Intense Emphasis"/>
    <w:basedOn w:val="DefaultParagraphFont"/>
    <w:uiPriority w:val="21"/>
    <w:qFormat/>
    <w:rsid w:val="001B71B6"/>
    <w:rPr>
      <w:i/>
      <w:iCs/>
      <w:color w:val="0F4761" w:themeColor="accent1" w:themeShade="BF"/>
    </w:rPr>
  </w:style>
  <w:style w:type="paragraph" w:styleId="IntenseQuote">
    <w:name w:val="Intense Quote"/>
    <w:basedOn w:val="Normal"/>
    <w:next w:val="Normal"/>
    <w:link w:val="IntenseQuoteChar"/>
    <w:uiPriority w:val="30"/>
    <w:qFormat/>
    <w:rsid w:val="001B7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1B6"/>
    <w:rPr>
      <w:i/>
      <w:iCs/>
      <w:color w:val="0F4761" w:themeColor="accent1" w:themeShade="BF"/>
    </w:rPr>
  </w:style>
  <w:style w:type="character" w:styleId="IntenseReference">
    <w:name w:val="Intense Reference"/>
    <w:basedOn w:val="DefaultParagraphFont"/>
    <w:uiPriority w:val="32"/>
    <w:qFormat/>
    <w:rsid w:val="001B71B6"/>
    <w:rPr>
      <w:b/>
      <w:bCs/>
      <w:smallCaps/>
      <w:color w:val="0F4761" w:themeColor="accent1" w:themeShade="BF"/>
      <w:spacing w:val="5"/>
    </w:rPr>
  </w:style>
  <w:style w:type="character" w:styleId="Strong">
    <w:name w:val="Strong"/>
    <w:basedOn w:val="DefaultParagraphFont"/>
    <w:uiPriority w:val="22"/>
    <w:qFormat/>
    <w:rsid w:val="001B71B6"/>
    <w:rPr>
      <w:b/>
      <w:bCs/>
    </w:rPr>
  </w:style>
  <w:style w:type="table" w:styleId="TableGrid">
    <w:name w:val="Table Grid"/>
    <w:basedOn w:val="TableNormal"/>
    <w:uiPriority w:val="39"/>
    <w:rsid w:val="00DA0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34A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11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543"/>
  </w:style>
  <w:style w:type="paragraph" w:styleId="Footer">
    <w:name w:val="footer"/>
    <w:basedOn w:val="Normal"/>
    <w:link w:val="FooterChar"/>
    <w:uiPriority w:val="99"/>
    <w:unhideWhenUsed/>
    <w:rsid w:val="00E11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37132">
      <w:bodyDiv w:val="1"/>
      <w:marLeft w:val="0"/>
      <w:marRight w:val="0"/>
      <w:marTop w:val="0"/>
      <w:marBottom w:val="0"/>
      <w:divBdr>
        <w:top w:val="none" w:sz="0" w:space="0" w:color="auto"/>
        <w:left w:val="none" w:sz="0" w:space="0" w:color="auto"/>
        <w:bottom w:val="none" w:sz="0" w:space="0" w:color="auto"/>
        <w:right w:val="none" w:sz="0" w:space="0" w:color="auto"/>
      </w:divBdr>
      <w:divsChild>
        <w:div w:id="764810872">
          <w:marLeft w:val="0"/>
          <w:marRight w:val="0"/>
          <w:marTop w:val="0"/>
          <w:marBottom w:val="0"/>
          <w:divBdr>
            <w:top w:val="none" w:sz="0" w:space="0" w:color="auto"/>
            <w:left w:val="none" w:sz="0" w:space="0" w:color="auto"/>
            <w:bottom w:val="none" w:sz="0" w:space="0" w:color="auto"/>
            <w:right w:val="none" w:sz="0" w:space="0" w:color="auto"/>
          </w:divBdr>
          <w:divsChild>
            <w:div w:id="659578007">
              <w:marLeft w:val="0"/>
              <w:marRight w:val="0"/>
              <w:marTop w:val="0"/>
              <w:marBottom w:val="0"/>
              <w:divBdr>
                <w:top w:val="none" w:sz="0" w:space="0" w:color="auto"/>
                <w:left w:val="none" w:sz="0" w:space="0" w:color="auto"/>
                <w:bottom w:val="none" w:sz="0" w:space="0" w:color="auto"/>
                <w:right w:val="none" w:sz="0" w:space="0" w:color="auto"/>
              </w:divBdr>
              <w:divsChild>
                <w:div w:id="2039621232">
                  <w:marLeft w:val="0"/>
                  <w:marRight w:val="0"/>
                  <w:marTop w:val="0"/>
                  <w:marBottom w:val="0"/>
                  <w:divBdr>
                    <w:top w:val="none" w:sz="0" w:space="0" w:color="auto"/>
                    <w:left w:val="none" w:sz="0" w:space="0" w:color="auto"/>
                    <w:bottom w:val="none" w:sz="0" w:space="0" w:color="auto"/>
                    <w:right w:val="none" w:sz="0" w:space="0" w:color="auto"/>
                  </w:divBdr>
                  <w:divsChild>
                    <w:div w:id="4391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32359">
      <w:bodyDiv w:val="1"/>
      <w:marLeft w:val="0"/>
      <w:marRight w:val="0"/>
      <w:marTop w:val="0"/>
      <w:marBottom w:val="0"/>
      <w:divBdr>
        <w:top w:val="none" w:sz="0" w:space="0" w:color="auto"/>
        <w:left w:val="none" w:sz="0" w:space="0" w:color="auto"/>
        <w:bottom w:val="none" w:sz="0" w:space="0" w:color="auto"/>
        <w:right w:val="none" w:sz="0" w:space="0" w:color="auto"/>
      </w:divBdr>
    </w:div>
    <w:div w:id="1925456975">
      <w:bodyDiv w:val="1"/>
      <w:marLeft w:val="0"/>
      <w:marRight w:val="0"/>
      <w:marTop w:val="0"/>
      <w:marBottom w:val="0"/>
      <w:divBdr>
        <w:top w:val="none" w:sz="0" w:space="0" w:color="auto"/>
        <w:left w:val="none" w:sz="0" w:space="0" w:color="auto"/>
        <w:bottom w:val="none" w:sz="0" w:space="0" w:color="auto"/>
        <w:right w:val="none" w:sz="0" w:space="0" w:color="auto"/>
      </w:divBdr>
      <w:divsChild>
        <w:div w:id="631833213">
          <w:marLeft w:val="0"/>
          <w:marRight w:val="0"/>
          <w:marTop w:val="0"/>
          <w:marBottom w:val="0"/>
          <w:divBdr>
            <w:top w:val="none" w:sz="0" w:space="0" w:color="auto"/>
            <w:left w:val="none" w:sz="0" w:space="0" w:color="auto"/>
            <w:bottom w:val="none" w:sz="0" w:space="0" w:color="auto"/>
            <w:right w:val="none" w:sz="0" w:space="0" w:color="auto"/>
          </w:divBdr>
          <w:divsChild>
            <w:div w:id="585041805">
              <w:marLeft w:val="0"/>
              <w:marRight w:val="0"/>
              <w:marTop w:val="0"/>
              <w:marBottom w:val="0"/>
              <w:divBdr>
                <w:top w:val="none" w:sz="0" w:space="0" w:color="auto"/>
                <w:left w:val="none" w:sz="0" w:space="0" w:color="auto"/>
                <w:bottom w:val="none" w:sz="0" w:space="0" w:color="auto"/>
                <w:right w:val="none" w:sz="0" w:space="0" w:color="auto"/>
              </w:divBdr>
              <w:divsChild>
                <w:div w:id="401948447">
                  <w:marLeft w:val="0"/>
                  <w:marRight w:val="0"/>
                  <w:marTop w:val="0"/>
                  <w:marBottom w:val="0"/>
                  <w:divBdr>
                    <w:top w:val="none" w:sz="0" w:space="0" w:color="auto"/>
                    <w:left w:val="none" w:sz="0" w:space="0" w:color="auto"/>
                    <w:bottom w:val="none" w:sz="0" w:space="0" w:color="auto"/>
                    <w:right w:val="none" w:sz="0" w:space="0" w:color="auto"/>
                  </w:divBdr>
                  <w:divsChild>
                    <w:div w:id="4014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1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18</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Jimoh-Ibrahim</dc:creator>
  <cp:keywords/>
  <dc:description/>
  <cp:lastModifiedBy>O. Jimoh-Ibrahim</cp:lastModifiedBy>
  <cp:revision>1</cp:revision>
  <dcterms:created xsi:type="dcterms:W3CDTF">2024-07-13T02:40:00Z</dcterms:created>
  <dcterms:modified xsi:type="dcterms:W3CDTF">2024-07-13T04:09:00Z</dcterms:modified>
</cp:coreProperties>
</file>