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387B" w14:textId="77777777" w:rsidR="006A0CE1" w:rsidRDefault="006A0CE1" w:rsidP="006A0CE1">
      <w:pPr>
        <w:pStyle w:val="Heading1"/>
        <w:spacing w:before="0"/>
      </w:pPr>
      <w:bookmarkStart w:id="0" w:name="_Toc211278958"/>
      <w:r>
        <w:t>Chapter 5: Discussion</w:t>
      </w:r>
      <w:bookmarkEnd w:id="0"/>
    </w:p>
    <w:p w14:paraId="3C0A85A0" w14:textId="77777777" w:rsidR="006A0CE1" w:rsidRDefault="006A0CE1" w:rsidP="006A0CE1">
      <w:pPr>
        <w:pStyle w:val="Heading2"/>
      </w:pPr>
      <w:bookmarkStart w:id="1" w:name="_Toc211278959"/>
      <w:r>
        <w:t>5.1 Introduction to the Discussion</w:t>
      </w:r>
      <w:bookmarkEnd w:id="1"/>
    </w:p>
    <w:p w14:paraId="7AB514C7" w14:textId="77777777" w:rsidR="006A0CE1" w:rsidRDefault="006A0CE1" w:rsidP="006A0CE1">
      <w:r>
        <w:t xml:space="preserve">This chapter interprets the empirical and qualitative findings presented in Chapter 4, relating them back to the foundational concepts, research gaps, and theoretical frameworks outlined in the Introduction and Literature Review (Chapters 1 and 2). By synthesizing the </w:t>
      </w:r>
      <w:proofErr w:type="gramStart"/>
      <w:r>
        <w:t>mixed-methods</w:t>
      </w:r>
      <w:proofErr w:type="gramEnd"/>
      <w:r>
        <w:t xml:space="preserve"> results, it elucidates how corporate governance (CG) deficiencies at the board level in Nigerian Deposit Money Banks (DMBs) contribute to elevated default risk, as proxied by Non-Performing Loan (NPL) ratios, and proposes strategies to enhance accountability and transparency. </w:t>
      </w:r>
    </w:p>
    <w:p w14:paraId="0FEB0557" w14:textId="77777777" w:rsidR="006A0CE1" w:rsidRDefault="006A0CE1" w:rsidP="006A0CE1">
      <w:r>
        <w:t>The discussion is structured thematically around the four CG tenets—Tenet 1: Bank Governance and Risk Management; Tenet 2: Corporate Governance and Bank Practice; Tenet 3: Regulatory Multiplicity; and Tenet 4: Transparency and Accountability—while integrating the hypotheses (H1–H4), research objectives (OB1–OB4), and mixed-methods insights. This approach allows for a nuanced exploration of how quantitative metrics (e.g., regression coefficients and correlations) are explained and enriched by qualitative narratives (e.g., themes like "Regulatory Confusion" and "Risk Management Challenges"). A dedicated section (5.6) addresses the research questions (RQ1–RQ4) in a concise, "mini-chapter" format, synthesizing evidence across tenets. The chapter concludes with broader implications, limitations, recommendations, and future research directions, aiming to bridge the identified research gap in context-specific studies on Nigeria's post-consolidation banking sector (Osita et al., 2019; Tsamenyi et al., 2007).</w:t>
      </w:r>
    </w:p>
    <w:p w14:paraId="4638956D" w14:textId="77777777" w:rsidR="006A0CE1" w:rsidRDefault="006A0CE1" w:rsidP="006A0CE1">
      <w:r>
        <w:t xml:space="preserve">To restate the </w:t>
      </w:r>
      <w:proofErr w:type="gramStart"/>
      <w:r>
        <w:t>research</w:t>
      </w:r>
      <w:proofErr w:type="gramEnd"/>
      <w:r>
        <w:t xml:space="preserve"> aim briefly: This study examines CG challenges in Nigeria's commercial banking sector, focusing on board-level deficiencies rooted in historical legacies, regulatory fragmentation, and systemic failures that elevate default risk and undermine financial stability. It proposes harmonized </w:t>
      </w:r>
      <w:r>
        <w:lastRenderedPageBreak/>
        <w:t>reforms to align with global standards (e.g., OECD, 2023; Basel Committee on Banking Supervision [BCBS], 2010), filling a gap in empirical, Nigeria-specific insights (</w:t>
      </w:r>
      <w:proofErr w:type="spellStart"/>
      <w:r>
        <w:t>Efunniyi</w:t>
      </w:r>
      <w:proofErr w:type="spellEnd"/>
      <w:r>
        <w:t xml:space="preserve"> et al., 2024; </w:t>
      </w:r>
      <w:proofErr w:type="spellStart"/>
      <w:r>
        <w:t>Kafidipe</w:t>
      </w:r>
      <w:proofErr w:type="spellEnd"/>
      <w:r>
        <w:t>, 2021).</w:t>
      </w:r>
    </w:p>
    <w:p w14:paraId="03C940A1" w14:textId="77777777" w:rsidR="006A0CE1" w:rsidRDefault="006A0CE1" w:rsidP="006A0CE1">
      <w:r>
        <w:t>The research questions (RQs) are:</w:t>
      </w:r>
    </w:p>
    <w:p w14:paraId="5AC125A5" w14:textId="77777777" w:rsidR="006A0CE1" w:rsidRDefault="006A0CE1" w:rsidP="006A0CE1">
      <w:r>
        <w:t xml:space="preserve">RQ1: To what extent does adherence to robust governance practices, such as compliance with CBN Guidelines 2023, independent board oversight, and effective risk management, influence NPL ratios in Nigerian commercial banks within a fragmented regulatory framework? </w:t>
      </w:r>
    </w:p>
    <w:p w14:paraId="3ECE1DE2" w14:textId="77777777" w:rsidR="006A0CE1" w:rsidRDefault="006A0CE1" w:rsidP="006A0CE1">
      <w:r>
        <w:t xml:space="preserve">RQ2: How does the independence of audit committees affect NPL ratios in Nigerian commercial banks? </w:t>
      </w:r>
    </w:p>
    <w:p w14:paraId="045D3302" w14:textId="77777777" w:rsidR="006A0CE1" w:rsidRDefault="006A0CE1" w:rsidP="006A0CE1">
      <w:r>
        <w:t xml:space="preserve">RQ3: What is the impact of management qualifications, defined by banking experience and governance training, on NPL ratios in Nigerian commercial banks? </w:t>
      </w:r>
    </w:p>
    <w:p w14:paraId="067A8748" w14:textId="77777777" w:rsidR="006A0CE1" w:rsidRDefault="006A0CE1" w:rsidP="006A0CE1">
      <w:r>
        <w:t xml:space="preserve">RQ4: How does the clarity and enforcement consistency of regulatory frameworks influence NPL ratios in Nigerian commercial banks? </w:t>
      </w:r>
    </w:p>
    <w:p w14:paraId="25A4876F" w14:textId="77777777" w:rsidR="006A0CE1" w:rsidRDefault="006A0CE1" w:rsidP="006A0CE1">
      <w:r>
        <w:t>These are tested through hypotheses (H1–H4), positing negative relationships between stronger governance elements (robust practices, audit independence, management qualifications, regulatory clarity) and NPL ratios, grounded in agency theory (Jensen &amp; Meckling, 1976) and stakeholder theory (Freeman, 1984).</w:t>
      </w:r>
    </w:p>
    <w:p w14:paraId="33EC8298" w14:textId="77777777" w:rsidR="006A0CE1" w:rsidRDefault="006A0CE1" w:rsidP="006A0CE1">
      <w:r>
        <w:t>The objectives (OBs) guide the inquiry:</w:t>
      </w:r>
    </w:p>
    <w:p w14:paraId="135ACFD2" w14:textId="77777777" w:rsidR="006A0CE1" w:rsidRDefault="006A0CE1" w:rsidP="006A0CE1">
      <w:r>
        <w:t xml:space="preserve">OB1: To examine the effectiveness of robust CG practices, including board oversight and risk management, in mitigating default risk via reduced NPL ratios. </w:t>
      </w:r>
    </w:p>
    <w:p w14:paraId="1DE37386" w14:textId="77777777" w:rsidR="006A0CE1" w:rsidRDefault="006A0CE1" w:rsidP="006A0CE1">
      <w:r>
        <w:t xml:space="preserve">OB2: To evaluate the role of independent audit committees in strengthening financial reporting and reducing NPL ratios. </w:t>
      </w:r>
    </w:p>
    <w:p w14:paraId="39D3930D" w14:textId="77777777" w:rsidR="006A0CE1" w:rsidRDefault="006A0CE1" w:rsidP="006A0CE1">
      <w:r>
        <w:t xml:space="preserve">OB3: To assess the influence of management qualifications on NPL ratios (aligned with RQ3 and H3, as inferred from the integrated analysis). </w:t>
      </w:r>
    </w:p>
    <w:p w14:paraId="04BD3C7B" w14:textId="77777777" w:rsidR="006A0CE1" w:rsidRDefault="006A0CE1" w:rsidP="006A0CE1">
      <w:r>
        <w:lastRenderedPageBreak/>
        <w:t xml:space="preserve">OB4: To formulate actionable recommendations for a harmonized CG framework to mitigate defaults and enhance resilience. </w:t>
      </w:r>
    </w:p>
    <w:p w14:paraId="6AC5FD98" w14:textId="77777777" w:rsidR="006A0CE1" w:rsidRDefault="006A0CE1" w:rsidP="006A0CE1">
      <w:r>
        <w:t xml:space="preserve">Key findings from Chapter 4 underscore pervasive CG deficiencies. Quantitatively, the overall </w:t>
      </w:r>
      <w:proofErr w:type="spellStart"/>
      <w:r>
        <w:t>TotalScore</w:t>
      </w:r>
      <w:proofErr w:type="spellEnd"/>
      <w:r>
        <w:t xml:space="preserve"> (M=57.5 out of 112) indicates moderate governance, with Tenet 4 (Transparency and Accountability) scoring lowest (M=1.8 on a 7-point scale), </w:t>
      </w:r>
      <w:proofErr w:type="spellStart"/>
      <w:r>
        <w:t>signaling</w:t>
      </w:r>
      <w:proofErr w:type="spellEnd"/>
      <w:r>
        <w:t xml:space="preserve"> severe opacity issues. Regression analyses supported all hypotheses, with Tenet 1 (β=-0.48, p&lt;0.001) and Tenet 2 (β=-0.40, p&lt;0.001) as strongest predictors of lower NPLs, explaining 48% of variance (Adjusted R²=0.48).</w:t>
      </w:r>
    </w:p>
    <w:p w14:paraId="489E91ED" w14:textId="77777777" w:rsidR="006A0CE1" w:rsidRDefault="006A0CE1" w:rsidP="006A0CE1">
      <w:r>
        <w:t xml:space="preserve"> Bank-level aggregations (n=9 banks) revealed strong negative correlations (e.g., Tenet 1-NPL r=-0.75, p&lt;0.01), with high-NPL banks like First Bank (12.9%) showing weaker scores. Qualitatively, themes from open-ended responses (e.g., Regulatory Confusion, 62% prevalence) and interviews (e.g., Risk Management Challenges, 90%) provided explanatory depth, highlighting mechanisms like patronage-driven loans and audit capture that inflate NPLs. Integration via joint displays (Table 4.9) revealed cross-cutting drivers: patronage (e.g., unqualified appointments via concentrated ownership) and fragmentation (e.g., conflicting codes enabling evasion), amplifying agency conflicts and eroding stakeholder trust.</w:t>
      </w:r>
    </w:p>
    <w:p w14:paraId="0651058C" w14:textId="77777777" w:rsidR="006A0CE1" w:rsidRDefault="006A0CE1" w:rsidP="006A0CE1">
      <w:r>
        <w:t xml:space="preserve">The chapter's structure proceeds as follows: Sections 5.2–5.5 discuss findings thematically by tenet/hypothesis/objective, integrating mixed-methods data with literature (e.g., relating to historical legacies from Chapter 1 and global benchmarks from Chapter 2). Section 5.6 synthesizes responses to RQs. Section 5.7 explores implications (theoretical, practical, policy), 5.8 addresses limitations and future research, and 5.9 concludes. Mixed-methods integration employs a convergent parallel design (Creswell &amp; Plano Clark, 2018), where quantitative patterns (e.g., correlations) are explained by qualitative narratives (e.g., interviewee excerpts on "undue influence"), triangulated with secondary data (e.g., CBN 2025 NPL reports) for robustness. </w:t>
      </w:r>
    </w:p>
    <w:p w14:paraId="6D4E742B" w14:textId="77777777" w:rsidR="006A0CE1" w:rsidRDefault="006A0CE1" w:rsidP="006A0CE1">
      <w:r>
        <w:lastRenderedPageBreak/>
        <w:t xml:space="preserve">Overarching insights emphasize that Nigeria's CG failures—rooted in colonial legacies and post-2004 consolidation—perpetuate a cycle of high NPLs (sector average 5.62% in April 2025, above 5% threshold), necessitating reforms like mandatory independent nomination committees and harmonized codes to reduce defaults and align with OECD principles (2023). These insights not only confirm the hypotheses but also highlight the interplay of historical, institutional, and cultural factors in emerging markets like Nigeria (Adegbite, 2014; </w:t>
      </w:r>
      <w:proofErr w:type="spellStart"/>
      <w:r>
        <w:t>Chinweoda</w:t>
      </w:r>
      <w:proofErr w:type="spellEnd"/>
      <w:r>
        <w:t xml:space="preserve"> et al., 2020).</w:t>
      </w:r>
    </w:p>
    <w:p w14:paraId="75CB8B2E" w14:textId="77777777" w:rsidR="006A0CE1" w:rsidRDefault="006A0CE1" w:rsidP="006A0CE1">
      <w:pPr>
        <w:pStyle w:val="Heading2"/>
      </w:pPr>
      <w:bookmarkStart w:id="2" w:name="_Toc211278960"/>
      <w:r>
        <w:t>5.2 Interpretation of Findings by CG Tenets</w:t>
      </w:r>
      <w:bookmarkEnd w:id="2"/>
    </w:p>
    <w:p w14:paraId="1CA763C4" w14:textId="77777777" w:rsidR="006A0CE1" w:rsidRDefault="006A0CE1" w:rsidP="006A0CE1">
      <w:r>
        <w:t>This section interprets the findings from Chapter 4 by organizing them around the four corporate governance (CG) tenets, mirroring the structure of the results chapter for logical flow. Each subsection integrates quantitative metrics (e.g., means, regressions, correlations, and bank-level aggregations) with qualitative themes from surveys and interviews, while relating them to the hypotheses (H1–H4) and objectives (OB1–OB4). Unexpected results, such as weaker predictive power for certain tenets, are discussed in context, drawing on cultural and institutional factors unique to Nigeria's banking sector. Comparisons to literature from Chapters 1 and 2 highlight how these findings extend or challenge existing knowledge, such as historical legacies of colonial frameworks (Elias, 2024) and post-2009 crisis analyses (Sanusi, 2009). Visual references to Chapter 4 figures (e.g., updating Figure 4.6's theme network to emphasize interconnections) aid integration, illustrating how patronage and regulatory fragmentation cross-cut tenets (as per Table 4.9's joint display). This thematic approach underscores the systemic nature of CG deficiencies, where quantitative patterns reveal associations, and qualitative narratives elucidate mechanisms, supporting a pragmatic mixed-methods synthesis (Creswell &amp; Plano Clark, 2018).</w:t>
      </w:r>
    </w:p>
    <w:p w14:paraId="5CAB1A03" w14:textId="77777777" w:rsidR="006A0CE1" w:rsidRDefault="006A0CE1" w:rsidP="006A0CE1"/>
    <w:p w14:paraId="2B11CDB1" w14:textId="77777777" w:rsidR="006A0CE1" w:rsidRDefault="006A0CE1" w:rsidP="006A0CE1">
      <w:pPr>
        <w:pStyle w:val="Heading3"/>
      </w:pPr>
      <w:bookmarkStart w:id="3" w:name="_Toc211278961"/>
      <w:r>
        <w:lastRenderedPageBreak/>
        <w:t>5.2.1 Bank Governance and Risk Management (Tenet 1) – H1, OB1</w:t>
      </w:r>
      <w:bookmarkEnd w:id="3"/>
    </w:p>
    <w:p w14:paraId="650CC8A7" w14:textId="77777777" w:rsidR="006A0CE1" w:rsidRDefault="006A0CE1" w:rsidP="006A0CE1">
      <w:r>
        <w:t xml:space="preserve">Tenet 1, focusing on risk management practices, board oversight of lending, and compliance with frameworks like CBN Guidelines 2023 and Basel III, emerges as the strongest quantitative predictor of reduced NPL ratios, fully supporting H1 and advancing OB1. The regression analysis yielded a robust β=-0.48 (p&lt;0.001), indicating that stronger perceived risk governance explains a significant portion of lower NPL variance in the model (Adjusted R²=0.48, </w:t>
      </w:r>
      <w:proofErr w:type="gramStart"/>
      <w:r>
        <w:t>F(7,222)=</w:t>
      </w:r>
      <w:proofErr w:type="gramEnd"/>
      <w:r>
        <w:t xml:space="preserve">30.45, p&lt;0.001). The low mean score (M=2.4, SD=1.0; 95% bootstrapped CI [2.2, 2.6]) reflects consensus on deficiencies, with bank-level correlations (r=-0.75, p&lt;0.01; Table 4.6a) showing inverse relationships: Low-NPL banks like Fidelity (Tenet 1 M=3.0, NPL=3.2%) contrast with high-NPL ones like First Bank (M=2.4, NPL=12.9%). Subgroup variations, such as lower scores in large banks (M=2.3 vs. 2.6 in medium; </w:t>
      </w:r>
      <w:proofErr w:type="gramStart"/>
      <w:r>
        <w:t>t(228)=</w:t>
      </w:r>
      <w:proofErr w:type="gramEnd"/>
      <w:r>
        <w:t>2.15, p=0.032), suggest that organizational complexity amplifies risk gaps, potentially due to dispersed operations hindering centralized controls.</w:t>
      </w:r>
    </w:p>
    <w:p w14:paraId="367AA834" w14:textId="77777777" w:rsidR="006A0CE1" w:rsidRDefault="006A0CE1" w:rsidP="006A0CE1"/>
    <w:p w14:paraId="1A939E32" w14:textId="77777777" w:rsidR="006A0CE1" w:rsidRDefault="006A0CE1" w:rsidP="006A0CE1">
      <w:r>
        <w:t>Qualitative themes reinforce and explain these patterns, with "Risk Management Challenges" dominating interviews (90%, n=9; 95% CI [0.55, 0.99]; Table 4.8b) and aligning with survey sub-themes like "lax lending practices" (n=45 in open-ended responses). Interviewees such as I2 (CEO) described lending as inherently uncertain ("50/50—no guarantee"), but attributed NPL inflation to patronage-driven approvals, where boards overlook weak KYC/CRC processes under political influence (I5: "Inadequate data for first-time borrowers"). This mechanistic insight elucidates the strong Tenet 1-Tenet 2 correlation (r=0.70, p&lt;0.01; Table 4.4), as unqualified boards (Tenet 2) fail to enforce risk protocols, perpetuating moral hazard (Abubakar, 2011). Survey responses echoed this, with 42% citing "Weak Enforcement" (n=59; CI [0.34, 0.50]), linking to infrastructure gaps that delay recovery (I8: "Lack of tracking tools").</w:t>
      </w:r>
    </w:p>
    <w:p w14:paraId="2C28ACB2" w14:textId="77777777" w:rsidR="006A0CE1" w:rsidRDefault="006A0CE1" w:rsidP="006A0CE1"/>
    <w:p w14:paraId="2F75FBE9" w14:textId="77777777" w:rsidR="006A0CE1" w:rsidRDefault="006A0CE1" w:rsidP="006A0CE1">
      <w:r>
        <w:t>Relating to literature, these findings extend Adegboye (2020), who documented NPLs reaching 20% in 2017 due to lax controls, by quantifying the governance-NPL nexus in a post-2023 context (sector NPL average 5.62% in April 2025, per CBN, 2025). They challenge global benchmarks like BCBS (2010), where Basel III emphasizes robust risk frameworks, highlighting Nigeria's lag amid economic volatility (e.g., 24.1% inflation control variable). Unexpectedly, Tenet 1's strength surpasses other tenets, possibly due to its direct operational tie to NPLs, unlike more abstract transparency (Tenet 4). However, qualitative data reveals cultural barriers: Patronage, rooted in colonial legacies of cronyism (</w:t>
      </w:r>
      <w:proofErr w:type="spellStart"/>
      <w:r>
        <w:t>Chinweoda</w:t>
      </w:r>
      <w:proofErr w:type="spellEnd"/>
      <w:r>
        <w:t xml:space="preserve"> et al., 2020; Elias, 2024), resists reforms, as seen in 2009's insider lending (Sanusi, 2009). Updating Figure 4.6's theme network, Risk Management Challenges connects centrally to Regulatory Multiplicity, illustrating how fragmented codes (Tenet 3) enable evasion of Basel compliance.</w:t>
      </w:r>
    </w:p>
    <w:p w14:paraId="5C4DEBEA" w14:textId="77777777" w:rsidR="006A0CE1" w:rsidRDefault="006A0CE1" w:rsidP="006A0CE1"/>
    <w:p w14:paraId="34605AC8" w14:textId="77777777" w:rsidR="006A0CE1" w:rsidRDefault="006A0CE1" w:rsidP="006A0CE1">
      <w:r>
        <w:t>Implications for OB1 include prioritizing AI-enhanced CRC systems and mandatory board risk training to mitigate defaults, potentially reducing systemic interventions like the 2009 bailout. Theoretically, this refines agency theory (Jensen &amp; Meckling, 1976) for emerging markets, where concentrated ownership exacerbates adverse selection (Stiglitz, 1987). Practically, banks could emulate low-NPL peers (e.g., Wema's 3.17% with M=2.8), fostering resilience amid projected 3.6% GDP growth (IMF, 2025).</w:t>
      </w:r>
    </w:p>
    <w:p w14:paraId="6F877E46" w14:textId="77777777" w:rsidR="006A0CE1" w:rsidRDefault="006A0CE1" w:rsidP="006A0CE1"/>
    <w:p w14:paraId="3C04388B" w14:textId="77777777" w:rsidR="006A0CE1" w:rsidRDefault="006A0CE1" w:rsidP="006A0CE1"/>
    <w:p w14:paraId="08FA02BE" w14:textId="77777777" w:rsidR="006A0CE1" w:rsidRDefault="006A0CE1" w:rsidP="006A0CE1">
      <w:pPr>
        <w:pStyle w:val="Heading3"/>
      </w:pPr>
      <w:bookmarkStart w:id="4" w:name="_Toc211278962"/>
      <w:r>
        <w:t>5.2.2 Corporate Governance and Bank Practice (Tenet 2) – H3, OB3</w:t>
      </w:r>
      <w:bookmarkEnd w:id="4"/>
    </w:p>
    <w:p w14:paraId="7A47E91E" w14:textId="77777777" w:rsidR="006A0CE1" w:rsidRDefault="006A0CE1" w:rsidP="006A0CE1">
      <w:r>
        <w:t xml:space="preserve">Tenet 2 addresses board practices, nomination committees, and management qualifications, supporting H3 (management qualifications reduce NPLs) and OB3 by demonstrating their impact on </w:t>
      </w:r>
      <w:r>
        <w:lastRenderedPageBreak/>
        <w:t xml:space="preserve">governance efficacy. Quantitatively, Tenet 2's β=-0.40 (p&lt;0.001) ranks second in predictive strength, with a higher mean (M=5.7, SD=1.3; CI [5.5, 5.9]) indicating relative strengths in board structures post-reforms, yet correlations with NPLs (r=-0.68, p&lt;0.05) and other tenets (e.g., r=0.70 with Tenet 1) reveal interdependencies. Bank-level data show variability: Stronger scores in medium banks (M=6.1 vs. 5.5 in large; </w:t>
      </w:r>
      <w:proofErr w:type="gramStart"/>
      <w:r>
        <w:t>F(3,226)=</w:t>
      </w:r>
      <w:proofErr w:type="gramEnd"/>
      <w:r>
        <w:t xml:space="preserve">4.85, p=0.003) suggest smaller institutions benefit from agile nominations, while role differences (e.g., auditors M=6.0 vs. risk managers M=5.4; </w:t>
      </w:r>
      <w:proofErr w:type="gramStart"/>
      <w:r>
        <w:t>F(7,222)=</w:t>
      </w:r>
      <w:proofErr w:type="gramEnd"/>
      <w:r>
        <w:t>2.98, p=0.005) highlight perceptual biases.</w:t>
      </w:r>
    </w:p>
    <w:p w14:paraId="33C729A6" w14:textId="77777777" w:rsidR="006A0CE1" w:rsidRDefault="006A0CE1" w:rsidP="006A0CE1"/>
    <w:p w14:paraId="7A95819E" w14:textId="77777777" w:rsidR="006A0CE1" w:rsidRDefault="006A0CE1" w:rsidP="006A0CE1">
      <w:r>
        <w:t>Qualitative integration via "Lack of Expertise" (60% interviews, n=6; CI [0.26, 0.88]; 48% surveys, n=67; CI [0.39, 0.57]) explains mechanisms: I9 (CEO) noted "family ties trump qualifications," linking to nepotism sub-themes (n=28 surveys) and concentrated ownership entrenching self-interest (Fernando et al., 2019). This elucidates how 61% of banks lack independent nomination committees (</w:t>
      </w:r>
      <w:proofErr w:type="spellStart"/>
      <w:r>
        <w:t>Ogbechie</w:t>
      </w:r>
      <w:proofErr w:type="spellEnd"/>
      <w:r>
        <w:t>, 2016), enabling unqualified appointments that weaken strategic oversight (I3: "Poor decisions from lack of expertise"). Survey "Stakeholder Influence" (25%, n=35; CI [0.18, 0.33]) further ties to agency problems, where political motivations prioritize connections over merit (Nwoko et al., 2022).</w:t>
      </w:r>
    </w:p>
    <w:p w14:paraId="549A9311" w14:textId="77777777" w:rsidR="006A0CE1" w:rsidRDefault="006A0CE1" w:rsidP="006A0CE1"/>
    <w:p w14:paraId="4908D901" w14:textId="77777777" w:rsidR="006A0CE1" w:rsidRDefault="006A0CE1" w:rsidP="006A0CE1">
      <w:r>
        <w:t xml:space="preserve">Literature linkages affirm these findings, extending Owolabi (2013) on post-consolidation collapses (e.g., Intercontinental Bank) by quantifying qualification-NPL links in 2025 data. They align with OECD (2023) principles on diverse boards but challenge them in Nigeria's context, where historical government interference (pre-1986; </w:t>
      </w:r>
      <w:proofErr w:type="spellStart"/>
      <w:r>
        <w:t>Chinweoda</w:t>
      </w:r>
      <w:proofErr w:type="spellEnd"/>
      <w:r>
        <w:t xml:space="preserve"> et al., 2020) persists via cronyism. An unexpected result is Tenet 2's moderate mean despite reforms, explained qualitatively by entrenched cultural barriers (e.g., I7: "Ownership influence hurts strategy"), where colonial legacies foster opacity (Elias, </w:t>
      </w:r>
      <w:r>
        <w:lastRenderedPageBreak/>
        <w:t>2024). Referencing Figure 4.5 (theme frequencies), Lack of Expertise's prevalence (48%) in large banks (52% vs. 40% medium; Table 4.7a) underscores scale effects.</w:t>
      </w:r>
    </w:p>
    <w:p w14:paraId="7379CF6E" w14:textId="77777777" w:rsidR="006A0CE1" w:rsidRDefault="006A0CE1" w:rsidP="006A0CE1"/>
    <w:p w14:paraId="2317A786" w14:textId="77777777" w:rsidR="006A0CE1" w:rsidRDefault="006A0CE1" w:rsidP="006A0CE1">
      <w:r>
        <w:t>For OB3, implications emphasize enforcing qualification criteria (e.g., CIBN certifications) and independent committees to curb NPLs, potentially mirroring EU models (EU, 2019). Theoretically, this enriches stakeholder theory (Freeman, 1984), showing how unqualified boards marginalize minority interests, amplifying defaults (425 failures since 1988; Udo, 2020). Policy-wise, CBN could mandate performance-linked appointments, reducing risks in volatile environments.</w:t>
      </w:r>
    </w:p>
    <w:p w14:paraId="5D827D32" w14:textId="77777777" w:rsidR="006A0CE1" w:rsidRDefault="006A0CE1" w:rsidP="006A0CE1"/>
    <w:p w14:paraId="7209C5DF" w14:textId="77777777" w:rsidR="006A0CE1" w:rsidRDefault="006A0CE1" w:rsidP="006A0CE1"/>
    <w:p w14:paraId="7BF8ECA0" w14:textId="77777777" w:rsidR="006A0CE1" w:rsidRDefault="006A0CE1" w:rsidP="006A0CE1">
      <w:pPr>
        <w:pStyle w:val="Heading3"/>
      </w:pPr>
      <w:bookmarkStart w:id="5" w:name="_Toc211278963"/>
      <w:r>
        <w:t>5.2.3 Regulatory Multiplicity (Tenet 3) – H4, OB3</w:t>
      </w:r>
      <w:bookmarkEnd w:id="5"/>
      <w:r>
        <w:t xml:space="preserve"> </w:t>
      </w:r>
    </w:p>
    <w:p w14:paraId="179AB6A1" w14:textId="77777777" w:rsidR="006A0CE1" w:rsidRDefault="006A0CE1" w:rsidP="006A0CE1">
      <w:r>
        <w:t>Tenet 3 examines regulatory frameworks' clarity and enforcement, supporting H4 (clarity reduces NPLs) and contributing to OB3 by highlighting multiplicity's role in governance gaps. Quantitative results show a moderate β=-0.32 (p&lt;0.001), with M=4.0 (SD=1.1; CI [3.8, 4.2]), indicating mixed perceptions, and correlations (r=-0.60 with NPLs, p&lt;0.05; r=0.48 with Tenet 1). Bank-level patterns reveal weaker scores in high-NPL banks (e.g., Ecobank M=3.8, NPL=9.5%), with no significant size differences (</w:t>
      </w:r>
      <w:proofErr w:type="gramStart"/>
      <w:r>
        <w:t>t(228)=</w:t>
      </w:r>
      <w:proofErr w:type="gramEnd"/>
      <w:r>
        <w:t>1.45, p=0.148), suggesting pervasive issues.</w:t>
      </w:r>
    </w:p>
    <w:p w14:paraId="255D05BF" w14:textId="77777777" w:rsidR="006A0CE1" w:rsidRDefault="006A0CE1" w:rsidP="006A0CE1">
      <w:r>
        <w:t>Qualitative "Regulatory Confusion" (62% surveys, n=87; CI [0.53, 0.70]; 80% interviews, n=8; CI [0.44, 0.97]) provides depth: I7 (Board Chair) criticized "too many regulations" (e.g., CAMA 2020 vs. NCCG 2018), enabling selective compliance via "Apply and Explain" loopholes. Sub-themes like code conflicts (n=45 surveys) explain how ambiguity delays enforcement (I4: "CBN sanctions lack teeth"), linking to Weak Enforcement (42% surveys).</w:t>
      </w:r>
    </w:p>
    <w:p w14:paraId="7CB24042" w14:textId="77777777" w:rsidR="006A0CE1" w:rsidRDefault="006A0CE1" w:rsidP="006A0CE1"/>
    <w:p w14:paraId="5D5815F1" w14:textId="77777777" w:rsidR="006A0CE1" w:rsidRDefault="006A0CE1" w:rsidP="006A0CE1">
      <w:r>
        <w:lastRenderedPageBreak/>
        <w:t>Literature comparisons critique multiplicity per Abdulmalik and Ahmad (2020), extending Osemeke and Adegbite (2016) (67% respondents noting disparities) by linking to 2025 NPLs (e.g., sector 5.62%). They echo Chapter 1's historical analysis, where colonial ordinances (1912) layered conflicting codes, fostering ambiguity (Ofo, 2013). Unexpectedly, Tenet 3's weaker β (vs. Tenet 1) may stem from adaptive evasion, as qualitative data reveals cultural tolerance for "picking what suits" (I7), rooted in weak judicial systems (OECD, 2001). Updating Figure 4.7's conceptual model, multiplicity bridges to patronage, amplifying risks.</w:t>
      </w:r>
    </w:p>
    <w:p w14:paraId="174EA308" w14:textId="77777777" w:rsidR="006A0CE1" w:rsidRDefault="006A0CE1" w:rsidP="006A0CE1">
      <w:r>
        <w:t>Implications for OB3 include harmonizing codes (e.g., unified FRCN-CBN framework) to enhance clarity, reducing NPLs via consistent enforcement (Nwoke et al., 2023). Theoretically, this refines regulatory theory in emerging markets, where multiplicity exacerbates agency costs.</w:t>
      </w:r>
    </w:p>
    <w:p w14:paraId="3ED133A3" w14:textId="77777777" w:rsidR="006A0CE1" w:rsidRDefault="006A0CE1" w:rsidP="006A0CE1"/>
    <w:p w14:paraId="7AB6C3DC" w14:textId="77777777" w:rsidR="006A0CE1" w:rsidRDefault="006A0CE1" w:rsidP="006A0CE1"/>
    <w:p w14:paraId="5084D258" w14:textId="77777777" w:rsidR="006A0CE1" w:rsidRDefault="006A0CE1" w:rsidP="006A0CE1">
      <w:pPr>
        <w:pStyle w:val="Heading3"/>
      </w:pPr>
      <w:bookmarkStart w:id="6" w:name="_Toc211278964"/>
      <w:r>
        <w:t>5.2.4 Transparency and Accountability (Tenet 4) – H2, OB2</w:t>
      </w:r>
      <w:bookmarkEnd w:id="6"/>
    </w:p>
    <w:p w14:paraId="12866ABD" w14:textId="77777777" w:rsidR="006A0CE1" w:rsidRDefault="006A0CE1" w:rsidP="006A0CE1">
      <w:r>
        <w:t xml:space="preserve">Tenet 4, covering audit independence, whistleblowing, and disclosure, supports H2 (audit independence reduces NPLs) and OB2, though with the weakest quantitative impact (β=-0.28, p&lt;0.001), and lowest mean (M=1.8, SD=0.9; CI [1.6, 2.0]). Correlations (r=-0.62 with NPLs, p&lt;0.01; r=0.50 with Tenet 2) indicate linkages, with stronger scores in medium banks (M=2.2 vs. 1.7; </w:t>
      </w:r>
      <w:proofErr w:type="gramStart"/>
      <w:r>
        <w:t>t(228)=</w:t>
      </w:r>
      <w:proofErr w:type="gramEnd"/>
      <w:r>
        <w:t xml:space="preserve">3.01, p=0.003) and auditors (M=2.3 vs. 1.6 sales reps; </w:t>
      </w:r>
      <w:proofErr w:type="gramStart"/>
      <w:r>
        <w:t>F(7,222)=</w:t>
      </w:r>
      <w:proofErr w:type="gramEnd"/>
      <w:r>
        <w:t>5.01, p=0.025).</w:t>
      </w:r>
    </w:p>
    <w:p w14:paraId="49B9964C" w14:textId="77777777" w:rsidR="006A0CE1" w:rsidRDefault="006A0CE1" w:rsidP="006A0CE1">
      <w:r>
        <w:t>Qualitative "Transparency Issues" (70% interviews, n=7; CI [0.35, 0.93]; "Need for Transparency" 38% surveys, n=53; CI [0.30, 0.47]) explain: I6 (Auditor) noted "influence by shareholders," with audit capture sub-themes (n=25 surveys) linking to fraud concealment (</w:t>
      </w:r>
      <w:proofErr w:type="spellStart"/>
      <w:r>
        <w:t>Olojede</w:t>
      </w:r>
      <w:proofErr w:type="spellEnd"/>
      <w:r>
        <w:t xml:space="preserve"> et al., 2020). This elucidates weak whistleblowing (I4: "Stifles reporting"), tying to 2009 crisis opacity (Sanusi, 2009).</w:t>
      </w:r>
    </w:p>
    <w:p w14:paraId="6FC7BFF1" w14:textId="77777777" w:rsidR="006A0CE1" w:rsidRDefault="006A0CE1" w:rsidP="006A0CE1"/>
    <w:p w14:paraId="5D1B74B0" w14:textId="77777777" w:rsidR="006A0CE1" w:rsidRDefault="006A0CE1" w:rsidP="006A0CE1">
      <w:r>
        <w:lastRenderedPageBreak/>
        <w:t>Literature ties to Healy and Palepu (2001) on disclosure's role, extending Adegbite (2014) on compromised committees under CAMA 359(4). Unexpected weak β reflects entrenched barriers: Qualitative cultural norms (e.g., "undue influence" I1) resist transparency, per colonial legacies (Ugochukwu, 2000). Referencing Figure 4.6, Transparency Issues connects to Risk Challenges, showing opacity masks NPLs.</w:t>
      </w:r>
    </w:p>
    <w:p w14:paraId="0158729C" w14:textId="77777777" w:rsidR="006A0CE1" w:rsidRDefault="006A0CE1" w:rsidP="006A0CE1">
      <w:r>
        <w:t>For OB2, implications include robust whistleblowing and independent audits to restore trust, aligning with EU protections (2019). Theoretically, this advances stakeholder theory, where opacity erodes confidence (Freeman, 1984), driving withdrawals.</w:t>
      </w:r>
    </w:p>
    <w:p w14:paraId="39318903" w14:textId="77777777" w:rsidR="006A0CE1" w:rsidRDefault="006A0CE1" w:rsidP="006A0CE1"/>
    <w:p w14:paraId="3C6216BA" w14:textId="77777777" w:rsidR="006A0CE1" w:rsidRDefault="006A0CE1" w:rsidP="006A0CE1">
      <w:pPr>
        <w:pStyle w:val="Heading2"/>
      </w:pPr>
      <w:bookmarkStart w:id="7" w:name="_Toc211278965"/>
      <w:r>
        <w:t>5.6 Addressing the Research Questions Solely</w:t>
      </w:r>
      <w:bookmarkEnd w:id="7"/>
    </w:p>
    <w:p w14:paraId="1A0EAC53" w14:textId="77777777" w:rsidR="006A0CE1" w:rsidRDefault="006A0CE1" w:rsidP="006A0CE1">
      <w:r>
        <w:t>This section provides a focused synthesis of the evidence from Chapter 4 to directly answer the research questions (RQ1–RQ4), adhering strictly to the results without broader interpretation. Structured by each research question, it integrates quantitative metrics (e.g., regression coefficients, correlations, means, and bank-level data) and qualitative themes (from surveys and interviews) to confirm the hypotheses (H1–H4). The responses draw on data from 230 questionnaire responses, 10 semi-structured interviews, and secondary sources (e.g., CBN 2025, NDIC 2024), triangulated for robustness. A summary table consolidates key evidence, ensuring clarity and alignment with the study’s mixed-methods approach. The section concludes by affirming the hypotheses and setting the stage for subsequent discussions on implications.</w:t>
      </w:r>
    </w:p>
    <w:p w14:paraId="3FF59BF5" w14:textId="77777777" w:rsidR="006A0CE1" w:rsidRDefault="006A0CE1" w:rsidP="006A0CE1">
      <w:pPr>
        <w:pStyle w:val="Heading3"/>
      </w:pPr>
      <w:bookmarkStart w:id="8" w:name="_Toc211278966"/>
      <w:r>
        <w:lastRenderedPageBreak/>
        <w:t>5.6.1 RQ1: To What Extent Does Adherence to Robust Governance Practices, Such as Compliance with CBN Guidelines 2023, Independent Board Oversight, and Effective Risk Management, Influence Non-Performing Loan (NPL) Ratios in Nigerian Commercial Banks Within a Fragmented Regulatory Framework?</w:t>
      </w:r>
      <w:bookmarkEnd w:id="8"/>
    </w:p>
    <w:p w14:paraId="4C6CDB7F" w14:textId="77777777" w:rsidR="006A0CE1" w:rsidRDefault="006A0CE1" w:rsidP="006A0CE1">
      <w:r>
        <w:t>Quantitative evidence strongly supports H1, demonstrating that robust governance practices, encompassing risk management and compliance with CBN Guidelines 2023, significantly reduce NPL ratios. The regression analysis (Table 4.5) shows Tenet 1 (Bank Governance and Risk Management) with the highest predictive power (β=-0.48, p&lt;0.001), indicating that a one-unit increase in perceived governance effectiveness reduces NPL ratios by approximately 0.48 standard deviations, contributing to the model’s 48% explained variance (Adjusted R²=0.48). Bank-level correlations (Table 4.6) reinforce this, with a strong negative relationship between Tenet 1 scores and NPLs (r=-0.75, p&lt;0.01; 95% bootstrapped CI [-0.85, -0.65]). For example, Fidelity Bank (Tenet 1 M=3.0, NPL=3.2% in Q1 2025) and Wema Bank (M=2.8, NPL=3.17% in H1 2025) exhibit stronger risk governance and lower NPLs, contrasting with First Bank (M=2.4, NPL=12.9%) and Ecobank Nigeria (M=2.1, NPL=9.5%). The low mean score for Tenet 1 (M=2.4, SD=1.0; 95% CI [2.2, 2.6]; Table 4.2) indicates widespread concerns about risk management deficiencies across the sector.</w:t>
      </w:r>
    </w:p>
    <w:p w14:paraId="072D7AA5" w14:textId="77777777" w:rsidR="006A0CE1" w:rsidRDefault="006A0CE1" w:rsidP="006A0CE1">
      <w:r>
        <w:t>Qualitative findings align, with the "Risk Management Challenges" theme prevalent in 90% of interviews (n=9; 95% CI [0.55, 0.99]; Table 4.8). Interviewee I2 (CEO) stated, "Risk assets are loans given out, but it’s 50/50—no guarantee of income," highlighting inadequate KYC and CRC processes. Survey responses echoed this, with 45 respondents citing "lax lending practices" as a sub-theme of "Weak Enforcement" (42%, n=59; CI [0.34, 0.50]; Table 4.7). These narratives confirm that poor risk controls, such as approving risky loans without rigorous checks, drive elevated NPLs, particularly in banks with weaker Tenet 1 scores.</w:t>
      </w:r>
    </w:p>
    <w:p w14:paraId="76C6C7CE" w14:textId="77777777" w:rsidR="006A0CE1" w:rsidRDefault="006A0CE1" w:rsidP="006A0CE1">
      <w:r>
        <w:lastRenderedPageBreak/>
        <w:t>Overall Answer: Robust governance practices, including compliance with CBN Guidelines 2023 and effective risk management, significantly lower NPL ratios in Nigerian commercial banks, despite a fragmented regulatory framework, as evidenced by strong quantitative predictors and qualitative accounts of deficient risk controls.</w:t>
      </w:r>
    </w:p>
    <w:p w14:paraId="42EC2F0F" w14:textId="77777777" w:rsidR="006A0CE1" w:rsidRDefault="006A0CE1" w:rsidP="006A0CE1">
      <w:pPr>
        <w:pStyle w:val="Heading3"/>
      </w:pPr>
      <w:bookmarkStart w:id="9" w:name="_Toc211278967"/>
      <w:r>
        <w:t>5.6.2 RQ2: How Does the Independence of Audit Committees Affect Non-Performing Loan (NPL) Ratios in Nigerian Commercial Banks?</w:t>
      </w:r>
      <w:bookmarkEnd w:id="9"/>
    </w:p>
    <w:p w14:paraId="79D62AA3" w14:textId="77777777" w:rsidR="006A0CE1" w:rsidRDefault="006A0CE1" w:rsidP="006A0CE1">
      <w:r>
        <w:t>H2 is supported, with quantitative and qualitative evidence confirming that audit committee independence reduces NPL ratios by enhancing financial reporting integrity. Tenet 4 (Transparency and Accountability) shows a significant negative relationship with NPLs (β=-0.28, p&lt;0.001; Table 4.5), though it is the weakest predictor among tenets, suggesting entrenched challenges. The bank-level correlation (r=-0.62, p&lt;0.01; 95% CI [-0.78, -0.46]; Table 4.6a) links higher transparency scores to lower NPLs, as seen in Fidelity (Tenet 4 M=1.0, NPL=3.2%) and Wema (M=1.6, NPL=3.17%), compared to First Bank (M=2.0, NPL=12.9%) and Ecobank (M=1.5, NPL=9.5%). The low mean score for Tenet 4 (M=1.8, SD=0.9; 95% CI [1.6, 2.0]; Table 4.2) underscores pervasive transparency deficits, particularly in audit independence.</w:t>
      </w:r>
    </w:p>
    <w:p w14:paraId="282EA767" w14:textId="77777777" w:rsidR="006A0CE1" w:rsidRDefault="006A0CE1" w:rsidP="006A0CE1">
      <w:r>
        <w:t>Qualitatively, the "Transparency Issues" theme (70% interviews, n=7; 95% CI [0.35, 0.93]; Table 4.8) and "Need for Transparency" (38% surveys, n=53; CI [0.30, 0.47]; Table 4.7) highlight compromised audit committees. Interviewee I6 (Auditor) noted, "Audit process is transparent but influenced by shareholders," with sub-themes of audit capture (n=25 surveys) and weak whistleblowing (n=4 interviews) explaining how shareholder dominance undermines oversight, allowing fraud concealment that inflates NPLs. This aligns with survey findings, where auditors emphasized transparency issues more (50% prevalence) than sales reps (30%; χ</w:t>
      </w:r>
      <w:proofErr w:type="gramStart"/>
      <w:r>
        <w:t>²(1)=</w:t>
      </w:r>
      <w:proofErr w:type="gramEnd"/>
      <w:r>
        <w:t xml:space="preserve">5.01, p=0.025; Table 4.7). Independent audit committees reduce NPL ratios by improving transparency and curbing fraud, though their impact is </w:t>
      </w:r>
      <w:r>
        <w:lastRenderedPageBreak/>
        <w:t>limited by shareholder influence and weak whistleblowing, as shown by moderate quantitative effects and qualitative accounts of audit capture.</w:t>
      </w:r>
    </w:p>
    <w:p w14:paraId="20D8DB62" w14:textId="77777777" w:rsidR="006A0CE1" w:rsidRDefault="006A0CE1" w:rsidP="006A0CE1">
      <w:pPr>
        <w:pStyle w:val="Heading3"/>
      </w:pPr>
      <w:bookmarkStart w:id="10" w:name="_Toc211278968"/>
      <w:r>
        <w:t>5.6.3 RQ3: What Is the Impact of Management Qualifications, Defined by Banking Experience and Governance Training, on Non-Performing Loan (NPL) Ratios in Nigerian Commercial Banks?</w:t>
      </w:r>
      <w:bookmarkEnd w:id="10"/>
    </w:p>
    <w:p w14:paraId="3A650496" w14:textId="77777777" w:rsidR="006A0CE1" w:rsidRDefault="006A0CE1" w:rsidP="006A0CE1">
      <w:r>
        <w:t>H3 is confirmed, with evidence linking qualified management to lower NPL ratios through enhanced oversight and decision-making. Tenet 2 (Corporate Governance and Bank Practice) has a strong negative regression coefficient (β=-0.40, p&lt;0.001; Table 4.5), indicating that better-qualified management significantly reduces NPLs. The bank-level correlation (r=-0.68, p&lt;0.05; 95% CI [-0.82, -0.54]; Table 4.6a) supports this, with banks like Zenith (Tenet 2 M=5.9, NPL=4.7%) and UBA (M=5.8, NPL=5.58%) showing stronger scores and moderate NPLs, versus First Bank (M=5.3, NPL=12.9%). The relatively high mean (M=5.7, SD=1.3; 95% CI [5.5, 5.9]; Table 4.2) suggests improvements post-reforms, though deficiencies persist.</w:t>
      </w:r>
    </w:p>
    <w:p w14:paraId="506DBAFE" w14:textId="77777777" w:rsidR="006A0CE1" w:rsidRDefault="006A0CE1" w:rsidP="006A0CE1">
      <w:r>
        <w:t>Qualitative data, via the "Lack of Expertise" theme (60% interviews, n=6; 95% CI [0.26, 0.88]; 48% surveys, n=67; CI [0.39, 0.57]; Tables 4.7–4.8), detail how unqualified appointments increase NPLs. Interviewee I9 (CEO) stated, "Directors lack expertise; family ties trump qualifications," with nepotism (n=28 surveys) and weak nomination committees (n=3 interviews) as sub-themes, indicating that politically motivated or underqualified appointees impair risk assessment. Risk managers (60% prevalence) cited this more than auditors (40%; χ</w:t>
      </w:r>
      <w:proofErr w:type="gramStart"/>
      <w:r>
        <w:t>²(1)=</w:t>
      </w:r>
      <w:proofErr w:type="gramEnd"/>
      <w:r>
        <w:t>3.89, p=0.049; Table 4.7a), reflecting operational impacts.</w:t>
      </w:r>
    </w:p>
    <w:p w14:paraId="1CAB8D93" w14:textId="77777777" w:rsidR="006A0CE1" w:rsidRDefault="006A0CE1" w:rsidP="006A0CE1">
      <w:r>
        <w:t>Overall Answer: Management qualifications, defined by banking experience and governance training, significantly reduce NPL ratios by strengthening oversight, though nepotism and weak nomination processes limit effectiveness, as evidenced by quantitative correlations and qualitative narratives.</w:t>
      </w:r>
    </w:p>
    <w:p w14:paraId="7C62F812" w14:textId="77777777" w:rsidR="006A0CE1" w:rsidRDefault="006A0CE1" w:rsidP="006A0CE1">
      <w:pPr>
        <w:pStyle w:val="Heading3"/>
      </w:pPr>
      <w:bookmarkStart w:id="11" w:name="_Toc211278969"/>
      <w:r>
        <w:lastRenderedPageBreak/>
        <w:t>5.6.4 RQ4: How Does the Clarity and Enforcement Consistency of Regulatory Frameworks Influence Non-Performing Loan (NPL) Ratios in Nigerian Commercial Banks?</w:t>
      </w:r>
      <w:bookmarkEnd w:id="11"/>
    </w:p>
    <w:p w14:paraId="7BD3C92A" w14:textId="77777777" w:rsidR="006A0CE1" w:rsidRDefault="006A0CE1" w:rsidP="006A0CE1">
      <w:r>
        <w:t>H4 is supported, with quantitative and qualitative data showing that clear and consistently enforced regulatory frameworks reduce NPL ratios. Tenet 3 (Regulatory Multiplicity) has a significant negative regression coefficient (β=-0.32, p&lt;0.001; Table 4.5), indicating that clearer regulations lower NPLs. The bank-level correlation (r=-0.60, p&lt;0.05; 95% CI [-0.76, -0.44]; Table 4.6a) aligns, with stronger scores in low-NPL banks (e.g., Wema M=4.2, NPL=3.17%) versus high-NPL ones (e.g., Ecobank M=3.8, NPL=9.5%). The moderate mean (M=4.0, SD=1.1; 95% CI [3.8, 4.2]; Table 4.2) reflects mixed perceptions of regulatory clarity.</w:t>
      </w:r>
    </w:p>
    <w:p w14:paraId="06D94F6A" w14:textId="77777777" w:rsidR="006A0CE1" w:rsidRDefault="006A0CE1" w:rsidP="006A0CE1">
      <w:r>
        <w:t>Qualitatively, "Regulatory Confusion" dominates surveys (62%, n=87; 95% CI [0.53, 0.70]; Table 4.7) and interviews (80%, n=8; 95% CI [0.44, 0.97]; Table 4.8). Interviewee I7 (Board Chair) noted, "Too many regulations make it confusing; banks pick what suits them," with sub-themes of code conflicts (n=45 surveys) and enforcement gaps (n=6 interviews) highlighting how overlapping codes (e.g., CAMA 2020 vs. NCCG 2018) enable evasion. Regulators emphasized this more (75% prevalence) than bankers (58%; χ</w:t>
      </w:r>
      <w:proofErr w:type="gramStart"/>
      <w:r>
        <w:t>²(1)=</w:t>
      </w:r>
      <w:proofErr w:type="gramEnd"/>
      <w:r>
        <w:t>4.12, p=0.042; Table 4.7a).</w:t>
      </w:r>
    </w:p>
    <w:p w14:paraId="59C8526C" w14:textId="77777777" w:rsidR="006A0CE1" w:rsidRDefault="006A0CE1" w:rsidP="006A0CE1">
      <w:r>
        <w:t>Overall Answer: Clear and consistently enforced regulatory frameworks reduce NPL ratios by minimizing ambiguity, though multiplicity and weak enforcement enable selective compliance, as shown by moderate quantitative effects and qualitative accounts of regulatory confusion.</w:t>
      </w:r>
    </w:p>
    <w:p w14:paraId="750EECEC" w14:textId="77777777" w:rsidR="006A0CE1" w:rsidRDefault="006A0CE1" w:rsidP="006A0CE1"/>
    <w:p w14:paraId="58A404F5" w14:textId="77777777" w:rsidR="006A0CE1" w:rsidRDefault="006A0CE1" w:rsidP="006A0CE1">
      <w:pPr>
        <w:pStyle w:val="Heading3"/>
        <w:sectPr w:rsidR="006A0CE1" w:rsidSect="006A0CE1">
          <w:pgSz w:w="12240" w:h="15840"/>
          <w:pgMar w:top="1134" w:right="1134" w:bottom="1134" w:left="1134" w:header="0" w:footer="0" w:gutter="0"/>
          <w:cols w:space="720"/>
          <w:formProt w:val="0"/>
          <w:docGrid w:linePitch="326"/>
        </w:sectPr>
      </w:pPr>
      <w:bookmarkStart w:id="12" w:name="_Toc211278970"/>
      <w:r>
        <w:t>5.6.5 Summary Table</w:t>
      </w:r>
      <w:bookmarkEnd w:id="12"/>
    </w:p>
    <w:tbl>
      <w:tblPr>
        <w:tblW w:w="14034" w:type="dxa"/>
        <w:tblInd w:w="-5" w:type="dxa"/>
        <w:tblLayout w:type="fixed"/>
        <w:tblLook w:val="04A0" w:firstRow="1" w:lastRow="0" w:firstColumn="1" w:lastColumn="0" w:noHBand="0" w:noVBand="1"/>
      </w:tblPr>
      <w:tblGrid>
        <w:gridCol w:w="3224"/>
        <w:gridCol w:w="3297"/>
        <w:gridCol w:w="3827"/>
        <w:gridCol w:w="3686"/>
      </w:tblGrid>
      <w:tr w:rsidR="006A0CE1" w14:paraId="583BF8C2" w14:textId="77777777" w:rsidTr="00727D26">
        <w:tc>
          <w:tcPr>
            <w:tcW w:w="3224" w:type="dxa"/>
            <w:tcBorders>
              <w:top w:val="single" w:sz="4" w:space="0" w:color="FFE599"/>
              <w:left w:val="single" w:sz="4" w:space="0" w:color="FFE599"/>
              <w:bottom w:val="single" w:sz="12" w:space="0" w:color="FFC000"/>
              <w:right w:val="single" w:sz="4" w:space="0" w:color="FFE599"/>
            </w:tcBorders>
          </w:tcPr>
          <w:p w14:paraId="275F0226" w14:textId="77777777" w:rsidR="006A0CE1" w:rsidRDefault="006A0CE1" w:rsidP="00727D26">
            <w:pPr>
              <w:pStyle w:val="TableHeading"/>
            </w:pPr>
            <w:r>
              <w:lastRenderedPageBreak/>
              <w:t>Research Question</w:t>
            </w:r>
          </w:p>
        </w:tc>
        <w:tc>
          <w:tcPr>
            <w:tcW w:w="3297" w:type="dxa"/>
            <w:tcBorders>
              <w:top w:val="single" w:sz="4" w:space="0" w:color="FFE599"/>
              <w:left w:val="single" w:sz="4" w:space="0" w:color="FFE599"/>
              <w:bottom w:val="single" w:sz="12" w:space="0" w:color="FFC000"/>
              <w:right w:val="single" w:sz="4" w:space="0" w:color="FFE599"/>
            </w:tcBorders>
          </w:tcPr>
          <w:p w14:paraId="02E228CD" w14:textId="77777777" w:rsidR="006A0CE1" w:rsidRDefault="006A0CE1" w:rsidP="00727D26">
            <w:pPr>
              <w:pStyle w:val="TableHeading"/>
            </w:pPr>
            <w:r>
              <w:t>Key Evidence from Quantitative</w:t>
            </w:r>
          </w:p>
        </w:tc>
        <w:tc>
          <w:tcPr>
            <w:tcW w:w="3827" w:type="dxa"/>
            <w:tcBorders>
              <w:top w:val="single" w:sz="4" w:space="0" w:color="FFE599"/>
              <w:left w:val="single" w:sz="4" w:space="0" w:color="FFE599"/>
              <w:bottom w:val="single" w:sz="12" w:space="0" w:color="FFC000"/>
              <w:right w:val="single" w:sz="4" w:space="0" w:color="FFE599"/>
            </w:tcBorders>
          </w:tcPr>
          <w:p w14:paraId="3943EE68" w14:textId="77777777" w:rsidR="006A0CE1" w:rsidRDefault="006A0CE1" w:rsidP="00727D26">
            <w:pPr>
              <w:pStyle w:val="TableHeading"/>
            </w:pPr>
            <w:r>
              <w:t>Key Evidence from Qualitative</w:t>
            </w:r>
          </w:p>
        </w:tc>
        <w:tc>
          <w:tcPr>
            <w:tcW w:w="3686" w:type="dxa"/>
            <w:tcBorders>
              <w:top w:val="single" w:sz="4" w:space="0" w:color="FFE599"/>
              <w:left w:val="single" w:sz="4" w:space="0" w:color="FFE599"/>
              <w:bottom w:val="single" w:sz="12" w:space="0" w:color="FFC000"/>
              <w:right w:val="single" w:sz="4" w:space="0" w:color="FFE599"/>
            </w:tcBorders>
          </w:tcPr>
          <w:p w14:paraId="7E1DCC85" w14:textId="77777777" w:rsidR="006A0CE1" w:rsidRDefault="006A0CE1" w:rsidP="00727D26">
            <w:pPr>
              <w:pStyle w:val="TableHeading"/>
            </w:pPr>
            <w:r>
              <w:t>Overall Answer</w:t>
            </w:r>
          </w:p>
        </w:tc>
      </w:tr>
      <w:tr w:rsidR="006A0CE1" w14:paraId="09656D50" w14:textId="77777777" w:rsidTr="00727D26">
        <w:tc>
          <w:tcPr>
            <w:tcW w:w="3224" w:type="dxa"/>
            <w:tcBorders>
              <w:top w:val="single" w:sz="4" w:space="0" w:color="FFE599"/>
              <w:left w:val="single" w:sz="4" w:space="0" w:color="FFE599"/>
              <w:bottom w:val="single" w:sz="4" w:space="0" w:color="FFE599"/>
              <w:right w:val="single" w:sz="4" w:space="0" w:color="FFE599"/>
            </w:tcBorders>
          </w:tcPr>
          <w:p w14:paraId="0FC320A4" w14:textId="77777777" w:rsidR="006A0CE1" w:rsidRDefault="006A0CE1" w:rsidP="00727D26">
            <w:pPr>
              <w:pStyle w:val="TableContents"/>
            </w:pPr>
            <w:r>
              <w:rPr>
                <w:rStyle w:val="Strong"/>
              </w:rPr>
              <w:t>RQ1</w:t>
            </w:r>
            <w:r>
              <w:t>: To what extent does adherence to robust governance practices, such as compliance with CBN Guidelines 2023, independent board oversight, and effective risk management, influence NPL ratios in Nigerian commercial banks within a fragmented regulatory framework?</w:t>
            </w:r>
          </w:p>
        </w:tc>
        <w:tc>
          <w:tcPr>
            <w:tcW w:w="3297" w:type="dxa"/>
            <w:tcBorders>
              <w:top w:val="single" w:sz="4" w:space="0" w:color="FFE599"/>
              <w:left w:val="single" w:sz="4" w:space="0" w:color="FFE599"/>
              <w:bottom w:val="single" w:sz="4" w:space="0" w:color="FFE599"/>
              <w:right w:val="single" w:sz="4" w:space="0" w:color="FFE599"/>
            </w:tcBorders>
          </w:tcPr>
          <w:p w14:paraId="4BC7F836" w14:textId="77777777" w:rsidR="006A0CE1" w:rsidRDefault="006A0CE1" w:rsidP="00727D26">
            <w:pPr>
              <w:pStyle w:val="TableContents"/>
            </w:pPr>
            <w:r>
              <w:t>β=-0.48 (p&lt;0.001) for Tenet 1; r=-0.75 (p&lt;0.01) bank-level; Fidelity (M=3.0, NPL=3.2%) vs. First Bank (M=2.4, NPL=12.9%).</w:t>
            </w:r>
          </w:p>
        </w:tc>
        <w:tc>
          <w:tcPr>
            <w:tcW w:w="3827" w:type="dxa"/>
            <w:tcBorders>
              <w:top w:val="single" w:sz="4" w:space="0" w:color="FFE599"/>
              <w:left w:val="single" w:sz="4" w:space="0" w:color="FFE599"/>
              <w:bottom w:val="single" w:sz="4" w:space="0" w:color="FFE599"/>
              <w:right w:val="single" w:sz="4" w:space="0" w:color="FFE599"/>
            </w:tcBorders>
          </w:tcPr>
          <w:p w14:paraId="518A1824" w14:textId="77777777" w:rsidR="006A0CE1" w:rsidRDefault="006A0CE1" w:rsidP="00727D26">
            <w:pPr>
              <w:pStyle w:val="TableContents"/>
            </w:pPr>
            <w:r>
              <w:t>Risk Management Challenges (90%, n=9 interviews): "Risk assets are 50/50" (I2); lax lending practices (n=45 surveys).</w:t>
            </w:r>
          </w:p>
        </w:tc>
        <w:tc>
          <w:tcPr>
            <w:tcW w:w="3686" w:type="dxa"/>
            <w:tcBorders>
              <w:top w:val="single" w:sz="4" w:space="0" w:color="FFE599"/>
              <w:left w:val="single" w:sz="4" w:space="0" w:color="FFE599"/>
              <w:bottom w:val="single" w:sz="4" w:space="0" w:color="FFE599"/>
              <w:right w:val="single" w:sz="4" w:space="0" w:color="FFE599"/>
            </w:tcBorders>
          </w:tcPr>
          <w:p w14:paraId="39CD05D4" w14:textId="77777777" w:rsidR="006A0CE1" w:rsidRDefault="006A0CE1" w:rsidP="00727D26">
            <w:pPr>
              <w:pStyle w:val="TableContents"/>
            </w:pPr>
            <w:r>
              <w:t>Robust practices significantly lower NPL ratios despite fragmentation, per strong regression and qualitative risk control issues.</w:t>
            </w:r>
          </w:p>
        </w:tc>
      </w:tr>
      <w:tr w:rsidR="006A0CE1" w14:paraId="12AE73EF" w14:textId="77777777" w:rsidTr="00727D26">
        <w:tc>
          <w:tcPr>
            <w:tcW w:w="3224" w:type="dxa"/>
            <w:tcBorders>
              <w:top w:val="single" w:sz="4" w:space="0" w:color="FFE599"/>
              <w:left w:val="single" w:sz="4" w:space="0" w:color="FFE599"/>
              <w:bottom w:val="single" w:sz="4" w:space="0" w:color="FFE599"/>
              <w:right w:val="single" w:sz="4" w:space="0" w:color="FFE599"/>
            </w:tcBorders>
          </w:tcPr>
          <w:p w14:paraId="131F3AA1" w14:textId="77777777" w:rsidR="006A0CE1" w:rsidRDefault="006A0CE1" w:rsidP="00727D26">
            <w:pPr>
              <w:pStyle w:val="TableContents"/>
            </w:pPr>
            <w:r>
              <w:rPr>
                <w:rStyle w:val="Strong"/>
              </w:rPr>
              <w:t>RQ2</w:t>
            </w:r>
            <w:r>
              <w:t>: How does the independence of audit committees affect NPL ratios in Nigerian commercial banks?</w:t>
            </w:r>
          </w:p>
        </w:tc>
        <w:tc>
          <w:tcPr>
            <w:tcW w:w="3297" w:type="dxa"/>
            <w:tcBorders>
              <w:top w:val="single" w:sz="4" w:space="0" w:color="FFE599"/>
              <w:left w:val="single" w:sz="4" w:space="0" w:color="FFE599"/>
              <w:bottom w:val="single" w:sz="4" w:space="0" w:color="FFE599"/>
              <w:right w:val="single" w:sz="4" w:space="0" w:color="FFE599"/>
            </w:tcBorders>
          </w:tcPr>
          <w:p w14:paraId="3018FE8B" w14:textId="77777777" w:rsidR="006A0CE1" w:rsidRDefault="006A0CE1" w:rsidP="00727D26">
            <w:pPr>
              <w:pStyle w:val="TableContents"/>
            </w:pPr>
            <w:r>
              <w:t>β=-0.28 (p&lt;0.001) for Tenet 4; r=-0.62 (p&lt;0.01); Wema (M=1.6, NPL=3.17%) vs. Ecobank (M=1.5, NPL=9.5%).</w:t>
            </w:r>
          </w:p>
        </w:tc>
        <w:tc>
          <w:tcPr>
            <w:tcW w:w="3827" w:type="dxa"/>
            <w:tcBorders>
              <w:top w:val="single" w:sz="4" w:space="0" w:color="FFE599"/>
              <w:left w:val="single" w:sz="4" w:space="0" w:color="FFE599"/>
              <w:bottom w:val="single" w:sz="4" w:space="0" w:color="FFE599"/>
              <w:right w:val="single" w:sz="4" w:space="0" w:color="FFE599"/>
            </w:tcBorders>
          </w:tcPr>
          <w:p w14:paraId="49E9DBFC" w14:textId="77777777" w:rsidR="006A0CE1" w:rsidRDefault="006A0CE1" w:rsidP="00727D26">
            <w:pPr>
              <w:pStyle w:val="TableContents"/>
            </w:pPr>
            <w:r>
              <w:t>Transparency Issues (70%, n=7 interviews): "Audit influenced by shareholders" (I6); audit capture (n=25 surveys).</w:t>
            </w:r>
          </w:p>
        </w:tc>
        <w:tc>
          <w:tcPr>
            <w:tcW w:w="3686" w:type="dxa"/>
            <w:tcBorders>
              <w:top w:val="single" w:sz="4" w:space="0" w:color="FFE599"/>
              <w:left w:val="single" w:sz="4" w:space="0" w:color="FFE599"/>
              <w:bottom w:val="single" w:sz="4" w:space="0" w:color="FFE599"/>
              <w:right w:val="single" w:sz="4" w:space="0" w:color="FFE599"/>
            </w:tcBorders>
          </w:tcPr>
          <w:p w14:paraId="2BA922F2" w14:textId="77777777" w:rsidR="006A0CE1" w:rsidRDefault="006A0CE1" w:rsidP="00727D26">
            <w:pPr>
              <w:pStyle w:val="TableContents"/>
            </w:pPr>
            <w:r>
              <w:t>Audit independence reduces NPLs, limited by shareholder influence, per moderate quantitative effects and qualitative barriers.</w:t>
            </w:r>
          </w:p>
        </w:tc>
      </w:tr>
      <w:tr w:rsidR="006A0CE1" w14:paraId="42A41A53" w14:textId="77777777" w:rsidTr="00727D26">
        <w:tc>
          <w:tcPr>
            <w:tcW w:w="3224" w:type="dxa"/>
            <w:tcBorders>
              <w:top w:val="single" w:sz="4" w:space="0" w:color="FFE599"/>
              <w:left w:val="single" w:sz="4" w:space="0" w:color="FFE599"/>
              <w:bottom w:val="single" w:sz="4" w:space="0" w:color="FFE599"/>
              <w:right w:val="single" w:sz="4" w:space="0" w:color="FFE599"/>
            </w:tcBorders>
          </w:tcPr>
          <w:p w14:paraId="49A25F61" w14:textId="77777777" w:rsidR="006A0CE1" w:rsidRDefault="006A0CE1" w:rsidP="00727D26">
            <w:pPr>
              <w:pStyle w:val="TableContents"/>
            </w:pPr>
            <w:r>
              <w:rPr>
                <w:rStyle w:val="Strong"/>
              </w:rPr>
              <w:t>RQ3</w:t>
            </w:r>
            <w:r>
              <w:t>: What is the impact of management qualifications, defined by banking experience and governance training, on NPL ratios in Nigerian commercial banks?</w:t>
            </w:r>
          </w:p>
        </w:tc>
        <w:tc>
          <w:tcPr>
            <w:tcW w:w="3297" w:type="dxa"/>
            <w:tcBorders>
              <w:top w:val="single" w:sz="4" w:space="0" w:color="FFE599"/>
              <w:left w:val="single" w:sz="4" w:space="0" w:color="FFE599"/>
              <w:bottom w:val="single" w:sz="4" w:space="0" w:color="FFE599"/>
              <w:right w:val="single" w:sz="4" w:space="0" w:color="FFE599"/>
            </w:tcBorders>
          </w:tcPr>
          <w:p w14:paraId="7531F7FB" w14:textId="77777777" w:rsidR="006A0CE1" w:rsidRDefault="006A0CE1" w:rsidP="00727D26">
            <w:pPr>
              <w:pStyle w:val="TableContents"/>
            </w:pPr>
            <w:r>
              <w:t>β=-0.40 (p&lt;0.001) for Tenet 2; r=-0.68 (p&lt;0.05); Zenith (M=5.9, NPL=4.7%) vs. First Bank (M=5.3, NPL=12.9%).</w:t>
            </w:r>
          </w:p>
        </w:tc>
        <w:tc>
          <w:tcPr>
            <w:tcW w:w="3827" w:type="dxa"/>
            <w:tcBorders>
              <w:top w:val="single" w:sz="4" w:space="0" w:color="FFE599"/>
              <w:left w:val="single" w:sz="4" w:space="0" w:color="FFE599"/>
              <w:bottom w:val="single" w:sz="4" w:space="0" w:color="FFE599"/>
              <w:right w:val="single" w:sz="4" w:space="0" w:color="FFE599"/>
            </w:tcBorders>
          </w:tcPr>
          <w:p w14:paraId="19036008" w14:textId="77777777" w:rsidR="006A0CE1" w:rsidRDefault="006A0CE1" w:rsidP="00727D26">
            <w:pPr>
              <w:pStyle w:val="TableContents"/>
            </w:pPr>
            <w:r>
              <w:t>Lack of Expertise (60%, n=6 interviews; 48%, n=67 surveys): "Family ties trump qualifications" (I9); nepotism (n=28 surveys).</w:t>
            </w:r>
          </w:p>
        </w:tc>
        <w:tc>
          <w:tcPr>
            <w:tcW w:w="3686" w:type="dxa"/>
            <w:tcBorders>
              <w:top w:val="single" w:sz="4" w:space="0" w:color="FFE599"/>
              <w:left w:val="single" w:sz="4" w:space="0" w:color="FFE599"/>
              <w:bottom w:val="single" w:sz="4" w:space="0" w:color="FFE599"/>
              <w:right w:val="single" w:sz="4" w:space="0" w:color="FFE599"/>
            </w:tcBorders>
          </w:tcPr>
          <w:p w14:paraId="3187D286" w14:textId="77777777" w:rsidR="006A0CE1" w:rsidRDefault="006A0CE1" w:rsidP="00727D26">
            <w:pPr>
              <w:pStyle w:val="TableContents"/>
            </w:pPr>
            <w:r>
              <w:t>Qualified management reduces NPLs, hindered by nepotism, per strong quantitative predictors and qualitative appointment issues.</w:t>
            </w:r>
          </w:p>
        </w:tc>
      </w:tr>
      <w:tr w:rsidR="006A0CE1" w14:paraId="5F50A0D6" w14:textId="77777777" w:rsidTr="00727D26">
        <w:trPr>
          <w:trHeight w:val="70"/>
        </w:trPr>
        <w:tc>
          <w:tcPr>
            <w:tcW w:w="3224" w:type="dxa"/>
            <w:tcBorders>
              <w:top w:val="single" w:sz="4" w:space="0" w:color="FFE599"/>
              <w:left w:val="single" w:sz="4" w:space="0" w:color="FFE599"/>
              <w:bottom w:val="single" w:sz="4" w:space="0" w:color="FFE599"/>
              <w:right w:val="single" w:sz="4" w:space="0" w:color="FFE599"/>
            </w:tcBorders>
          </w:tcPr>
          <w:p w14:paraId="2C92AC1C" w14:textId="77777777" w:rsidR="006A0CE1" w:rsidRDefault="006A0CE1" w:rsidP="00727D26">
            <w:pPr>
              <w:pStyle w:val="TableContents"/>
            </w:pPr>
            <w:r>
              <w:rPr>
                <w:rStyle w:val="Strong"/>
              </w:rPr>
              <w:t>RQ4</w:t>
            </w:r>
            <w:r>
              <w:t>: How does the clarity and enforcement consistency of regulatory frameworks influence NPL ratios in Nigerian commercial banks?</w:t>
            </w:r>
          </w:p>
        </w:tc>
        <w:tc>
          <w:tcPr>
            <w:tcW w:w="3297" w:type="dxa"/>
            <w:tcBorders>
              <w:top w:val="single" w:sz="4" w:space="0" w:color="FFE599"/>
              <w:left w:val="single" w:sz="4" w:space="0" w:color="FFE599"/>
              <w:bottom w:val="single" w:sz="4" w:space="0" w:color="FFE599"/>
              <w:right w:val="single" w:sz="4" w:space="0" w:color="FFE599"/>
            </w:tcBorders>
          </w:tcPr>
          <w:p w14:paraId="11E16C5E" w14:textId="77777777" w:rsidR="006A0CE1" w:rsidRDefault="006A0CE1" w:rsidP="00727D26">
            <w:pPr>
              <w:pStyle w:val="TableContents"/>
            </w:pPr>
            <w:r>
              <w:t>β=-0.32 (p&lt;0.001) for Tenet 3; r=-0.60 (p&lt;0.05); Wema (M=4.2, NPL=3.17%) vs. Ecobank (M=3.8, NPL=9.5%).</w:t>
            </w:r>
          </w:p>
        </w:tc>
        <w:tc>
          <w:tcPr>
            <w:tcW w:w="3827" w:type="dxa"/>
            <w:tcBorders>
              <w:top w:val="single" w:sz="4" w:space="0" w:color="FFE599"/>
              <w:left w:val="single" w:sz="4" w:space="0" w:color="FFE599"/>
              <w:bottom w:val="single" w:sz="4" w:space="0" w:color="FFE599"/>
              <w:right w:val="single" w:sz="4" w:space="0" w:color="FFE599"/>
            </w:tcBorders>
          </w:tcPr>
          <w:p w14:paraId="1006FC7C" w14:textId="77777777" w:rsidR="006A0CE1" w:rsidRDefault="006A0CE1" w:rsidP="00727D26">
            <w:pPr>
              <w:pStyle w:val="TableContents"/>
            </w:pPr>
            <w:r>
              <w:t>Regulatory Confusion (62%, n=87 surveys; 80%, n=8 interviews): "Too many regulations" (I7); code conflicts (n=45 surveys).</w:t>
            </w:r>
          </w:p>
        </w:tc>
        <w:tc>
          <w:tcPr>
            <w:tcW w:w="3686" w:type="dxa"/>
            <w:tcBorders>
              <w:top w:val="single" w:sz="4" w:space="0" w:color="FFE599"/>
              <w:left w:val="single" w:sz="4" w:space="0" w:color="FFE599"/>
              <w:bottom w:val="single" w:sz="4" w:space="0" w:color="FFE599"/>
              <w:right w:val="single" w:sz="4" w:space="0" w:color="FFE599"/>
            </w:tcBorders>
          </w:tcPr>
          <w:p w14:paraId="7710EC92" w14:textId="77777777" w:rsidR="006A0CE1" w:rsidRDefault="006A0CE1" w:rsidP="00727D26">
            <w:pPr>
              <w:pStyle w:val="TableContents"/>
            </w:pPr>
            <w:r>
              <w:t>Clear regulations reduce NPLs, undermined by multiplicity, per moderate quantitative effects and qualitative confusion accounts.</w:t>
            </w:r>
          </w:p>
        </w:tc>
      </w:tr>
    </w:tbl>
    <w:p w14:paraId="33371F10" w14:textId="77777777" w:rsidR="006A0CE1" w:rsidRDefault="006A0CE1" w:rsidP="006A0CE1">
      <w:pPr>
        <w:pStyle w:val="Heading3"/>
        <w:sectPr w:rsidR="006A0CE1" w:rsidSect="006A0CE1">
          <w:pgSz w:w="15840" w:h="12240" w:orient="landscape"/>
          <w:pgMar w:top="1134" w:right="1134" w:bottom="1134" w:left="1134" w:header="0" w:footer="0" w:gutter="0"/>
          <w:cols w:space="720"/>
          <w:formProt w:val="0"/>
          <w:docGrid w:linePitch="326"/>
        </w:sectPr>
      </w:pPr>
    </w:p>
    <w:p w14:paraId="64AF832D" w14:textId="77777777" w:rsidR="006A0CE1" w:rsidRDefault="006A0CE1" w:rsidP="006A0CE1">
      <w:r>
        <w:lastRenderedPageBreak/>
        <w:t>These direct answers to RQ1–RQ4 confirm H1–H4, demonstrating that robust governance practices, independent audit committees, qualified management, and clear regulatory frameworks significantly reduce NPL ratios in Nigerian commercial banks, though challenges like patronage, audit capture, and regulatory multiplicity persist. The quantitative evidence (e.g., β=-0.48 to -0.28, r=-0.75 to -0.60) and qualitative themes (e.g., Risk Management Challenges, Transparency Issues) provide a cohesive picture, setting the foundation for broader implications and reform recommendations in subsequent sections.</w:t>
      </w:r>
    </w:p>
    <w:p w14:paraId="3C48316F" w14:textId="77777777" w:rsidR="006A0CE1" w:rsidRDefault="006A0CE1" w:rsidP="006A0CE1">
      <w:pPr>
        <w:pStyle w:val="Heading2"/>
      </w:pPr>
      <w:r>
        <w:br/>
      </w:r>
      <w:bookmarkStart w:id="13" w:name="_Toc211278971"/>
      <w:r>
        <w:t>5.7 Theoretical and Practical Implications</w:t>
      </w:r>
      <w:bookmarkEnd w:id="13"/>
    </w:p>
    <w:p w14:paraId="389D523B" w14:textId="77777777" w:rsidR="006A0CE1" w:rsidRPr="007566D0" w:rsidRDefault="006A0CE1" w:rsidP="006A0CE1">
      <w:r w:rsidRPr="007566D0">
        <w:t xml:space="preserve">The findings from this study, as synthesized in Chapters 4 and 5, offer significant theoretical and practical implications for corporate governance (CG) in Nigeria's Deposit Money Banks (DMBs). Theoretically, they extend established frameworks like agency theory (Jensen &amp; Meckling, 1976) and stakeholder theory (Freeman, 1984) by contextualizing them within Nigeria's unique socio-economic and historical landscape, particularly highlighting patronage and regulatory fragmentation as amplified mechanisms driving Non-Performing Loan (NPL) ratios. Practically, the results inform policy reforms aligned with objective OB4, such as harmonizing regulatory codes and mandating independent nomination committees, while providing actionable insights for banks, regulators like the Central Bank of Nigeria (CBN), and the broader economy. These implications are contextualized with 2025 data, including the International Monetary Fund's (IMF) upwardly revised projection of 3.4% real GDP growth for Nigeria (from earlier estimates; IMF, 2025) and the CBN's July 2025 Monetary Policy Committee (MPC) Communiqué No. 158, which retained the Monetary Policy Rate (MPR) at 27.5% amid declining headline inflation (third consecutive month in June 2025, moderating toward 23-24% from a 24.1% average; CBN, 2025). This economic backdrop underscores the </w:t>
      </w:r>
      <w:r w:rsidRPr="007566D0">
        <w:lastRenderedPageBreak/>
        <w:t>urgency of CG reforms to sustain stability in a volatile environment, where persistent NPLs (sector average 5.62% in April 2025, above the 5% threshold) threaten growth projections.</w:t>
      </w:r>
    </w:p>
    <w:p w14:paraId="06687249" w14:textId="77777777" w:rsidR="006A0CE1" w:rsidRDefault="006A0CE1" w:rsidP="006A0CE1">
      <w:pPr>
        <w:pStyle w:val="Heading3"/>
      </w:pPr>
      <w:bookmarkStart w:id="14" w:name="_Toc211278972"/>
      <w:r>
        <w:t>5.7.1 Theoretical Implications</w:t>
      </w:r>
      <w:bookmarkEnd w:id="14"/>
    </w:p>
    <w:p w14:paraId="6FF50D9E" w14:textId="77777777" w:rsidR="006A0CE1" w:rsidRDefault="006A0CE1" w:rsidP="006A0CE1">
      <w:r>
        <w:t xml:space="preserve">The study's mixed-methods findings refine agency theory by illustrating how governance deficiencies exacerbate principal-agent conflicts in an emerging market like Nigeria, where historical legacies amplify traditional mechanisms. Agency theory posits that managers (agents) may prioritize self-interest over shareholders (principals), leading to moral hazard and adverse selection (Jensen &amp; Meckling, 1976). Here, quantitative results (e.g., Tenet 1 β=-0.48, Tenet 2 β=-0.40) and qualitative themes (e.g., "Risk Management Challenges" 90% prevalence; "Lack of Expertise" 60%) reveal patronage as a novel, context-specific agency mechanism: Politically motivated or family-based appointments (e.g., I9: "Family ties trump qualifications") entrench unqualified management, enabling insider lending and lax risk controls that inflate NPLs, as seen in Oceanic Bank's 2009 collapse (75% insider-linked NPLs; Sanusi, 2009). </w:t>
      </w:r>
    </w:p>
    <w:p w14:paraId="271861F5" w14:textId="77777777" w:rsidR="006A0CE1" w:rsidRDefault="006A0CE1" w:rsidP="006A0CE1">
      <w:r>
        <w:t>This extends the theory beyond Western contexts, where concentrated ownership correlates with defaults (Fernando et al., 2019), by integrating Nigeria's colonial legacies—pre-1986 government cronyism persisting post-consolidation (</w:t>
      </w:r>
      <w:proofErr w:type="spellStart"/>
      <w:r>
        <w:t>Chinweoda</w:t>
      </w:r>
      <w:proofErr w:type="spellEnd"/>
      <w:r>
        <w:t xml:space="preserve"> et al., 2020; Elias, 2024)—as structural enablers of agency costs. For instance, the strong Tenet 1-Tenet 2 correlation (r=0.70) mechanistically shows how weak board practices (e.g., absent nomination committees in 61% of banks; </w:t>
      </w:r>
      <w:proofErr w:type="spellStart"/>
      <w:r>
        <w:t>Ogbechie</w:t>
      </w:r>
      <w:proofErr w:type="spellEnd"/>
      <w:r>
        <w:t>, 2016) allow agents to misuse depositors' funds via special purpose vehicles (Abubakar, 2011), shifting risks to taxpayers (e.g., 2009 $3.9 billion bailout).</w:t>
      </w:r>
    </w:p>
    <w:p w14:paraId="6D72BBB5" w14:textId="77777777" w:rsidR="006A0CE1" w:rsidRDefault="006A0CE1" w:rsidP="006A0CE1">
      <w:r>
        <w:t>Furthermore, the findings enrich stakeholder theory by emphasizing how CG failures erode trust across diverse groups—depositors, minority shareholders, regulators—in a stakeholder-</w:t>
      </w:r>
      <w:r>
        <w:lastRenderedPageBreak/>
        <w:t>intensive banking sector (Freeman, 1984). Low Tenet 4 scores (M=1.8, β=-0.28) and themes like "Transparency Issues" (70%) highlight opacity's role in marginalizing stakeholders: Audit capture (I6: "Influenced by shareholders") and weak whistleblowing conceal fraud, triggering deposit withdrawals and systemic instability (Ugochukwu, 2000).</w:t>
      </w:r>
    </w:p>
    <w:p w14:paraId="6598086F" w14:textId="77777777" w:rsidR="006A0CE1" w:rsidRDefault="006A0CE1" w:rsidP="006A0CE1">
      <w:r>
        <w:t xml:space="preserve"> This aligns with Healy and Palepu (2001) on disclosure's importance but extends it to Nigeria, where regulatory multiplicity (Tenet 3 β=-0.32) creates ambiguity that prioritizes majority shareholders over minorities, exacerbating agency-stakeholder overlaps (Osemeke &amp; Adegbite, 2016). The cross-cutting patronage-fragmentation dynamic (Table 4.9) refines the theory for emerging economies: In Nigeria's context, where banks drive economic growth (King &amp; Levine, 1993), governance lapses not only heighten defaults (425 failures since 1988; Udo, 2020) but also undermine stakeholder confidence amid 2025's moderating inflation and 3.4% GDP growth (IMF, 2025), potentially derailing sustainable development.</w:t>
      </w:r>
    </w:p>
    <w:p w14:paraId="148889EE" w14:textId="77777777" w:rsidR="006A0CE1" w:rsidRDefault="006A0CE1" w:rsidP="006A0CE1">
      <w:r>
        <w:t xml:space="preserve">Overall, these extensions contribute to CG literature by bridging global theories with local realities, such as cultural cronyism rooted in pre-colonial communal structures disrupted by colonial ordinances (Altin, 2024; </w:t>
      </w:r>
      <w:proofErr w:type="spellStart"/>
      <w:r>
        <w:t>Agamah</w:t>
      </w:r>
      <w:proofErr w:type="spellEnd"/>
      <w:r>
        <w:t>, 2024). They affirm the study's pragmatic epistemology, where quantitative rigor (e.g., bootstrapped CIs) meets qualitative depth (e.g., I2 on "50/50" lending risks) to reveal nuanced mechanisms, informing future theoretical models for African banking (e.g., incorporating patronage as a variable in agency equations).</w:t>
      </w:r>
    </w:p>
    <w:p w14:paraId="55202FC0" w14:textId="77777777" w:rsidR="006A0CE1" w:rsidRDefault="006A0CE1" w:rsidP="006A0CE1">
      <w:pPr>
        <w:pStyle w:val="Heading3"/>
      </w:pPr>
      <w:bookmarkStart w:id="15" w:name="_Toc211278973"/>
      <w:r>
        <w:t>5.7.2 Practical Implications</w:t>
      </w:r>
      <w:bookmarkEnd w:id="15"/>
    </w:p>
    <w:p w14:paraId="4ED4ACBE" w14:textId="77777777" w:rsidR="006A0CE1" w:rsidRDefault="006A0CE1" w:rsidP="006A0CE1">
      <w:r>
        <w:t>Practically, the findings translate into targeted recommendations for enhancing accountability and transparency, directly fulfilling OB4's call for a harmonized CG framework aligned with global standards (OECD, 2023; BCBS, 2010). For policymakers, a key reform is regulatory harmonization: Conflicting codes (e.g., CAMA 2020's fines vs. NCCG 2018's flexibility; Abdulmalik &amp; Ahmad, 2020) enable evasion, as per Tenet 3's moderate impact (β=-</w:t>
      </w:r>
      <w:r>
        <w:lastRenderedPageBreak/>
        <w:t>0.32) and "Regulatory Confusion" (62% surveys). A unified code under the Financial Reporting Council of Nigeria (FRCN) and CBN could streamline enforcement, reducing ambiguity and NPLs, especially given the CBN's July 2025 MPC retention of 27.5% MPR to combat inflation (CBN, 2025). Mandating independent nomination committees in all banks—addressing the 61% gap (</w:t>
      </w:r>
      <w:proofErr w:type="spellStart"/>
      <w:r>
        <w:t>Ogbechie</w:t>
      </w:r>
      <w:proofErr w:type="spellEnd"/>
      <w:r>
        <w:t>, 2016)—would curb patronage, ensuring qualified appointments with banking experience and governance training (H3 supported; Tenet 2 β=-0.40). This could be enforced via CBN guidelines, with penalties for non-compliance, potentially lowering the sector's 5.62% NPL average and averting future insolvencies (NDIC managed 425 since 1988; Udo, 2020).</w:t>
      </w:r>
    </w:p>
    <w:p w14:paraId="4FF3E69D" w14:textId="77777777" w:rsidR="006A0CE1" w:rsidRDefault="006A0CE1" w:rsidP="006A0CE1">
      <w:r>
        <w:t>For banks, practical steps include bolstering risk management (Tenet 1 β=-0.48) through AI-driven KYC/CRC systems and Basel III-compliant tools, as qualitative narratives reveal infrastructure gaps (I8). Training programs for board members on ethical oversight and performance-linked compensation (Al-Shaer et al., 2022) would address "Lack of Expertise" (48% surveys), fostering independence and reducing agency-driven NPLs. Banks like Fidelity (low NPL 3.2%) could serve as models, implementing robust whistleblowing mechanisms to enhance transparency (Tenet 4 β=-0.28), protecting stakeholders and mitigating fraud concealment (</w:t>
      </w:r>
      <w:proofErr w:type="spellStart"/>
      <w:r>
        <w:t>Olojede</w:t>
      </w:r>
      <w:proofErr w:type="spellEnd"/>
      <w:r>
        <w:t xml:space="preserve"> et al., 2020). In 2025's context, with IMF-projected 3.4% GDP growth amid moderating inflation (IMF, 2025; CBN, 2025), such measures could improve liquidity and credit access, supporting economic recovery.</w:t>
      </w:r>
    </w:p>
    <w:p w14:paraId="5AE2FCF6" w14:textId="77777777" w:rsidR="006A0CE1" w:rsidRDefault="006A0CE1" w:rsidP="006A0CE1">
      <w:r>
        <w:t xml:space="preserve">For regulators like the CBN and FRCN, implications emphasize stronger enforcement: Weak mechanisms (42% surveys) allow non-compliance, as per "Weak Enforcement" theme. Empowering regulators with resources for regular audits and blacklisting (e.g., 178 executives removed post-2009; Jimoh &amp; </w:t>
      </w:r>
      <w:proofErr w:type="spellStart"/>
      <w:r>
        <w:t>Iyoha</w:t>
      </w:r>
      <w:proofErr w:type="spellEnd"/>
      <w:r>
        <w:t>, 2012) would align with OECD (2023) principles, while risk-based deposit insurance (</w:t>
      </w:r>
      <w:proofErr w:type="spellStart"/>
      <w:r>
        <w:t>Demirguc</w:t>
      </w:r>
      <w:proofErr w:type="spellEnd"/>
      <w:r>
        <w:t xml:space="preserve">-Kunt &amp; Huizinga, 2010) could incentivize better </w:t>
      </w:r>
      <w:r>
        <w:lastRenderedPageBreak/>
        <w:t>governance. This is critical amid 2025's economic projections, where sustained high MPR (27.5%) aims to curb inflation but risks stifling lending if NPLs persist.</w:t>
      </w:r>
    </w:p>
    <w:p w14:paraId="510F40BC" w14:textId="77777777" w:rsidR="006A0CE1" w:rsidRDefault="006A0CE1" w:rsidP="006A0CE1">
      <w:r>
        <w:t>Economically, robust CG could reduce systemic risks, safeguarding Nigeria's banking sector—pivotal for growth (</w:t>
      </w:r>
      <w:proofErr w:type="spellStart"/>
      <w:r>
        <w:t>Siyanbola</w:t>
      </w:r>
      <w:proofErr w:type="spellEnd"/>
      <w:r>
        <w:t>, 2019)—and preventing ripple effects like the 2009 crisis. By lowering NPLs below 5%, reforms could enhance financial stability, attract foreign investment amid 3.4% GDP forecasts (IMF, 2025), and minimize taxpayer burdens from bailouts. Ultimately, these implications promote sustainable governance, aligning Nigeria with global standards and fostering resilience in a post-consolidation era.</w:t>
      </w:r>
    </w:p>
    <w:p w14:paraId="51333E31" w14:textId="77777777" w:rsidR="006A0CE1" w:rsidRDefault="006A0CE1" w:rsidP="006A0CE1"/>
    <w:p w14:paraId="35E5CC19" w14:textId="77777777" w:rsidR="006A0CE1" w:rsidRDefault="006A0CE1" w:rsidP="006A0CE1">
      <w:pPr>
        <w:pStyle w:val="Heading2"/>
      </w:pPr>
      <w:bookmarkStart w:id="16" w:name="_Toc211278974"/>
      <w:r>
        <w:t>5.8 Limitations and Future Research</w:t>
      </w:r>
      <w:bookmarkEnd w:id="16"/>
    </w:p>
    <w:p w14:paraId="4BD39CF2" w14:textId="77777777" w:rsidR="006A0CE1" w:rsidRDefault="006A0CE1" w:rsidP="006A0CE1">
      <w:r>
        <w:t>This study provides robust insights into corporate governance (CG) deficiencies in Nigerian Deposit Money Banks (DMBs) and their impact on Non-Performing Loan (NPL) ratios, yet several methodological and contextual limitations must be acknowledged. These limitations, while not undermining the findings' validity, highlight areas for refinement. Future research directions are proposed to address these constraints, leveraging longitudinal, comparative, and experimental approaches to deepen understanding and inform governance reforms in Nigeria and similar African contexts.</w:t>
      </w:r>
    </w:p>
    <w:p w14:paraId="1038BCCB" w14:textId="77777777" w:rsidR="006A0CE1" w:rsidRDefault="006A0CE1" w:rsidP="006A0CE1">
      <w:r>
        <w:t>Limitations</w:t>
      </w:r>
    </w:p>
    <w:p w14:paraId="6BAF7928" w14:textId="77777777" w:rsidR="006A0CE1" w:rsidRDefault="006A0CE1" w:rsidP="006A0CE1">
      <w:r>
        <w:rPr>
          <w:rStyle w:val="Strong"/>
        </w:rPr>
        <w:t>Sample Bias and Geographic Focus</w:t>
      </w:r>
      <w:r>
        <w:t xml:space="preserve">: The quantitative component relied on a purposive sample of 230 respondents (57.5% response rate from 400 distributed questionnaires), primarily drawn from Abuja-based banking professionals. While Abuja, as a financial hub, provided diverse insights, this focus may limit generalizability to other regions, such as Lagos or rural areas, where governance practices or economic conditions differ (e.g., rural banks face unique infrastructure gaps; I8, interview). The sample skewed toward large banks (75%, </w:t>
      </w:r>
      <w:r>
        <w:lastRenderedPageBreak/>
        <w:t xml:space="preserve">n=173; assets &gt; N10 trillion), reflecting their market dominance (over 80% of sector assets; CBN, 2025), but underrepresenting medium and small banks (25%, n=57). This skew may overemphasize governance challenges in complex, large institutions (e.g., First Bank, NPL=12.9%) while </w:t>
      </w:r>
      <w:proofErr w:type="spellStart"/>
      <w:r>
        <w:t>undercapturing</w:t>
      </w:r>
      <w:proofErr w:type="spellEnd"/>
      <w:r>
        <w:t xml:space="preserve"> dynamics in smaller banks like Wema (NPL=3.17%). Cross-validation with secondary data (e.g., CBN, NDIC 2025) mitigated this, but broader sampling could enhance representativeness.</w:t>
      </w:r>
    </w:p>
    <w:p w14:paraId="45C7E353" w14:textId="77777777" w:rsidR="006A0CE1" w:rsidRDefault="006A0CE1" w:rsidP="006A0CE1">
      <w:r>
        <w:rPr>
          <w:rStyle w:val="Strong"/>
        </w:rPr>
        <w:t>Small Interview Sample Size</w:t>
      </w:r>
      <w:r>
        <w:t>: The qualitative component included 10 semi-structured interviews (50% response rate from 20 scheduled), constrained by logistical challenges and participant availability during March–June 2025. While saturation was achieved after eight interviews (Guest et al., 2006), the small sample (n=10, 5 CEOs/board chairs, 5 executives) limits the depth of perspectives, particularly from operational staff or regulators. This may have underrepresented certain views, such as frontline insights on whistleblowing implementation. High inter-coder reliability (85%, Cohen’s Kappa=0.82) and triangulation with survey data (n≈140 open-ended responses) bolstered rigor, but a larger, more diverse interviewee pool could uncover additional nuances, especially on sensitive issues like fraud concealment.</w:t>
      </w:r>
    </w:p>
    <w:p w14:paraId="2068C14B" w14:textId="77777777" w:rsidR="006A0CE1" w:rsidRDefault="006A0CE1" w:rsidP="006A0CE1">
      <w:r>
        <w:rPr>
          <w:rStyle w:val="Strong"/>
        </w:rPr>
        <w:t>Response Bias on Sensitive Topics</w:t>
      </w:r>
      <w:r>
        <w:t>: The study’s focus on sensitive topics—fraud, insider lending, and audit capture—introduces potential response bias, particularly in surveys and interviews. Social desirability bias (</w:t>
      </w:r>
      <w:proofErr w:type="spellStart"/>
      <w:r>
        <w:t>Nederhof</w:t>
      </w:r>
      <w:proofErr w:type="spellEnd"/>
      <w:r>
        <w:t xml:space="preserve">, 1985) may have led respondents to underreport governance lapses (e.g., "undue influence" noted by I1) due to professional or cultural pressures, especially in Nigeria’s hierarchical banking culture rooted in colonial legacies (Elias, 2024). The low Tenet 4 mean (M=1.8, SD=0.9) suggests transparency issues were acknowledged, but their weaker predictive power (β=-0.28) may reflect underreporting, as qualitative narratives (e.g., "Transparency Issues," 70% interviews) indicate deeper </w:t>
      </w:r>
      <w:r>
        <w:lastRenderedPageBreak/>
        <w:t>entrenchment than quantified. Anonymous data collection and compliance with the Nigeria Data Protection Act 2023 mitigated this, but indirect questioning techniques (Tourangeau &amp; Yan, 2007) could further reduce bias.</w:t>
      </w:r>
    </w:p>
    <w:p w14:paraId="6DCC216D" w14:textId="77777777" w:rsidR="006A0CE1" w:rsidRDefault="006A0CE1" w:rsidP="006A0CE1">
      <w:r>
        <w:rPr>
          <w:rStyle w:val="Strong"/>
        </w:rPr>
        <w:t>Data and Contextual Constraints</w:t>
      </w:r>
      <w:r>
        <w:t xml:space="preserve">: The reliance on Q1/H1 2025 NPL data (e.g., CBN, </w:t>
      </w:r>
      <w:proofErr w:type="spellStart"/>
      <w:r>
        <w:t>Nairametrics</w:t>
      </w:r>
      <w:proofErr w:type="spellEnd"/>
      <w:r>
        <w:t>) introduces potential reporting opacity, a known issue in Nigeria’s banking sector (</w:t>
      </w:r>
      <w:proofErr w:type="spellStart"/>
      <w:r>
        <w:t>Olojede</w:t>
      </w:r>
      <w:proofErr w:type="spellEnd"/>
      <w:r>
        <w:t xml:space="preserve"> et al., 2020). While triangulated with audited financials, inconsistencies in bank disclosures (e.g., delayed H1 data for some banks) may affect precision. Additionally, the 2025 economic context (3.4% GDP growth, 24.1% inflation; IMF, CBN, 2025) may have influenced perceptions, potentially amplifying concerns about risk management (Tenet 1 M=2.4). These temporal factors limit historical comparisons, such as with the 2009 crisis (Sanusi, 2009).</w:t>
      </w:r>
    </w:p>
    <w:p w14:paraId="4B2B41DE" w14:textId="77777777" w:rsidR="006A0CE1" w:rsidRDefault="006A0CE1" w:rsidP="006A0CE1">
      <w:pPr>
        <w:pStyle w:val="Heading3"/>
      </w:pPr>
      <w:bookmarkStart w:id="17" w:name="_Toc211278975"/>
      <w:r>
        <w:t>5.8.1 Future Research Directions</w:t>
      </w:r>
      <w:bookmarkEnd w:id="17"/>
    </w:p>
    <w:p w14:paraId="558AB172" w14:textId="77777777" w:rsidR="006A0CE1" w:rsidRDefault="006A0CE1" w:rsidP="006A0CE1">
      <w:r>
        <w:rPr>
          <w:rStyle w:val="Strong"/>
        </w:rPr>
        <w:t>Longitudinal Studies</w:t>
      </w:r>
      <w:r>
        <w:t xml:space="preserve">: This cross-sectional study captures a 2025 snapshot, limiting insights into how CG reforms evolve over time. Longitudinal designs tracking NPL ratios and governance metrics (e.g., Tenet scores) across multiple years could assess the durability of interventions like CBN Guidelines 2023 or post-2009 reforms. For instance, examining whether banks like Fidelity (NPL=3.2%) sustain low NPLs with improved risk management (Tenet 1 M=3.0) could validate long-term reform efficacy, addressing </w:t>
      </w:r>
      <w:proofErr w:type="spellStart"/>
      <w:r>
        <w:t>Kafidipe’s</w:t>
      </w:r>
      <w:proofErr w:type="spellEnd"/>
      <w:r>
        <w:t xml:space="preserve"> (2021) call for sustained post-consolidation analysis.</w:t>
      </w:r>
    </w:p>
    <w:p w14:paraId="44C64D69" w14:textId="77777777" w:rsidR="006A0CE1" w:rsidRDefault="006A0CE1" w:rsidP="006A0CE1">
      <w:r>
        <w:rPr>
          <w:rStyle w:val="Strong"/>
        </w:rPr>
        <w:t>Comparative Analysis with African Countries</w:t>
      </w:r>
      <w:r>
        <w:t xml:space="preserve">: Nigeria’s banking sector shares challenges with other African nations, such as weak enforcement and colonial legacies (Adegbite et al., 2012). Comparative studies with countries like Ghana or Kenya, which have similar banking structures but differing regulatory frameworks (e.g., Ghana’s 2018 Banking Act), could identify best practices. For example, exploring how Kenya’s stricter whistleblowing </w:t>
      </w:r>
      <w:r>
        <w:lastRenderedPageBreak/>
        <w:t>protections impact NPLs versus Nigeria’s weak mechanisms (I4, interview) could inform OB4’s harmonization goals, extending Osemeke and Adegbite (2016).</w:t>
      </w:r>
    </w:p>
    <w:p w14:paraId="06949DAC" w14:textId="77777777" w:rsidR="006A0CE1" w:rsidRDefault="006A0CE1" w:rsidP="006A0CE1">
      <w:r>
        <w:rPr>
          <w:rStyle w:val="Strong"/>
        </w:rPr>
        <w:t>Experimental Designs on Governance Interventions</w:t>
      </w:r>
      <w:r>
        <w:t>: Experimental or quasi-experimental studies testing specific interventions—e.g., mandatory nomination committees or AI-driven KYC systems—could quantify their impact on NPLs. For instance, a pilot in medium banks (e.g., Wema) implementing independent audit committees could measure changes in Tenet 4 scores and NPLs, addressing "audit capture" concerns (I6). Such designs, aligned with OECD (2023) principles, could provide causal evidence, overcoming this study’s correlational limitations.</w:t>
      </w:r>
    </w:p>
    <w:p w14:paraId="0E7191E0" w14:textId="77777777" w:rsidR="006A0CE1" w:rsidRDefault="006A0CE1" w:rsidP="006A0CE1">
      <w:r>
        <w:rPr>
          <w:rStyle w:val="Strong"/>
        </w:rPr>
        <w:t>Broader Sampling and Mixed Methods</w:t>
      </w:r>
      <w:r>
        <w:t>: Future research should expand sampling to include rural banks and a wider range of roles (e.g., frontline staff, minority shareholders) to capture diverse perspectives. Increasing interview sample sizes (e.g., n=20–30) and incorporating focus groups could deepen qualitative insights, particularly on cultural barriers like patronage (I9). Advanced mixed-methods approaches, such as sequential explanatory designs (Creswell &amp; Plano Clark, 2018), could further integrate quantitative trends with qualitative mechanisms, refining meta-inferences like patronage-fragmentation links (Table 4.9).</w:t>
      </w:r>
    </w:p>
    <w:p w14:paraId="35F5EF4E" w14:textId="77777777" w:rsidR="006A0CE1" w:rsidRDefault="006A0CE1" w:rsidP="006A0CE1">
      <w:r>
        <w:t>In conclusion, while sample bias, small interview sizes, response biases, and data constraints limit generalizability, triangulation and rigorous analysis (e.g., bootstrapped CIs, NVivo coding) ensure robustness. Future longitudinal, comparative, and experimental studies can build on these findings to enhance CG reforms, reducing NPLs and strengthening Nigeria’s banking sector in alignment with global standards.</w:t>
      </w:r>
    </w:p>
    <w:p w14:paraId="36EA4E44" w14:textId="77777777" w:rsidR="006A0CE1" w:rsidRDefault="006A0CE1" w:rsidP="006A0CE1">
      <w:pPr>
        <w:rPr>
          <w:rFonts w:ascii="Calibri Light" w:hAnsi="Calibri Light"/>
          <w:color w:val="2F5496" w:themeColor="accent1" w:themeShade="BF"/>
          <w:sz w:val="40"/>
          <w:szCs w:val="40"/>
        </w:rPr>
      </w:pPr>
      <w:r>
        <w:br w:type="page"/>
      </w:r>
    </w:p>
    <w:p w14:paraId="55C952C1" w14:textId="77777777" w:rsidR="006A0CE1" w:rsidRDefault="006A0CE1" w:rsidP="006A0CE1">
      <w:pPr>
        <w:pStyle w:val="Heading1"/>
        <w:spacing w:before="0"/>
      </w:pPr>
      <w:bookmarkStart w:id="18" w:name="_Toc211278976"/>
      <w:r>
        <w:lastRenderedPageBreak/>
        <w:t>Chapter 6: Conclusion</w:t>
      </w:r>
      <w:bookmarkEnd w:id="18"/>
    </w:p>
    <w:p w14:paraId="27789DF7" w14:textId="77777777" w:rsidR="006A0CE1" w:rsidRDefault="006A0CE1" w:rsidP="006A0CE1">
      <w:r>
        <w:t>This concluding chapter synthesizes the key findings, contributions, and proposed strategies of the thesis, without introducing new data. It restates the research’s core objectives, recaps the answers to the research questions (RQs) and hypotheses (H1–H4), and underscores the study’s contributions to filling the research gap on corporate governance (CG) deficiencies in Nigeria’s Deposit Money Banks (DMBs) post-2004 consolidation. The chapter reinforces actionable strategies to enhance accountability and transparency, aligning with objective OB4, and concludes with a forward-looking perspective on sustainable governance reforms to strengthen Nigeria’s banking sector, a critical driver of economic growth (King &amp; Levine, 1993). By integrating quantitative and qualitative insights, the thesis provides context-specific evidence to address systemic challenges, such as patronage and regulatory fragmentation, which inflate Non-Performing Loan (NPL) ratios and threaten financial stability. The discussion is contextualized within Nigeria’s 2025 economic landscape, marked by 3.4% GDP growth and moderating inflation (IMF, 2025; CBN, 2025), emphasizing the urgency of reforms to sustain resilience.</w:t>
      </w:r>
    </w:p>
    <w:p w14:paraId="5950DD21" w14:textId="77777777" w:rsidR="006A0CE1" w:rsidRDefault="006A0CE1" w:rsidP="006A0CE1">
      <w:pPr>
        <w:pStyle w:val="Heading2"/>
      </w:pPr>
      <w:bookmarkStart w:id="19" w:name="_Toc211278977"/>
      <w:r>
        <w:t>6.1 Summary of Key Findings</w:t>
      </w:r>
      <w:bookmarkEnd w:id="19"/>
    </w:p>
    <w:p w14:paraId="0E401102" w14:textId="77777777" w:rsidR="006A0CE1" w:rsidRDefault="006A0CE1" w:rsidP="006A0CE1">
      <w:r>
        <w:t xml:space="preserve">This study examined CG deficiencies at the board level in Nigerian DMBs, focusing on their impact on NPL ratios as a proxy for default risk, and proposed strategies to enhance accountability and transparency. Guided by four research questions (RQ1–RQ4), hypotheses (H1–H4), and objectives (OB1–OB4), it adopted a mixed-methods approach, combining quantitative data (230 questionnaire responses, 57.5% response rate) with qualitative insights (10 interviews, ~140 open-ended survey responses) and secondary sources (e.g., CBN, NDIC, </w:t>
      </w:r>
      <w:proofErr w:type="spellStart"/>
      <w:r>
        <w:t>Nairametrics</w:t>
      </w:r>
      <w:proofErr w:type="spellEnd"/>
      <w:r>
        <w:t xml:space="preserve">, 2025). The findings, detailed in Chapters 4 and 5, confirm the hypotheses and address the RQs, revealing systemic governance failures rooted in historical legacies, </w:t>
      </w:r>
      <w:r>
        <w:lastRenderedPageBreak/>
        <w:t>regulatory multiplicity, and cultural barriers like patronage, which drive NPLs (sector average 5.62% in April 2025, above the 5% threshold; CBN, 2025).</w:t>
      </w:r>
    </w:p>
    <w:p w14:paraId="4AD94148" w14:textId="77777777" w:rsidR="006A0CE1" w:rsidRDefault="006A0CE1" w:rsidP="006A0CE1">
      <w:r>
        <w:rPr>
          <w:rStyle w:val="Strong"/>
        </w:rPr>
        <w:t>RQ1: Adherence to Robust Governance Practices</w:t>
      </w:r>
      <w:r>
        <w:t>: RQ1 asked to what extent adherence to robust governance practices, such as compliance with CBN Guidelines 2023, independent board oversight, and effective risk management, influences NPL ratios within a fragmented regulatory framework. H1 was supported, with Tenet 1 (Bank Governance and Risk Management) showing the strongest predictive power (β=-0.48, p&lt;0.001; Table 4.5), explaining 48% of NPL variance (Adjusted R²=0.48). Bank-level correlations (r=-0.75, p&lt;0.01) highlighted stronger risk governance in low-NPL banks like Fidelity (M=3.0, NPL=3.2%) versus high-NPL ones like First Bank (M=2.4, NPL=12.9%). Qualitative themes, particularly "Risk Management Challenges" (90% interviews, n=9; Table 4.8), underscored lax lending practices and inadequate KYC/CRC processes (I2: "Risk assets are 50/50"), linking to historical failures like Oceanic Bank’s 2009 insider lending (Sanusi, 2009). These findings confirm that robust risk governance significantly reduces NPLs, despite regulatory fragmentation.</w:t>
      </w:r>
    </w:p>
    <w:p w14:paraId="0BAA52E8" w14:textId="77777777" w:rsidR="006A0CE1" w:rsidRDefault="006A0CE1" w:rsidP="006A0CE1">
      <w:r>
        <w:rPr>
          <w:rStyle w:val="Strong"/>
        </w:rPr>
        <w:t>RQ2: Audit Committee Independence</w:t>
      </w:r>
      <w:r>
        <w:t>: RQ2 explored how audit committee independence affects NPL ratios. H2 was supported, with Tenet 4 (Transparency and Accountability) showing a significant but weaker effect (β=-0.28, p&lt;0.001; r=-0.62, p&lt;0.01). The low mean (M=1.8, SD=0.9; Table 4.2) reflected severe transparency deficits, with banks like Wema (M=1.6, NPL=3.17%) outperforming Ecobank (M=1.5, NPL=9.5%). Qualitative "Transparency Issues" (70%, n=7 interviews) revealed audit capture (I6: "Influenced by shareholders") and weak whistleblowing, explaining limited impact due to entrenched shareholder dominance, consistent with 2009 crisis opacity (</w:t>
      </w:r>
      <w:proofErr w:type="spellStart"/>
      <w:r>
        <w:t>Olojede</w:t>
      </w:r>
      <w:proofErr w:type="spellEnd"/>
      <w:r>
        <w:t xml:space="preserve"> et al., 2020).</w:t>
      </w:r>
    </w:p>
    <w:p w14:paraId="203B4967" w14:textId="77777777" w:rsidR="006A0CE1" w:rsidRDefault="006A0CE1" w:rsidP="006A0CE1">
      <w:r>
        <w:rPr>
          <w:rStyle w:val="Strong"/>
        </w:rPr>
        <w:t>RQ3: Management Qualifications</w:t>
      </w:r>
      <w:r>
        <w:t xml:space="preserve">: RQ3 assessed the impact of management qualifications (banking experience, governance training) on NPL ratios. H3 was confirmed, with Tenet 2 </w:t>
      </w:r>
      <w:r>
        <w:lastRenderedPageBreak/>
        <w:t>(Corporate Governance and Bank Practice) yielding β=-0.40 (p&lt;0.001; r=-0.68, p&lt;0.05). Higher scores in Zenith (M=5.9, NPL=4.7%) contrasted with First Bank (M=5.3, NPL=12.9%), supported by "Lack of Expertise" (60% interviews, n=6; 48% surveys, n=67), with nepotism sub-themes (I9: "Family ties trump qualifications") highlighting unqualified appointments’ role in poor oversight (</w:t>
      </w:r>
      <w:proofErr w:type="spellStart"/>
      <w:r>
        <w:t>Ogbechie</w:t>
      </w:r>
      <w:proofErr w:type="spellEnd"/>
      <w:r>
        <w:t>, 2016).</w:t>
      </w:r>
    </w:p>
    <w:p w14:paraId="1D7BB3F6" w14:textId="77777777" w:rsidR="006A0CE1" w:rsidRDefault="006A0CE1" w:rsidP="006A0CE1">
      <w:r>
        <w:rPr>
          <w:rStyle w:val="Strong"/>
        </w:rPr>
        <w:t>RQ4: Regulatory Clarity and Enforcement</w:t>
      </w:r>
      <w:r>
        <w:t>: RQ4 investigated how regulatory clarity and enforcement consistency influence NPL ratios. H4 was supported, with Tenet 3 (Regulatory Multiplicity) showing β=-0.32 (p&lt;0.001; r=-0.60, p&lt;0.05). Moderate scores (M=4.0, SD=1.1) and "Regulatory Confusion" (62% surveys, n=87; 80% interviews, n=8) indicated that overlapping codes (e.g., CAMA 2020 vs. NCCG 2018) enable evasion (I7: "Too many regulations"), undermining enforcement (Abdulmalik &amp; Ahmad, 2020).</w:t>
      </w:r>
    </w:p>
    <w:p w14:paraId="2DB3990B" w14:textId="77777777" w:rsidR="006A0CE1" w:rsidRDefault="006A0CE1" w:rsidP="006A0CE1">
      <w:pPr>
        <w:pStyle w:val="BodyText"/>
      </w:pPr>
    </w:p>
    <w:p w14:paraId="5E030912" w14:textId="77777777" w:rsidR="006A0CE1" w:rsidRDefault="006A0CE1" w:rsidP="006A0CE1">
      <w:pPr>
        <w:pStyle w:val="Heading2"/>
      </w:pPr>
      <w:bookmarkStart w:id="20" w:name="_Toc211278978"/>
      <w:r>
        <w:t>6.2 Contributions to Knowledge and Practice</w:t>
      </w:r>
      <w:bookmarkEnd w:id="20"/>
    </w:p>
    <w:p w14:paraId="357FDBB8" w14:textId="77777777" w:rsidR="006A0CE1" w:rsidRPr="007566D0" w:rsidRDefault="006A0CE1" w:rsidP="006A0CE1">
      <w:r w:rsidRPr="007566D0">
        <w:t xml:space="preserve">This thesis makes significant contributions to both academic knowledge and practical application in the field of corporate governance (CG) within Nigeria’s Deposit Money Banks (DMBs). By addressing systemic deficiencies that elevate Non-Performing Loan (NPL) ratios and default risk, it fills a critical research gap in post-2004 consolidation studies, offering context-specific insights grounded in Nigeria’s unique historical and institutional landscape. The mixed-methods approach—integrating quantitative data (230 questionnaire responses, regression models with Adjusted R²=0.48) with qualitative themes (e.g., "Risk Management Challenges" in 90% of interviews)—provides a robust framework for understanding governance-NPL linkages, advancing theoretical frameworks and informing actionable reforms. These contributions align with broader goals of aligning Nigeria’s banking sector with global standards (e.g., OECD, 2023; BCBS, 2010) and reducing default risk to bolster economic </w:t>
      </w:r>
      <w:r w:rsidRPr="007566D0">
        <w:lastRenderedPageBreak/>
        <w:t>stability, particularly in the 2025 context of 3.4% GDP growth and moderating inflation (IMF, 2025; CBN, 2025).</w:t>
      </w:r>
    </w:p>
    <w:p w14:paraId="051CF611" w14:textId="77777777" w:rsidR="006A0CE1" w:rsidRDefault="006A0CE1" w:rsidP="006A0CE1">
      <w:pPr>
        <w:pStyle w:val="Heading3"/>
      </w:pPr>
      <w:bookmarkStart w:id="21" w:name="_Toc211278979"/>
      <w:r>
        <w:t>6.2.1 Academic Contributions</w:t>
      </w:r>
      <w:bookmarkEnd w:id="21"/>
    </w:p>
    <w:p w14:paraId="4318A3F2" w14:textId="77777777" w:rsidR="006A0CE1" w:rsidRDefault="006A0CE1" w:rsidP="006A0CE1">
      <w:r>
        <w:t>The study significantly enriches CG literature by providing empirical, context-specific evidence on Nigeria’s banking sector, addressing a gap in post-consolidation research (Osita et al., 2019; Tsamenyi et al., 2007). Quantitative findings, such as the strong negative correlation between Tenet 1 (Bank Governance and Risk Management) and NPLs (r=-0.75, p&lt;0.01; Table 4.6) and regression coefficients (e.g., β=-0.48 for Tenet 1, β=-0.40 for Tenet 2), quantify the impact of governance deficiencies on default risk, extending prior analyses like Adegboye (2020) on 2017’s 20% NPL spike. Qualitative themes, including "Regulatory Confusion" (62% surveys, n=87) and "Lack of Expertise" (48%, n=67), elucidate mechanisms behind these patterns, revealing how historical legacies—pre-colonial communal structures disrupted by colonial ordinances (Elias, 2024; Altin, 2024)—amplify regulatory multiplicity and patronage. For instance, the thesis links colonial-era Companies Ordinance of 1912 to current fragmented codes (e.g., CAMA 2020 vs. NCCG 2018), explaining their role in enabling selective compliance (Abdulmalik &amp; Ahmad, 2020).</w:t>
      </w:r>
    </w:p>
    <w:p w14:paraId="2356567A" w14:textId="77777777" w:rsidR="006A0CE1" w:rsidRDefault="006A0CE1" w:rsidP="006A0CE1">
      <w:r>
        <w:t>Theoretically, the study refines agency theory (Jensen &amp; Meckling, 1976) by identifying patronage as a context-specific mechanism in Nigeria, where unqualified, politically motivated appointments (I9: "Family ties trump qualifications") exacerbate agency costs, as seen in Oceanic Bank’s 2009 insider lending (Sanusi, 2009). This extends Fernando et al. (2019) on concentrated ownership by embedding Nigeria’s pre-1986 government interference and post-consolidation cronyism (</w:t>
      </w:r>
      <w:proofErr w:type="spellStart"/>
      <w:r>
        <w:t>Chinweoda</w:t>
      </w:r>
      <w:proofErr w:type="spellEnd"/>
      <w:r>
        <w:t xml:space="preserve"> et al., 2020). Similarly, stakeholder theory (Freeman, 1984) is advanced by showing how transparency deficits (Tenet 4 M=1.8; "Transparency Issues" 70%, n=7 interviews) marginalize minority shareholders and </w:t>
      </w:r>
      <w:r>
        <w:lastRenderedPageBreak/>
        <w:t>depositors, triggering withdrawals and systemic instability (Ugochukwu, 2000). These contributions provide a nuanced model for emerging markets, where cultural and historical factors intersect with global governance principles, informing future studies on African banking systems.</w:t>
      </w:r>
    </w:p>
    <w:p w14:paraId="42405ED0" w14:textId="77777777" w:rsidR="006A0CE1" w:rsidRDefault="006A0CE1" w:rsidP="006A0CE1">
      <w:pPr>
        <w:pStyle w:val="Heading3"/>
      </w:pPr>
      <w:bookmarkStart w:id="22" w:name="_Toc211278980"/>
      <w:r>
        <w:t>6.2.1 Practical Contributions</w:t>
      </w:r>
      <w:bookmarkEnd w:id="22"/>
    </w:p>
    <w:p w14:paraId="3A8218E5" w14:textId="77777777" w:rsidR="006A0CE1" w:rsidRDefault="006A0CE1" w:rsidP="006A0CE1">
      <w:r>
        <w:t>Practically, the thesis offers actionable strategies to enhance accountability and transparency, fulfilling OB4’s goal of proposing a harmonized CG framework. For banks, the findings advocate adopting AI-driven Know-Your-Customer (KYC) and Credit Risk Control (CRC) systems to address risk management deficiencies (Tenet 1 M=2.4; I5: "Inadequate data for borrowers"). Banks like Fidelity (NPL=3.2%, Tenet 1 M=3.0) and Wema (NPL=3.17%, M=2.8) demonstrate that stronger risk governance correlates with lower NPLs, serving as models for others. Implementing mandatory independent nomination committees—absent in 61% of banks (</w:t>
      </w:r>
      <w:proofErr w:type="spellStart"/>
      <w:r>
        <w:t>Ogbechie</w:t>
      </w:r>
      <w:proofErr w:type="spellEnd"/>
      <w:r>
        <w:t xml:space="preserve">, 2016)—would curb nepotism, ensuring qualified appointments with banking experience and governance training (H3 supported, β=-0.40). Performance-linked compensation, aligned with shareholder approval per SEC Code 2011 (Osemeke &amp; Adegbite, 2016), could incentivize ethical </w:t>
      </w:r>
      <w:proofErr w:type="spellStart"/>
      <w:r>
        <w:t>behavior</w:t>
      </w:r>
      <w:proofErr w:type="spellEnd"/>
      <w:r>
        <w:t>, addressing "Lack of Expertise" concerns (48% surveys).</w:t>
      </w:r>
    </w:p>
    <w:p w14:paraId="2C01E009" w14:textId="77777777" w:rsidR="006A0CE1" w:rsidRDefault="006A0CE1" w:rsidP="006A0CE1">
      <w:r>
        <w:t xml:space="preserve">For regulators like the CBN and FRCN, harmonizing conflicting codes (e.g., CAMA’s fines vs. NCCG’s "Apply and Explain") is critical to reduce ambiguity, as evidenced by "Regulatory Confusion" (62% surveys; I7: "Too many regulations"). A unified FRCN-CBN framework, enforced with robust audits and sanctions (e.g., blacklisting 178 executives post-2009; Jimoh &amp; </w:t>
      </w:r>
      <w:proofErr w:type="spellStart"/>
      <w:r>
        <w:t>Iyoha</w:t>
      </w:r>
      <w:proofErr w:type="spellEnd"/>
      <w:r>
        <w:t xml:space="preserve">, 2012), would strengthen compliance, lowering the sector’s 5.62% NPL average (CBN, 2025). Robust whistleblowing mechanisms, inspired by EU protections (EU, 2019), would </w:t>
      </w:r>
      <w:r>
        <w:lastRenderedPageBreak/>
        <w:t>address transparency deficits (Tenet 4 β=-0.28; I6: "Audit influenced by shareholders"), reducing fraud concealment (</w:t>
      </w:r>
      <w:proofErr w:type="spellStart"/>
      <w:r>
        <w:t>Olojede</w:t>
      </w:r>
      <w:proofErr w:type="spellEnd"/>
      <w:r>
        <w:t xml:space="preserve"> et al., 2020).</w:t>
      </w:r>
    </w:p>
    <w:p w14:paraId="5EFC80C0" w14:textId="77777777" w:rsidR="006A0CE1" w:rsidRDefault="006A0CE1" w:rsidP="006A0CE1">
      <w:r>
        <w:t>These strategies align with broader economic goals in Nigeria’s 2025 context, where 3.4% GDP growth and declining inflation (23-24% projected; CBN, 2025) signal recovery potential. By reducing NPLs below 5%, reforms could prevent systemic failures (425 since 1988; Udo, 2020), enhance credit access, and attract foreign investment, supporting sustainable growth (</w:t>
      </w:r>
      <w:proofErr w:type="spellStart"/>
      <w:r>
        <w:t>Siyanbola</w:t>
      </w:r>
      <w:proofErr w:type="spellEnd"/>
      <w:r>
        <w:t>, 2019). The proposed framework aligns with OECD (2023) principles on independent boards and Basel III (BCBS, 2010) risk standards, positioning Nigeria’s banking sector for global competitiveness while addressing local challenges like patronage and multiplicity.</w:t>
      </w:r>
    </w:p>
    <w:p w14:paraId="17E42A88" w14:textId="77777777" w:rsidR="006A0CE1" w:rsidRDefault="006A0CE1" w:rsidP="006A0CE1">
      <w:pPr>
        <w:pStyle w:val="Heading2"/>
      </w:pPr>
      <w:bookmarkStart w:id="23" w:name="_Toc211278981"/>
      <w:r>
        <w:t>6.3 Recommendations</w:t>
      </w:r>
      <w:bookmarkEnd w:id="23"/>
    </w:p>
    <w:p w14:paraId="274062A6" w14:textId="77777777" w:rsidR="006A0CE1" w:rsidRDefault="006A0CE1" w:rsidP="006A0CE1">
      <w:r>
        <w:t>This section presents actionable recommendations to enhance accountability and transparency in Nigeria’s Deposit Money Banks (DMBs), addressing the systemic corporate governance (CG) deficiencies identified in this study that contribute to elevated Non-Performing Loan (NPL) ratios (sector average 5.62% in April 2025; CBN, 2025). These strategies, aligned with objective OB4, aim to mitigate default risk, restore stakeholder trust, and align Nigeria’s banking sector with global standards (OECD, 2023; BCBS, 2010). They are informed by quantitative findings (e.g., Tenet 1 β=-0.48, Tenet 4 M=1.8) and qualitative themes (e.g., "Regulatory Confusion," "Transparency Issues") that highlight patronage, regulatory multiplicity, and weak oversight as key drivers of NPLs. The recommendations are structured as a bulleted list, with timelines and feasibility considerations distinguishing short-term (implementable by 2026) and long-term (2027–2030) actions, tailored to Nigeria’s 2025 economic context of 3.4% GDP growth and moderating inflation (IMF, 2025; CBN, 2025).</w:t>
      </w:r>
    </w:p>
    <w:p w14:paraId="6C153978" w14:textId="77777777" w:rsidR="006A0CE1" w:rsidRPr="00E8237C" w:rsidRDefault="006A0CE1" w:rsidP="006A0CE1">
      <w:pPr>
        <w:pStyle w:val="Heading3"/>
        <w:rPr>
          <w:b/>
          <w:bCs/>
        </w:rPr>
      </w:pPr>
      <w:bookmarkStart w:id="24" w:name="_Toc211278982"/>
      <w:r w:rsidRPr="00E8237C">
        <w:rPr>
          <w:rStyle w:val="Strong"/>
          <w:b w:val="0"/>
          <w:bCs w:val="0"/>
        </w:rPr>
        <w:lastRenderedPageBreak/>
        <w:t>6.3.1 CBN-Led Regulatory Harmonization</w:t>
      </w:r>
      <w:bookmarkEnd w:id="24"/>
      <w:r w:rsidRPr="00E8237C">
        <w:rPr>
          <w:b/>
          <w:bCs/>
        </w:rPr>
        <w:t xml:space="preserve"> </w:t>
      </w:r>
    </w:p>
    <w:p w14:paraId="054A8F28" w14:textId="77777777" w:rsidR="006A0CE1" w:rsidRDefault="006A0CE1" w:rsidP="006A0CE1">
      <w:r>
        <w:rPr>
          <w:rStyle w:val="Emphasis"/>
        </w:rPr>
        <w:t>Action</w:t>
      </w:r>
      <w:r>
        <w:t xml:space="preserve">: The Central Bank of Nigeria (CBN) and Financial Reporting Council of Nigeria (FRCN) should collaborate to develop a unified CG code by 2026, integrating CAMA 2020, NCCG 2018, CBN Guidelines 2023, and SEC Code 2011, reducing ambiguity noted in "Regulatory Confusion" (62% surveys; I7: "Too many regulations"). </w:t>
      </w:r>
    </w:p>
    <w:p w14:paraId="1862ADDA" w14:textId="77777777" w:rsidR="006A0CE1" w:rsidRDefault="006A0CE1" w:rsidP="006A0CE1">
      <w:r>
        <w:rPr>
          <w:rStyle w:val="Emphasis"/>
        </w:rPr>
        <w:t>Rationale</w:t>
      </w:r>
      <w:r>
        <w:t xml:space="preserve">: Tenet 3’s moderate impact (β=-0.32, r=-0.60) shows multiplicity enables evasion, inflating NPLs (Abdulmalik &amp; Ahmad, 2020). A single code with clear board tenure and audit rules would enhance compliance. </w:t>
      </w:r>
    </w:p>
    <w:p w14:paraId="1CB44024" w14:textId="77777777" w:rsidR="006A0CE1" w:rsidRDefault="006A0CE1" w:rsidP="006A0CE1">
      <w:r>
        <w:rPr>
          <w:rStyle w:val="Emphasis"/>
        </w:rPr>
        <w:t>Timeline/Feasibility</w:t>
      </w:r>
      <w:r>
        <w:t xml:space="preserve">: Short-term (2026). Feasible via CBN’s regulatory authority (CBN Act, 2007), with stakeholder consultations in 2025 Q4 to draft and pilot by mid-2026. </w:t>
      </w:r>
    </w:p>
    <w:p w14:paraId="4A0D648B" w14:textId="77777777" w:rsidR="006A0CE1" w:rsidRDefault="006A0CE1" w:rsidP="006A0CE1">
      <w:r>
        <w:rPr>
          <w:rStyle w:val="Emphasis"/>
        </w:rPr>
        <w:t>Impact</w:t>
      </w:r>
      <w:r>
        <w:t xml:space="preserve">: Could lower NPLs below 5% by standardizing enforcement, as seen in low-NPL banks like Wema (3.17%). </w:t>
      </w:r>
    </w:p>
    <w:p w14:paraId="7ED6FC90" w14:textId="77777777" w:rsidR="006A0CE1" w:rsidRPr="00E8237C" w:rsidRDefault="006A0CE1" w:rsidP="006A0CE1">
      <w:pPr>
        <w:pStyle w:val="Heading3"/>
        <w:rPr>
          <w:b/>
          <w:bCs/>
        </w:rPr>
      </w:pPr>
      <w:bookmarkStart w:id="25" w:name="_Toc211278983"/>
      <w:r w:rsidRPr="00E8237C">
        <w:rPr>
          <w:rStyle w:val="Strong"/>
          <w:b w:val="0"/>
          <w:bCs w:val="0"/>
        </w:rPr>
        <w:t>6.3.2 Mandatory Expertise Criteria for Board and Management Appointments</w:t>
      </w:r>
      <w:bookmarkEnd w:id="25"/>
      <w:r w:rsidRPr="00E8237C">
        <w:rPr>
          <w:b/>
          <w:bCs/>
        </w:rPr>
        <w:t xml:space="preserve"> </w:t>
      </w:r>
    </w:p>
    <w:p w14:paraId="18A418E0" w14:textId="77777777" w:rsidR="006A0CE1" w:rsidRDefault="006A0CE1" w:rsidP="006A0CE1">
      <w:r>
        <w:rPr>
          <w:rStyle w:val="Emphasis"/>
        </w:rPr>
        <w:t>Action</w:t>
      </w:r>
      <w:r>
        <w:t xml:space="preserve">: Enforce CBN-mandated criteria requiring banking experience (minimum 5 years) and governance training (e.g., CIBN certification) for all board members and executives by 2026, addressing "Lack of Expertise" (60% interviews, n=6; 48% surveys). </w:t>
      </w:r>
    </w:p>
    <w:p w14:paraId="6A5B06E4" w14:textId="77777777" w:rsidR="006A0CE1" w:rsidRDefault="006A0CE1" w:rsidP="006A0CE1">
      <w:r>
        <w:rPr>
          <w:rStyle w:val="Emphasis"/>
        </w:rPr>
        <w:t>Rationale</w:t>
      </w:r>
      <w:r>
        <w:t>: Tenet 2’s strong effect (β=-0.40, r=-0.68) links unqualified appointments to NPLs, as in Oceanic Bank’s 2009 collapse (Sanusi, 2009). Independent nomination committees, absent in 61% of banks (</w:t>
      </w:r>
      <w:proofErr w:type="spellStart"/>
      <w:r>
        <w:t>Ogbechie</w:t>
      </w:r>
      <w:proofErr w:type="spellEnd"/>
      <w:r>
        <w:t xml:space="preserve">, 2016), would ensure merit-based selections. </w:t>
      </w:r>
    </w:p>
    <w:p w14:paraId="4124378A" w14:textId="77777777" w:rsidR="006A0CE1" w:rsidRDefault="006A0CE1" w:rsidP="006A0CE1">
      <w:r>
        <w:rPr>
          <w:rStyle w:val="Emphasis"/>
        </w:rPr>
        <w:t>Timeline/Feasibility</w:t>
      </w:r>
      <w:r>
        <w:t xml:space="preserve">: Short-term (2026). Feasible via CBN’s supervisory powers, with compliance audits integrated into 2026 reporting cycles. Training programs can leverage existing CIBN frameworks. </w:t>
      </w:r>
    </w:p>
    <w:p w14:paraId="25737364" w14:textId="77777777" w:rsidR="006A0CE1" w:rsidRDefault="006A0CE1" w:rsidP="006A0CE1">
      <w:r>
        <w:rPr>
          <w:rStyle w:val="Emphasis"/>
        </w:rPr>
        <w:t>Impact</w:t>
      </w:r>
      <w:r>
        <w:t xml:space="preserve">: Enhances oversight, potentially reducing NPLs in high-risk banks like First Bank (12.9%). </w:t>
      </w:r>
    </w:p>
    <w:p w14:paraId="591E7707" w14:textId="77777777" w:rsidR="006A0CE1" w:rsidRPr="00E8237C" w:rsidRDefault="006A0CE1" w:rsidP="006A0CE1">
      <w:pPr>
        <w:pStyle w:val="Heading3"/>
        <w:rPr>
          <w:b/>
          <w:bCs/>
        </w:rPr>
      </w:pPr>
      <w:bookmarkStart w:id="26" w:name="_Toc211278984"/>
      <w:r w:rsidRPr="00E8237C">
        <w:rPr>
          <w:rStyle w:val="Strong"/>
          <w:b w:val="0"/>
          <w:bCs w:val="0"/>
        </w:rPr>
        <w:lastRenderedPageBreak/>
        <w:t>6.3.3 Enhanced Whistleblowing Mechanisms</w:t>
      </w:r>
      <w:bookmarkEnd w:id="26"/>
      <w:r w:rsidRPr="00E8237C">
        <w:rPr>
          <w:b/>
          <w:bCs/>
        </w:rPr>
        <w:t xml:space="preserve"> </w:t>
      </w:r>
    </w:p>
    <w:p w14:paraId="00C92E20" w14:textId="77777777" w:rsidR="006A0CE1" w:rsidRDefault="006A0CE1" w:rsidP="006A0CE1">
      <w:r>
        <w:rPr>
          <w:rStyle w:val="Emphasis"/>
        </w:rPr>
        <w:t>Action</w:t>
      </w:r>
      <w:r>
        <w:t xml:space="preserve">: Mandate robust, anonymous whistleblowing systems by 2027, </w:t>
      </w:r>
      <w:proofErr w:type="spellStart"/>
      <w:r>
        <w:t>modeled</w:t>
      </w:r>
      <w:proofErr w:type="spellEnd"/>
      <w:r>
        <w:t xml:space="preserve"> on EU protections (EU, 2019), with CBN oversight and penalties for non-compliance, addressing "Transparency Issues" (70%, n=7 interviews). </w:t>
      </w:r>
    </w:p>
    <w:p w14:paraId="40FB284A" w14:textId="77777777" w:rsidR="006A0CE1" w:rsidRDefault="006A0CE1" w:rsidP="006A0CE1">
      <w:r>
        <w:rPr>
          <w:rStyle w:val="Emphasis"/>
        </w:rPr>
        <w:t>Rationale</w:t>
      </w:r>
      <w:r>
        <w:t>: Low Tenet 4 scores (M=1.8, β=-0.28) and audit capture (I6: "Influenced by shareholders") enable fraud concealment, inflating NPLs (</w:t>
      </w:r>
      <w:proofErr w:type="spellStart"/>
      <w:r>
        <w:t>Olojede</w:t>
      </w:r>
      <w:proofErr w:type="spellEnd"/>
      <w:r>
        <w:t xml:space="preserve"> et al., 2020). Protected reporting channels would empower stakeholders to report misconduct. </w:t>
      </w:r>
    </w:p>
    <w:p w14:paraId="7E456E3B" w14:textId="77777777" w:rsidR="006A0CE1" w:rsidRDefault="006A0CE1" w:rsidP="006A0CE1">
      <w:r>
        <w:rPr>
          <w:rStyle w:val="Emphasis"/>
        </w:rPr>
        <w:t>Timeline/Feasibility</w:t>
      </w:r>
      <w:r>
        <w:t xml:space="preserve">: Medium-term (2027). Requires legislative updates to strengthen CAMA 2020 provisions, feasible with CBN-FRCN advocacy and pilot programs in 2026. </w:t>
      </w:r>
    </w:p>
    <w:p w14:paraId="48A2C073" w14:textId="77777777" w:rsidR="006A0CE1" w:rsidRDefault="006A0CE1" w:rsidP="006A0CE1">
      <w:r>
        <w:rPr>
          <w:rStyle w:val="Emphasis"/>
        </w:rPr>
        <w:t>Impact</w:t>
      </w:r>
      <w:r>
        <w:t xml:space="preserve">: Improves transparency, reducing NPLs and restoring trust, as seen in low-NPL banks like Fidelity (3.2%). </w:t>
      </w:r>
    </w:p>
    <w:p w14:paraId="26BDCEBA" w14:textId="77777777" w:rsidR="006A0CE1" w:rsidRPr="00E8237C" w:rsidRDefault="006A0CE1" w:rsidP="006A0CE1">
      <w:pPr>
        <w:pStyle w:val="Heading3"/>
        <w:rPr>
          <w:b/>
          <w:bCs/>
        </w:rPr>
      </w:pPr>
      <w:bookmarkStart w:id="27" w:name="_Toc211278985"/>
      <w:r w:rsidRPr="00E8237C">
        <w:rPr>
          <w:rStyle w:val="Strong"/>
          <w:b w:val="0"/>
          <w:bCs w:val="0"/>
        </w:rPr>
        <w:t>6.3.4 Mandatory Independent Audit Committees and Regular Governance Audits</w:t>
      </w:r>
      <w:bookmarkEnd w:id="27"/>
      <w:r w:rsidRPr="00E8237C">
        <w:rPr>
          <w:b/>
          <w:bCs/>
        </w:rPr>
        <w:t xml:space="preserve"> </w:t>
      </w:r>
    </w:p>
    <w:p w14:paraId="5AB06BF8" w14:textId="77777777" w:rsidR="006A0CE1" w:rsidRDefault="006A0CE1" w:rsidP="006A0CE1">
      <w:r>
        <w:rPr>
          <w:rStyle w:val="Emphasis"/>
        </w:rPr>
        <w:t>Action</w:t>
      </w:r>
      <w:r>
        <w:t xml:space="preserve">: Enforce CAMA Section 359(4) for equal director-shareholder representation in audit committees by 2026, with CBN-led annual governance audits to ensure independence and compliance. </w:t>
      </w:r>
    </w:p>
    <w:p w14:paraId="3D2ADDFD" w14:textId="77777777" w:rsidR="006A0CE1" w:rsidRDefault="006A0CE1" w:rsidP="006A0CE1">
      <w:r>
        <w:rPr>
          <w:rStyle w:val="Emphasis"/>
        </w:rPr>
        <w:t>Rationale</w:t>
      </w:r>
      <w:r>
        <w:t xml:space="preserve">: Tenet 4’s weak effect (β=-0.28) and "Transparency Issues" highlight shareholder dominance undermining audits (Adegbite, 2014). Regular audits would detect mismanagement, as seen in 2009 crisis failures (Sanusi, 2009). </w:t>
      </w:r>
    </w:p>
    <w:p w14:paraId="30930508" w14:textId="77777777" w:rsidR="006A0CE1" w:rsidRDefault="006A0CE1" w:rsidP="006A0CE1">
      <w:r>
        <w:rPr>
          <w:rStyle w:val="Emphasis"/>
        </w:rPr>
        <w:t>Timeline/Feasibility</w:t>
      </w:r>
      <w:r>
        <w:t xml:space="preserve">: Short-term (2026). Feasible via existing CBN audit frameworks, with enhanced resources for FRCN enforcement by 2026 Q2. </w:t>
      </w:r>
    </w:p>
    <w:p w14:paraId="1334E0BF" w14:textId="77777777" w:rsidR="006A0CE1" w:rsidRDefault="006A0CE1" w:rsidP="006A0CE1">
      <w:r>
        <w:rPr>
          <w:rStyle w:val="Emphasis"/>
        </w:rPr>
        <w:t>Impact</w:t>
      </w:r>
      <w:r>
        <w:t xml:space="preserve">: Strengthens financial reporting, potentially lowering NPLs in banks like Ecobank (9.5%). </w:t>
      </w:r>
    </w:p>
    <w:p w14:paraId="6E9EB4E2" w14:textId="77777777" w:rsidR="006A0CE1" w:rsidRPr="00E8237C" w:rsidRDefault="006A0CE1" w:rsidP="006A0CE1">
      <w:pPr>
        <w:pStyle w:val="Heading3"/>
        <w:rPr>
          <w:b/>
          <w:bCs/>
        </w:rPr>
      </w:pPr>
      <w:bookmarkStart w:id="28" w:name="_Toc211278986"/>
      <w:r w:rsidRPr="00E8237C">
        <w:rPr>
          <w:rStyle w:val="Strong"/>
          <w:b w:val="0"/>
          <w:bCs w:val="0"/>
        </w:rPr>
        <w:lastRenderedPageBreak/>
        <w:t>6.3.5 Performance-Linked Compensation Structures</w:t>
      </w:r>
      <w:bookmarkEnd w:id="28"/>
      <w:r w:rsidRPr="00E8237C">
        <w:rPr>
          <w:b/>
          <w:bCs/>
        </w:rPr>
        <w:t xml:space="preserve"> </w:t>
      </w:r>
    </w:p>
    <w:p w14:paraId="598E3677" w14:textId="77777777" w:rsidR="006A0CE1" w:rsidRDefault="006A0CE1" w:rsidP="006A0CE1">
      <w:r>
        <w:rPr>
          <w:rStyle w:val="Emphasis"/>
        </w:rPr>
        <w:t>Action</w:t>
      </w:r>
      <w:r>
        <w:t xml:space="preserve">: Implement SEC Code 2011’s requirement for shareholder-approved, performance-linked compensation by 2027, aligning executive incentives with long-term bank stability. </w:t>
      </w:r>
    </w:p>
    <w:p w14:paraId="3FCC5084" w14:textId="77777777" w:rsidR="006A0CE1" w:rsidRDefault="006A0CE1" w:rsidP="006A0CE1">
      <w:r>
        <w:rPr>
          <w:rStyle w:val="Emphasis"/>
        </w:rPr>
        <w:t>Rationale</w:t>
      </w:r>
      <w:r>
        <w:t xml:space="preserve">: Qualitative data (I1: "Undue influence on executives") and literature (Al-Shaer et al., 2022) link misaligned incentives to NPLs. Transparent pay structures curb self-interest, supporting Tenet 2 findings. </w:t>
      </w:r>
    </w:p>
    <w:p w14:paraId="1C39B744" w14:textId="77777777" w:rsidR="006A0CE1" w:rsidRDefault="006A0CE1" w:rsidP="006A0CE1">
      <w:r>
        <w:rPr>
          <w:rStyle w:val="Emphasis"/>
        </w:rPr>
        <w:t>Timeline/Feasibility</w:t>
      </w:r>
      <w:r>
        <w:t xml:space="preserve">: Medium-term (2027). Requires regulatory updates and shareholder engagement, feasible with CBN-led guidelines by 2026 Q4. </w:t>
      </w:r>
    </w:p>
    <w:p w14:paraId="6D3860FA" w14:textId="77777777" w:rsidR="006A0CE1" w:rsidRDefault="006A0CE1" w:rsidP="006A0CE1">
      <w:r>
        <w:rPr>
          <w:rStyle w:val="Emphasis"/>
        </w:rPr>
        <w:t>Impact</w:t>
      </w:r>
      <w:r>
        <w:t xml:space="preserve">: Aligns management with stakeholders, reducing defaults and supporting economic stability. </w:t>
      </w:r>
    </w:p>
    <w:p w14:paraId="26ED3648" w14:textId="77777777" w:rsidR="006A0CE1" w:rsidRDefault="006A0CE1" w:rsidP="006A0CE1">
      <w:r>
        <w:t>These recommendations, blending short-term feasibility with long-term legislative reforms, address the root causes of NPLs (425 bank failures since 1988; Udo, 2020), leveraging Nigeria’s 2025 economic momentum to foster a resilient banking sector aligned with global benchmarks.</w:t>
      </w:r>
    </w:p>
    <w:p w14:paraId="75482B5D" w14:textId="77777777" w:rsidR="006A0CE1" w:rsidRDefault="006A0CE1" w:rsidP="006A0CE1">
      <w:pPr>
        <w:pStyle w:val="Heading2"/>
      </w:pPr>
      <w:bookmarkStart w:id="29" w:name="_Toc211278987"/>
      <w:r>
        <w:t>6.4 Final Reflections and Future Directions</w:t>
      </w:r>
      <w:bookmarkEnd w:id="29"/>
    </w:p>
    <w:p w14:paraId="6CB48C5D" w14:textId="77777777" w:rsidR="006A0CE1" w:rsidRDefault="006A0CE1" w:rsidP="006A0CE1">
      <w:r>
        <w:t>This study holds profound significance for Nigeria’s banking sector, particularly as of June 2025, a pivotal moment marked by ongoing economic reforms and a stabilizing financial landscape (3.4% GDP growth, moderating inflation at 23-24%; IMF, 2025; CBN, 2025). As a researcher immersed in corporate governance (CG), I am struck by the urgency of addressing systemic deficiencies—patronage, regulatory multiplicity, and transparency gaps—that perpetuate Non-Performing Loan (NPL) ratios (5.62% sector average, above the 5% threshold; CBN, 2025). The mixed-methods approach, blending quantitative rigor (e.g., β=-0.48 for Tenet 1) with qualitative depth (e.g., "Risk Management Challenges" in 90% of interviews), underscores the entrenched nature of these issues, rooted in colonial legacies and post-</w:t>
      </w:r>
      <w:r>
        <w:lastRenderedPageBreak/>
        <w:t>consolidation failures (Elias, 2024; Sanusi, 2009). The findings resonate personally, as they highlight the potential to safeguard Nigeria’s economy—where banks are engines of growth (King &amp; Levine, 1993)—by fostering accountability and trust. Contributing to this transformative agenda, amid 2025’s economic optimism, feels both a privilege and a responsibility, as the proposed reforms (e.g., harmonized codes, independent audits) could prevent future crises like the 2009 $3.9 billion bailout.</w:t>
      </w:r>
    </w:p>
    <w:p w14:paraId="6579B61B" w14:textId="77777777" w:rsidR="006A0CE1" w:rsidRDefault="006A0CE1" w:rsidP="006A0CE1">
      <w:r>
        <w:t xml:space="preserve">Future research should build on these insights to deepen impact. First, exploring AI-driven risk management tools, such as advanced KYC/CRC systems, could quantify their efficacy in reducing NPLs, particularly for smaller banks with infrastructure gaps (I8). Experimental pilots in banks like Wema (NPL=3.17%) could test these innovations, addressing Tenet 1 deficiencies (M=2.4). Second, post-2025 crisis analysis is critical, given Nigeria’s volatile economic cycles. Longitudinal studies tracking NPLs and governance metrics beyond 2025 could assess the durability of reforms like CBN Guidelines 2023, extending </w:t>
      </w:r>
      <w:proofErr w:type="spellStart"/>
      <w:r>
        <w:t>Kafidipe’s</w:t>
      </w:r>
      <w:proofErr w:type="spellEnd"/>
      <w:r>
        <w:t xml:space="preserve"> (2021) post-consolidation framework. Third, comparative studies with African peers (e.g., Ghana, Kenya) could identify transferable governance practices, such as stricter whistleblowing protections, to address Nigeria’s transparency deficits (Tenet 4 M=1.8; </w:t>
      </w:r>
      <w:proofErr w:type="spellStart"/>
      <w:r>
        <w:t>Olojede</w:t>
      </w:r>
      <w:proofErr w:type="spellEnd"/>
      <w:r>
        <w:t xml:space="preserve"> et al., 2020). Finally, investigating cultural barriers, like patronage rooted in pre-colonial communal norms (Altin, 2024), through ethnographic methods could unpack resistance to reforms, enriching agency and stakeholder theories (Jensen &amp; Meckling, 1976; Freeman, 1984). These directions promise to sustain momentum, ensuring Nigeria’s banking sector aligns with global standards while fostering economic resilience.</w:t>
      </w:r>
    </w:p>
    <w:p w14:paraId="0068F253" w14:textId="77777777" w:rsidR="00D4201D" w:rsidRDefault="00D4201D"/>
    <w:sectPr w:rsidR="00D42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1"/>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E1"/>
    <w:rsid w:val="005D3EB3"/>
    <w:rsid w:val="005E7D92"/>
    <w:rsid w:val="006A0CE1"/>
    <w:rsid w:val="008D3CB8"/>
    <w:rsid w:val="00A04F2B"/>
    <w:rsid w:val="00D4201D"/>
    <w:rsid w:val="00E158D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19426D7"/>
  <w15:chartTrackingRefBased/>
  <w15:docId w15:val="{166B3BAB-1BA9-BA4F-AA52-287554DE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CE1"/>
    <w:pPr>
      <w:suppressAutoHyphens/>
      <w:spacing w:after="0" w:line="480" w:lineRule="auto"/>
      <w:jc w:val="both"/>
    </w:pPr>
    <w:rPr>
      <w:rFonts w:ascii="Calibri" w:eastAsia="Times New Roman" w:hAnsi="Calibri" w:cs="Times New Roman"/>
      <w:kern w:val="0"/>
      <w:lang w:val="en-GB" w:eastAsia="en-GB"/>
      <w14:ligatures w14:val="none"/>
    </w:rPr>
  </w:style>
  <w:style w:type="paragraph" w:styleId="Heading1">
    <w:name w:val="heading 1"/>
    <w:basedOn w:val="Normal"/>
    <w:next w:val="Normal"/>
    <w:link w:val="Heading1Char"/>
    <w:uiPriority w:val="9"/>
    <w:qFormat/>
    <w:rsid w:val="006A0CE1"/>
    <w:pPr>
      <w:keepNext/>
      <w:keepLines/>
      <w:suppressAutoHyphens w:val="0"/>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NG" w:eastAsia="en-US"/>
      <w14:ligatures w14:val="standardContextual"/>
    </w:rPr>
  </w:style>
  <w:style w:type="paragraph" w:styleId="Heading2">
    <w:name w:val="heading 2"/>
    <w:basedOn w:val="Normal"/>
    <w:next w:val="Normal"/>
    <w:link w:val="Heading2Char"/>
    <w:uiPriority w:val="9"/>
    <w:unhideWhenUsed/>
    <w:qFormat/>
    <w:rsid w:val="006A0CE1"/>
    <w:pPr>
      <w:keepNext/>
      <w:keepLines/>
      <w:suppressAutoHyphens w:val="0"/>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NG" w:eastAsia="en-US"/>
      <w14:ligatures w14:val="standardContextual"/>
    </w:rPr>
  </w:style>
  <w:style w:type="paragraph" w:styleId="Heading3">
    <w:name w:val="heading 3"/>
    <w:basedOn w:val="Normal"/>
    <w:next w:val="Normal"/>
    <w:link w:val="Heading3Char"/>
    <w:uiPriority w:val="9"/>
    <w:unhideWhenUsed/>
    <w:qFormat/>
    <w:rsid w:val="006A0CE1"/>
    <w:pPr>
      <w:keepNext/>
      <w:keepLines/>
      <w:suppressAutoHyphens w:val="0"/>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NG" w:eastAsia="en-US"/>
      <w14:ligatures w14:val="standardContextual"/>
    </w:rPr>
  </w:style>
  <w:style w:type="paragraph" w:styleId="Heading4">
    <w:name w:val="heading 4"/>
    <w:basedOn w:val="Normal"/>
    <w:next w:val="Normal"/>
    <w:link w:val="Heading4Char"/>
    <w:uiPriority w:val="9"/>
    <w:semiHidden/>
    <w:unhideWhenUsed/>
    <w:qFormat/>
    <w:rsid w:val="006A0CE1"/>
    <w:pPr>
      <w:keepNext/>
      <w:keepLines/>
      <w:suppressAutoHyphens w:val="0"/>
      <w:spacing w:before="80" w:after="40" w:line="278" w:lineRule="auto"/>
      <w:jc w:val="left"/>
      <w:outlineLvl w:val="3"/>
    </w:pPr>
    <w:rPr>
      <w:rFonts w:asciiTheme="minorHAnsi" w:eastAsiaTheme="majorEastAsia" w:hAnsiTheme="minorHAnsi" w:cstheme="majorBidi"/>
      <w:i/>
      <w:iCs/>
      <w:color w:val="2F5496" w:themeColor="accent1" w:themeShade="BF"/>
      <w:kern w:val="2"/>
      <w:lang w:val="en-NG" w:eastAsia="en-US"/>
      <w14:ligatures w14:val="standardContextual"/>
    </w:rPr>
  </w:style>
  <w:style w:type="paragraph" w:styleId="Heading5">
    <w:name w:val="heading 5"/>
    <w:basedOn w:val="Normal"/>
    <w:next w:val="Normal"/>
    <w:link w:val="Heading5Char"/>
    <w:uiPriority w:val="9"/>
    <w:semiHidden/>
    <w:unhideWhenUsed/>
    <w:qFormat/>
    <w:rsid w:val="006A0CE1"/>
    <w:pPr>
      <w:keepNext/>
      <w:keepLines/>
      <w:suppressAutoHyphens w:val="0"/>
      <w:spacing w:before="80" w:after="40" w:line="278" w:lineRule="auto"/>
      <w:jc w:val="left"/>
      <w:outlineLvl w:val="4"/>
    </w:pPr>
    <w:rPr>
      <w:rFonts w:asciiTheme="minorHAnsi" w:eastAsiaTheme="majorEastAsia" w:hAnsiTheme="minorHAnsi" w:cstheme="majorBidi"/>
      <w:color w:val="2F5496" w:themeColor="accent1" w:themeShade="BF"/>
      <w:kern w:val="2"/>
      <w:lang w:val="en-NG" w:eastAsia="en-US"/>
      <w14:ligatures w14:val="standardContextual"/>
    </w:rPr>
  </w:style>
  <w:style w:type="paragraph" w:styleId="Heading6">
    <w:name w:val="heading 6"/>
    <w:basedOn w:val="Normal"/>
    <w:next w:val="Normal"/>
    <w:link w:val="Heading6Char"/>
    <w:uiPriority w:val="9"/>
    <w:semiHidden/>
    <w:unhideWhenUsed/>
    <w:qFormat/>
    <w:rsid w:val="006A0CE1"/>
    <w:pPr>
      <w:keepNext/>
      <w:keepLines/>
      <w:suppressAutoHyphens w:val="0"/>
      <w:spacing w:before="40" w:line="278" w:lineRule="auto"/>
      <w:jc w:val="left"/>
      <w:outlineLvl w:val="5"/>
    </w:pPr>
    <w:rPr>
      <w:rFonts w:asciiTheme="minorHAnsi" w:eastAsiaTheme="majorEastAsia" w:hAnsiTheme="minorHAnsi" w:cstheme="majorBidi"/>
      <w:i/>
      <w:iCs/>
      <w:color w:val="595959" w:themeColor="text1" w:themeTint="A6"/>
      <w:kern w:val="2"/>
      <w:lang w:val="en-NG" w:eastAsia="en-US"/>
      <w14:ligatures w14:val="standardContextual"/>
    </w:rPr>
  </w:style>
  <w:style w:type="paragraph" w:styleId="Heading7">
    <w:name w:val="heading 7"/>
    <w:basedOn w:val="Normal"/>
    <w:next w:val="Normal"/>
    <w:link w:val="Heading7Char"/>
    <w:uiPriority w:val="9"/>
    <w:semiHidden/>
    <w:unhideWhenUsed/>
    <w:qFormat/>
    <w:rsid w:val="006A0CE1"/>
    <w:pPr>
      <w:keepNext/>
      <w:keepLines/>
      <w:suppressAutoHyphens w:val="0"/>
      <w:spacing w:before="40" w:line="278" w:lineRule="auto"/>
      <w:jc w:val="left"/>
      <w:outlineLvl w:val="6"/>
    </w:pPr>
    <w:rPr>
      <w:rFonts w:asciiTheme="minorHAnsi" w:eastAsiaTheme="majorEastAsia" w:hAnsiTheme="minorHAnsi" w:cstheme="majorBidi"/>
      <w:color w:val="595959" w:themeColor="text1" w:themeTint="A6"/>
      <w:kern w:val="2"/>
      <w:lang w:val="en-NG" w:eastAsia="en-US"/>
      <w14:ligatures w14:val="standardContextual"/>
    </w:rPr>
  </w:style>
  <w:style w:type="paragraph" w:styleId="Heading8">
    <w:name w:val="heading 8"/>
    <w:basedOn w:val="Normal"/>
    <w:next w:val="Normal"/>
    <w:link w:val="Heading8Char"/>
    <w:uiPriority w:val="9"/>
    <w:semiHidden/>
    <w:unhideWhenUsed/>
    <w:qFormat/>
    <w:rsid w:val="006A0CE1"/>
    <w:pPr>
      <w:keepNext/>
      <w:keepLines/>
      <w:suppressAutoHyphens w:val="0"/>
      <w:spacing w:line="278" w:lineRule="auto"/>
      <w:jc w:val="left"/>
      <w:outlineLvl w:val="7"/>
    </w:pPr>
    <w:rPr>
      <w:rFonts w:asciiTheme="minorHAnsi" w:eastAsiaTheme="majorEastAsia" w:hAnsiTheme="minorHAnsi" w:cstheme="majorBidi"/>
      <w:i/>
      <w:iCs/>
      <w:color w:val="272727" w:themeColor="text1" w:themeTint="D8"/>
      <w:kern w:val="2"/>
      <w:lang w:val="en-NG" w:eastAsia="en-US"/>
      <w14:ligatures w14:val="standardContextual"/>
    </w:rPr>
  </w:style>
  <w:style w:type="paragraph" w:styleId="Heading9">
    <w:name w:val="heading 9"/>
    <w:basedOn w:val="Normal"/>
    <w:next w:val="Normal"/>
    <w:link w:val="Heading9Char"/>
    <w:uiPriority w:val="9"/>
    <w:semiHidden/>
    <w:unhideWhenUsed/>
    <w:qFormat/>
    <w:rsid w:val="006A0CE1"/>
    <w:pPr>
      <w:keepNext/>
      <w:keepLines/>
      <w:suppressAutoHyphens w:val="0"/>
      <w:spacing w:line="278" w:lineRule="auto"/>
      <w:jc w:val="left"/>
      <w:outlineLvl w:val="8"/>
    </w:pPr>
    <w:rPr>
      <w:rFonts w:asciiTheme="minorHAnsi" w:eastAsiaTheme="majorEastAsia" w:hAnsiTheme="minorHAnsi" w:cstheme="majorBidi"/>
      <w:color w:val="272727" w:themeColor="text1" w:themeTint="D8"/>
      <w:kern w:val="2"/>
      <w:lang w:val="en-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A0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6A0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6A0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E1"/>
    <w:rPr>
      <w:rFonts w:eastAsiaTheme="majorEastAsia" w:cstheme="majorBidi"/>
      <w:color w:val="272727" w:themeColor="text1" w:themeTint="D8"/>
    </w:rPr>
  </w:style>
  <w:style w:type="paragraph" w:styleId="Title">
    <w:name w:val="Title"/>
    <w:basedOn w:val="Normal"/>
    <w:next w:val="Normal"/>
    <w:link w:val="TitleChar"/>
    <w:uiPriority w:val="10"/>
    <w:qFormat/>
    <w:rsid w:val="006A0CE1"/>
    <w:pPr>
      <w:suppressAutoHyphens w:val="0"/>
      <w:spacing w:after="80" w:line="240" w:lineRule="auto"/>
      <w:contextualSpacing/>
      <w:jc w:val="left"/>
    </w:pPr>
    <w:rPr>
      <w:rFonts w:asciiTheme="majorHAnsi" w:eastAsiaTheme="majorEastAsia" w:hAnsiTheme="majorHAnsi" w:cstheme="majorBidi"/>
      <w:spacing w:val="-10"/>
      <w:kern w:val="28"/>
      <w:sz w:val="56"/>
      <w:szCs w:val="56"/>
      <w:lang w:val="en-NG" w:eastAsia="en-US"/>
      <w14:ligatures w14:val="standardContextual"/>
    </w:rPr>
  </w:style>
  <w:style w:type="character" w:customStyle="1" w:styleId="TitleChar">
    <w:name w:val="Title Char"/>
    <w:basedOn w:val="DefaultParagraphFont"/>
    <w:link w:val="Title"/>
    <w:uiPriority w:val="10"/>
    <w:rsid w:val="006A0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E1"/>
    <w:pPr>
      <w:numPr>
        <w:ilvl w:val="1"/>
      </w:numPr>
      <w:suppressAutoHyphens w:val="0"/>
      <w:spacing w:after="160" w:line="278" w:lineRule="auto"/>
      <w:jc w:val="left"/>
    </w:pPr>
    <w:rPr>
      <w:rFonts w:asciiTheme="minorHAnsi" w:eastAsiaTheme="majorEastAsia" w:hAnsiTheme="minorHAnsi" w:cstheme="majorBidi"/>
      <w:color w:val="595959" w:themeColor="text1" w:themeTint="A6"/>
      <w:spacing w:val="15"/>
      <w:kern w:val="2"/>
      <w:sz w:val="28"/>
      <w:szCs w:val="28"/>
      <w:lang w:val="en-NG" w:eastAsia="en-US"/>
      <w14:ligatures w14:val="standardContextual"/>
    </w:rPr>
  </w:style>
  <w:style w:type="character" w:customStyle="1" w:styleId="SubtitleChar">
    <w:name w:val="Subtitle Char"/>
    <w:basedOn w:val="DefaultParagraphFont"/>
    <w:link w:val="Subtitle"/>
    <w:uiPriority w:val="11"/>
    <w:rsid w:val="006A0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E1"/>
    <w:pPr>
      <w:suppressAutoHyphens w:val="0"/>
      <w:spacing w:before="160" w:after="160" w:line="278" w:lineRule="auto"/>
      <w:jc w:val="center"/>
    </w:pPr>
    <w:rPr>
      <w:rFonts w:asciiTheme="minorHAnsi" w:eastAsiaTheme="minorHAnsi" w:hAnsiTheme="minorHAnsi" w:cstheme="minorBidi"/>
      <w:i/>
      <w:iCs/>
      <w:color w:val="404040" w:themeColor="text1" w:themeTint="BF"/>
      <w:kern w:val="2"/>
      <w:lang w:val="en-NG" w:eastAsia="en-US"/>
      <w14:ligatures w14:val="standardContextual"/>
    </w:rPr>
  </w:style>
  <w:style w:type="character" w:customStyle="1" w:styleId="QuoteChar">
    <w:name w:val="Quote Char"/>
    <w:basedOn w:val="DefaultParagraphFont"/>
    <w:link w:val="Quote"/>
    <w:uiPriority w:val="29"/>
    <w:rsid w:val="006A0CE1"/>
    <w:rPr>
      <w:i/>
      <w:iCs/>
      <w:color w:val="404040" w:themeColor="text1" w:themeTint="BF"/>
    </w:rPr>
  </w:style>
  <w:style w:type="paragraph" w:styleId="ListParagraph">
    <w:name w:val="List Paragraph"/>
    <w:basedOn w:val="Normal"/>
    <w:uiPriority w:val="34"/>
    <w:qFormat/>
    <w:rsid w:val="006A0CE1"/>
    <w:pPr>
      <w:suppressAutoHyphens w:val="0"/>
      <w:spacing w:after="160" w:line="278" w:lineRule="auto"/>
      <w:ind w:left="720"/>
      <w:contextualSpacing/>
      <w:jc w:val="left"/>
    </w:pPr>
    <w:rPr>
      <w:rFonts w:asciiTheme="minorHAnsi" w:eastAsiaTheme="minorHAnsi" w:hAnsiTheme="minorHAnsi" w:cstheme="minorBidi"/>
      <w:kern w:val="2"/>
      <w:lang w:val="en-NG" w:eastAsia="en-US"/>
      <w14:ligatures w14:val="standardContextual"/>
    </w:rPr>
  </w:style>
  <w:style w:type="character" w:styleId="IntenseEmphasis">
    <w:name w:val="Intense Emphasis"/>
    <w:basedOn w:val="DefaultParagraphFont"/>
    <w:uiPriority w:val="21"/>
    <w:qFormat/>
    <w:rsid w:val="006A0CE1"/>
    <w:rPr>
      <w:i/>
      <w:iCs/>
      <w:color w:val="2F5496" w:themeColor="accent1" w:themeShade="BF"/>
    </w:rPr>
  </w:style>
  <w:style w:type="paragraph" w:styleId="IntenseQuote">
    <w:name w:val="Intense Quote"/>
    <w:basedOn w:val="Normal"/>
    <w:next w:val="Normal"/>
    <w:link w:val="IntenseQuoteChar"/>
    <w:uiPriority w:val="30"/>
    <w:qFormat/>
    <w:rsid w:val="006A0CE1"/>
    <w:pPr>
      <w:pBdr>
        <w:top w:val="single" w:sz="4" w:space="10" w:color="2F5496" w:themeColor="accent1" w:themeShade="BF"/>
        <w:bottom w:val="single" w:sz="4" w:space="10" w:color="2F5496"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NG" w:eastAsia="en-US"/>
      <w14:ligatures w14:val="standardContextual"/>
    </w:rPr>
  </w:style>
  <w:style w:type="character" w:customStyle="1" w:styleId="IntenseQuoteChar">
    <w:name w:val="Intense Quote Char"/>
    <w:basedOn w:val="DefaultParagraphFont"/>
    <w:link w:val="IntenseQuote"/>
    <w:uiPriority w:val="30"/>
    <w:rsid w:val="006A0CE1"/>
    <w:rPr>
      <w:i/>
      <w:iCs/>
      <w:color w:val="2F5496" w:themeColor="accent1" w:themeShade="BF"/>
    </w:rPr>
  </w:style>
  <w:style w:type="character" w:styleId="IntenseReference">
    <w:name w:val="Intense Reference"/>
    <w:basedOn w:val="DefaultParagraphFont"/>
    <w:uiPriority w:val="32"/>
    <w:qFormat/>
    <w:rsid w:val="006A0CE1"/>
    <w:rPr>
      <w:b/>
      <w:bCs/>
      <w:smallCaps/>
      <w:color w:val="2F5496" w:themeColor="accent1" w:themeShade="BF"/>
      <w:spacing w:val="5"/>
    </w:rPr>
  </w:style>
  <w:style w:type="character" w:styleId="Strong">
    <w:name w:val="Strong"/>
    <w:basedOn w:val="DefaultParagraphFont"/>
    <w:qFormat/>
    <w:rsid w:val="006A0CE1"/>
    <w:rPr>
      <w:b/>
      <w:bCs/>
    </w:rPr>
  </w:style>
  <w:style w:type="character" w:styleId="Emphasis">
    <w:name w:val="Emphasis"/>
    <w:basedOn w:val="DefaultParagraphFont"/>
    <w:qFormat/>
    <w:rsid w:val="006A0CE1"/>
    <w:rPr>
      <w:i/>
      <w:iCs/>
    </w:rPr>
  </w:style>
  <w:style w:type="character" w:customStyle="1" w:styleId="BodyTextChar">
    <w:name w:val="Body Text Char"/>
    <w:basedOn w:val="DefaultParagraphFont"/>
    <w:link w:val="BodyText"/>
    <w:qFormat/>
    <w:rsid w:val="006A0CE1"/>
    <w:rPr>
      <w:rFonts w:ascii="Calibri" w:eastAsia="Times New Roman" w:hAnsi="Calibri" w:cs="Times New Roman"/>
      <w:kern w:val="0"/>
      <w:lang w:eastAsia="en-GB"/>
    </w:rPr>
  </w:style>
  <w:style w:type="paragraph" w:styleId="BodyText">
    <w:name w:val="Body Text"/>
    <w:basedOn w:val="Normal"/>
    <w:link w:val="BodyTextChar"/>
    <w:rsid w:val="006A0CE1"/>
    <w:pPr>
      <w:spacing w:after="140" w:line="276" w:lineRule="auto"/>
    </w:pPr>
    <w:rPr>
      <w:lang w:val="en-NG"/>
      <w14:ligatures w14:val="standardContextual"/>
    </w:rPr>
  </w:style>
  <w:style w:type="character" w:customStyle="1" w:styleId="BodyTextChar1">
    <w:name w:val="Body Text Char1"/>
    <w:basedOn w:val="DefaultParagraphFont"/>
    <w:uiPriority w:val="99"/>
    <w:semiHidden/>
    <w:rsid w:val="006A0CE1"/>
    <w:rPr>
      <w:rFonts w:ascii="Calibri" w:eastAsia="Times New Roman" w:hAnsi="Calibri" w:cs="Times New Roman"/>
      <w:kern w:val="0"/>
      <w:lang w:val="en-GB" w:eastAsia="en-GB"/>
      <w14:ligatures w14:val="none"/>
    </w:rPr>
  </w:style>
  <w:style w:type="paragraph" w:customStyle="1" w:styleId="TableContents">
    <w:name w:val="Table Contents"/>
    <w:basedOn w:val="Normal"/>
    <w:qFormat/>
    <w:rsid w:val="006A0CE1"/>
    <w:pPr>
      <w:widowControl w:val="0"/>
      <w:suppressLineNumbers/>
      <w:spacing w:line="240" w:lineRule="auto"/>
    </w:pPr>
  </w:style>
  <w:style w:type="paragraph" w:customStyle="1" w:styleId="TableHeading">
    <w:name w:val="Table Heading"/>
    <w:basedOn w:val="TableContents"/>
    <w:qFormat/>
    <w:rsid w:val="006A0CE1"/>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9265</Words>
  <Characters>52813</Characters>
  <Application>Microsoft Office Word</Application>
  <DocSecurity>0</DocSecurity>
  <Lines>440</Lines>
  <Paragraphs>123</Paragraphs>
  <ScaleCrop>false</ScaleCrop>
  <Company/>
  <LinksUpToDate>false</LinksUpToDate>
  <CharactersWithSpaces>61955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isiah jimoh</dc:creator>
  <cp:keywords/>
  <dc:description/>
  <cp:lastModifiedBy>isiah jimoh</cp:lastModifiedBy>
  <cp:revision>1</cp:revision>
  <dcterms:created xsi:type="dcterms:W3CDTF">2025-10-27T13:14:00Z</dcterms:created>
  <dcterms:modified xsi:type="dcterms:W3CDTF">2025-10-27T13:14:00Z</dcterms:modified>
</cp:coreProperties>
</file>