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 Chapter 1  </w:t>
      </w:r>
    </w:p>
    <w:p>
      <w:pPr>
        <w:pStyle w:val="Normal"/>
        <w:bidi w:val="0"/>
        <w:jc w:val="start"/>
        <w:rPr/>
      </w:pPr>
      <w:r>
        <w:rPr/>
        <w:t>Introduction</w:t>
      </w:r>
    </w:p>
    <w:p>
      <w:pPr>
        <w:pStyle w:val="Normal"/>
        <w:bidi w:val="0"/>
        <w:jc w:val="start"/>
        <w:rPr/>
      </w:pPr>
      <w:r>
        <w:rPr/>
      </w:r>
    </w:p>
    <w:p>
      <w:pPr>
        <w:pStyle w:val="Normal"/>
        <w:bidi w:val="0"/>
        <w:jc w:val="start"/>
        <w:rPr/>
      </w:pPr>
      <w:r>
        <w:rPr/>
        <w:t>Nigeria's banking sector has faced repeated crises due to unclear rules and weak enforcement. These problems led to high levels of non-performing loans—loans that borrowers aren't repaying—which reached over thirty percent during the 2009 meltdown. This required a massive government bailout of ₦620 billion (Sanusi, 2014; CBN, 2011). After the crisis, reforms like the Central Bank of Nigeria's 2014 Code of Corporate Governance were introduced to make rules clearer. These focused on better risk management, following the rules, and setting aside money for potential loan losses. However, different organizations, such as the Securities and Exchange Commission and the National Deposit Insurance Corporation, still have overlapping responsibilities. This creates confusion and makes it harder for banks to comply effectively (Agbloyor et al., 2013). Experts suggest that this overlap worsens non-performing loans by making it difficult for banks to lend wisely and recognize losses quickly (North, 1990).</w:t>
      </w:r>
    </w:p>
    <w:p>
      <w:pPr>
        <w:pStyle w:val="Normal"/>
        <w:bidi w:val="0"/>
        <w:jc w:val="start"/>
        <w:rPr/>
      </w:pPr>
      <w:r>
        <w:rPr/>
      </w:r>
    </w:p>
    <w:p>
      <w:pPr>
        <w:pStyle w:val="Normal"/>
        <w:bidi w:val="0"/>
        <w:jc w:val="start"/>
        <w:rPr/>
      </w:pPr>
      <w:r>
        <w:rPr/>
        <w:t>These challenges continue today. By mid-2024, the overall level of non-performing loans was four point two percent, rising to four point six percent by the end of the year. This increase came from the naira's devaluation and high inflation, which made it harder for borrowers to pay back debts (CBN, 2024). In early 2025, the Central Bank of Nigeria plans to end temporary relief measures starting in June 2025. This could push non-performing loan levels up by one to two percentage points as banks reclassify delayed loans under stricter rules (S&amp;P Global Ratings, 2025). This rise highlights how fragile the reforms after 2009 have been, especially since Nigeria hasn't fully aligned with international standards like Basel III, unlike some other African countries (Bongomin and Ntayi, 2025).</w:t>
      </w:r>
    </w:p>
    <w:p>
      <w:pPr>
        <w:pStyle w:val="Normal"/>
        <w:bidi w:val="0"/>
        <w:jc w:val="start"/>
        <w:rPr/>
      </w:pPr>
      <w:r>
        <w:rPr/>
      </w:r>
    </w:p>
    <w:p>
      <w:pPr>
        <w:pStyle w:val="Normal"/>
        <w:bidi w:val="0"/>
        <w:jc w:val="start"/>
        <w:rPr/>
      </w:pPr>
      <w:r>
        <w:rPr/>
        <w:t>There's limited research on how clear regulations affect credit risks in emerging markets like Nigeria. Studies from developed countries show that straightforward rules lead to lower non-performing loans through better governance (Erkens et al., 2020). But in Africa, the evidence is mixed—some blame high non-performing loans on poor enforcement rather than too many rules (Asare and Oduro, 2021). In Nigeria, past research often looks at big-picture economic factors, like currency changes, or basic governance measures, like independent boards, but ignores how compliance practices connect them (Ofoeda, 2022). For example, one study notes that non-performing loans hit nationally licensed banks harder due to uneven rule-following, but without testing the links (Atoi, 2021).</w:t>
      </w:r>
    </w:p>
    <w:p>
      <w:pPr>
        <w:pStyle w:val="Normal"/>
        <w:bidi w:val="0"/>
        <w:jc w:val="start"/>
        <w:rPr/>
      </w:pPr>
      <w:r>
        <w:rPr/>
      </w:r>
    </w:p>
    <w:p>
      <w:pPr>
        <w:pStyle w:val="Normal"/>
        <w:bidi w:val="0"/>
        <w:jc w:val="start"/>
        <w:rPr/>
      </w:pPr>
      <w:r>
        <w:rPr/>
        <w:t>The situation in 2024 offers a good opportunity to study this, as Nigeria adopts Basel III amid global pressures (Bongomin and Ntayi, 2025). This research fills the gap by combining 2024 financial data with views from people involved. It contributes in three ways: first, by breaking down how clear regulations affect non-performing loans directly and indirectly through better compliance; second, by using a statistical method called bootstrapped mediation analysis, which works well with smaller data sets; and third, by giving practical advice to the Central Bank of Nigeria on adopting Basel III in Africa. By blending institutional theory with mixed research methods, we explain how overlapping rules keep credit risks high in Africa's biggest economy.</w:t>
      </w:r>
    </w:p>
    <w:p>
      <w:pPr>
        <w:pStyle w:val="Normal"/>
        <w:bidi w:val="0"/>
        <w:jc w:val="start"/>
        <w:rPr/>
      </w:pPr>
      <w:r>
        <w:rPr/>
      </w:r>
    </w:p>
    <w:p>
      <w:pPr>
        <w:pStyle w:val="Normal"/>
        <w:bidi w:val="0"/>
        <w:jc w:val="start"/>
        <w:rPr/>
      </w:pPr>
      <w:r>
        <w:rPr/>
        <w:t>### 1.1 Corporate Governance Challenges in Nigeria’s Deposit Money Banking Sector</w:t>
      </w:r>
    </w:p>
    <w:p>
      <w:pPr>
        <w:pStyle w:val="Normal"/>
        <w:bidi w:val="0"/>
        <w:jc w:val="start"/>
        <w:rPr/>
      </w:pPr>
      <w:r>
        <w:rPr/>
      </w:r>
    </w:p>
    <w:p>
      <w:pPr>
        <w:pStyle w:val="Normal"/>
        <w:bidi w:val="0"/>
        <w:jc w:val="start"/>
        <w:rPr/>
      </w:pPr>
      <w:r>
        <w:rPr/>
        <w:t>Corporate governance refers to the systems and processes that ensure banks are run responsibly, transparently, and in a way that protects everyone's interests. In Nigeria's deposit money banks—the main commercial banks that take deposits and give loans—these systems face ongoing problems. These issues reduce accountability, hide information, and threaten financial stability, leading to higher risks of loan defaults and slowing economic growth (King &amp; Levine, 1993). The problems have deep historical roots and continued even after the 2004 bank consolidation, which merged many banks to make them stronger. For instance, Oceanic Bank's scandals involved loans to insiders and faked accounts, showing conflicts between owners and managers (Sanusi, 2009). Before colonialism, Nigeria relied on traditional rules. Colonial laws, like the Companies Ordinance 1912, brought in mismatched Western structures. After independence, laws like the Companies Act 1968 and the Companies and Allied Matters Act 2020 tried to adapt, but the system remains fragmented.</w:t>
      </w:r>
    </w:p>
    <w:p>
      <w:pPr>
        <w:pStyle w:val="Normal"/>
        <w:bidi w:val="0"/>
        <w:jc w:val="start"/>
        <w:rPr/>
      </w:pPr>
      <w:r>
        <w:rPr/>
      </w:r>
    </w:p>
    <w:p>
      <w:pPr>
        <w:pStyle w:val="Normal"/>
        <w:bidi w:val="0"/>
        <w:jc w:val="start"/>
        <w:rPr/>
      </w:pPr>
      <w:r>
        <w:rPr/>
        <w:t>This history, including state ownership before 1986 and politically influenced board appointments, creates today's issues: poor accountability, lack of skills, and confusing rules. These problems increase default risks after 2004 (Elias, 2024; Chinweoda et al., 2020; Sanusi, 2014). Failures in managing risks led to non-performing loans reaching twenty percent in 2017, far above the five percent limit, causing banks like Intercontinental to fail due to loose lending and weak controls (Adegboye, 2020). Unlike Basel III's strong standards for resilience (BCBS, 2010), Nigeria's weak whistleblowing allowed fraud to be hidden during the 2009 crisis, unlike the European Union's protected systems (Olojede et al., 2020; EU, 2019). These weaknesses damage trust, cause runs on deposits, and destabilize Nigeria's financial system, where banks are vital for development (Siyanbola, 2019). The 2009 crisis cost ₦3.9 billion in Central Bank support, revealing risks from poor oversight and insider abuses (Sanusi, 2009). Globally, OECD principles stress independent boards and risk monitoring, areas where Nigeria falls short (OECD, 2015).</w:t>
      </w:r>
    </w:p>
    <w:p>
      <w:pPr>
        <w:pStyle w:val="Normal"/>
        <w:bidi w:val="0"/>
        <w:jc w:val="start"/>
        <w:rPr/>
      </w:pPr>
      <w:r>
        <w:rPr/>
      </w:r>
    </w:p>
    <w:p>
      <w:pPr>
        <w:pStyle w:val="Normal"/>
        <w:bidi w:val="0"/>
        <w:jc w:val="start"/>
        <w:rPr/>
      </w:pPr>
      <w:r>
        <w:rPr/>
        <w:t>This study looks at these challenges in Nigeria's deposit money banks. It assesses key governance elements—disclosure (sharing information), practices (how things are done), and compliance (following rules)—and their link to non-performing loans from 2009 to 2024 (research question one). It also examines how financial reporting quality mediates the connection between audit independence and non-performing loans in 2024 (research question two), how disclosure was ineffective before reforms but stronger after Central Bank mandates (research question three), and how clear regulations affect non-performing loans from 2020 to 2025 (research question four). It recommends unified rules, independent oversight, and skilled leaders to meet global standards and lower default risks (Efunniyi et al., 2024). By tackling historical issues, cultural conflicts, and governance gaps, it aims to boost financial stability and fill research gaps in Nigeria's banking (Osita et al., 2019).</w:t>
      </w:r>
    </w:p>
    <w:p>
      <w:pPr>
        <w:pStyle w:val="Normal"/>
        <w:bidi w:val="0"/>
        <w:jc w:val="start"/>
        <w:rPr/>
      </w:pPr>
      <w:r>
        <w:rPr/>
      </w:r>
    </w:p>
    <w:p>
      <w:pPr>
        <w:pStyle w:val="Normal"/>
        <w:bidi w:val="0"/>
        <w:jc w:val="start"/>
        <w:rPr/>
      </w:pPr>
      <w:r>
        <w:rPr/>
        <w:t>#### 1.1.1 Corporate Governance Issues with Emphasis on Transparency and Accountability</w:t>
      </w:r>
    </w:p>
    <w:p>
      <w:pPr>
        <w:pStyle w:val="Normal"/>
        <w:bidi w:val="0"/>
        <w:jc w:val="start"/>
        <w:rPr/>
      </w:pPr>
      <w:r>
        <w:rPr/>
      </w:r>
    </w:p>
    <w:p>
      <w:pPr>
        <w:pStyle w:val="Normal"/>
        <w:bidi w:val="0"/>
        <w:jc w:val="start"/>
        <w:rPr/>
      </w:pPr>
      <w:r>
        <w:rPr/>
        <w:t>Corporate governance in Nigeria's deposit money banks is crucial for keeping the financial system stable. However, ongoing problems weaken two key pillars: transparency (sharing clear and timely information about the bank's health) and accountability (ensuring leaders are responsible for their actions and align with the interests of shareholders and others). These pillars build trust and protect everyone involved (Solomon, 2020; Healy &amp; Palepu, 2001). In Nigeria, issues like weak board oversight, poor disclosure, lack of stakeholder involvement, flawed audits, and misaligned pay structures erode these principles. This leads to investor doubt, more regulation, damaged reputations, and higher non-performing loans. This section explores these problems in the Nigerian context, using history, regulatory issues, and examples like Oceanic Bank to show their effects and suggest ways to improve governance and reduce defaults.</w:t>
      </w:r>
    </w:p>
    <w:p>
      <w:pPr>
        <w:pStyle w:val="Normal"/>
        <w:bidi w:val="0"/>
        <w:jc w:val="start"/>
        <w:rPr/>
      </w:pPr>
      <w:r>
        <w:rPr/>
      </w:r>
    </w:p>
    <w:p>
      <w:pPr>
        <w:pStyle w:val="Normal"/>
        <w:bidi w:val="0"/>
        <w:jc w:val="start"/>
        <w:rPr/>
      </w:pPr>
      <w:r>
        <w:rPr/>
        <w:t>Boards are the foundation of governance—they oversee management, set strategy, and ensure loyalty to shareholders (Aguilera &amp; Ruiz Castillo, 2025; OECD, 2023). But in Nigerian banks, boards often lack independence and effectiveness. Before 1986, state interference and post-independence political appointments led to favoritism, filling boards with unqualified loyalists (Chinweoda et al., 2020; Nwoko et al., 2022). In Oceanic Bank, the Ibru family controlled things, leading to related-party lending where seventy-five percent of 2009 non-performing loans went to family businesses, showing failed oversight (Sanusi, 2009). Plus, sixty-one percent of banks don't have independent selection processes, letting owners dominate and prioritize personal gains over stakeholders, contributing to failures at Intercontinental and Bank PHB (Ogbechie, 2016; Owolabi, 2013). This lack of independence weakens loyalty, causing waste and rising non-performing loans.</w:t>
      </w:r>
    </w:p>
    <w:p>
      <w:pPr>
        <w:pStyle w:val="Normal"/>
        <w:bidi w:val="0"/>
        <w:jc w:val="start"/>
        <w:rPr/>
      </w:pPr>
      <w:r>
        <w:rPr/>
      </w:r>
    </w:p>
    <w:p>
      <w:pPr>
        <w:pStyle w:val="Normal"/>
        <w:bidi w:val="0"/>
        <w:jc w:val="start"/>
        <w:rPr/>
      </w:pPr>
      <w:r>
        <w:rPr/>
        <w:t>Transparency in financial reporting is key to understanding a bank's health, but Nigerian banks have widespread misstatements and delays. They deviate from standards and exploit overlapping rules to distort information (Babajide et al., 2020; Osemeke &amp; Adegbite, 2016). During the 2009 crisis, poor oversight let Oceanic hide non-performing loans through bad reporting, delaying awareness of problems (Olojede et al., 2020). Shifting from voluntary to mandatory audits aimed to help, but without independence—due to owner or executive control—it doesn't work well (Healy &amp; Palepu, 2001; Adegbite, 2014). This opacity limits investor power, raising collapse risks as stakeholders can't protect themselves (Ugochukwu, 2000).</w:t>
      </w:r>
    </w:p>
    <w:p>
      <w:pPr>
        <w:pStyle w:val="Normal"/>
        <w:bidi w:val="0"/>
        <w:jc w:val="start"/>
        <w:rPr/>
      </w:pPr>
      <w:r>
        <w:rPr/>
      </w:r>
    </w:p>
    <w:p>
      <w:pPr>
        <w:pStyle w:val="Normal"/>
        <w:bidi w:val="0"/>
        <w:jc w:val="start"/>
        <w:rPr/>
      </w:pPr>
      <w:r>
        <w:rPr/>
        <w:t>Good governance needs strong stakeholder engagement and protection for minority owners, but Nigerian banks have opaque decisions and neglect groups. Executives often put their interests first, worsening owner-manager conflicts due to weak oversight (Osemeke &amp; Adegbite, 2016). In Oceanic, insider loans and asset shifts to shell companies happened without transparency, sidelining minorities and eroding trust (Sanusi, 2009). Overlapping rules make enforcing rights hard, with flexible codes like NCCG clashing with strict Central Bank ones, causing confusion (Abdulmalik &amp; Ahmad, 2020). Weak whistleblowing, key in the 2009 crisis, suppresses reports of wrongdoing, deepening opacity and undermining accountability (Olojede et al., 2020).</w:t>
      </w:r>
    </w:p>
    <w:p>
      <w:pPr>
        <w:pStyle w:val="Normal"/>
        <w:bidi w:val="0"/>
        <w:jc w:val="start"/>
        <w:rPr/>
      </w:pPr>
      <w:r>
        <w:rPr/>
      </w:r>
    </w:p>
    <w:p>
      <w:pPr>
        <w:pStyle w:val="Normal"/>
        <w:bidi w:val="0"/>
        <w:jc w:val="start"/>
        <w:rPr/>
      </w:pPr>
      <w:r>
        <w:rPr/>
        <w:t>Audit independence and internal controls are vital for spotting fraud and ensuring transparent finances, but Nigeria's are weak and conflict-prone. Independence is undermined by owner control under CAMA Section 359(4) (Adegbite, 2014). The 2009 crisis saw audits fail to catch misstatements and embezzlement (Olojede et al., 2020). Like Enron, auditor conflicts reduce scrutiny, weakening controls and letting errors persist (Mallin, 2010; Rezaee et al., 2003; Hossain &amp; Hou, 2020). These gaps hide the true financial picture, increasing default risks and making reporting ineffective in linking audits to lower non-performing loans.</w:t>
      </w:r>
    </w:p>
    <w:p>
      <w:pPr>
        <w:pStyle w:val="Normal"/>
        <w:bidi w:val="0"/>
        <w:jc w:val="start"/>
        <w:rPr/>
      </w:pPr>
      <w:r>
        <w:rPr/>
      </w:r>
    </w:p>
    <w:p>
      <w:pPr>
        <w:pStyle w:val="Normal"/>
        <w:bidi w:val="0"/>
        <w:jc w:val="start"/>
        <w:rPr/>
      </w:pPr>
      <w:r>
        <w:rPr/>
        <w:t>Pay structures should align executives with shareholders, but in Nigeria, they cause misalignment and lack transparency. Overlapping rules lead to inconsistent pay—SEC 2011 requires shareholder approval, while NCCG is flexible (Osemeke &amp; Adegbite, 2016). In Oceanic, hidden excessive pay to the Ibru family enabled abuses, prioritizing personal gain (Sanusi, 2009). Lack of disclosure obscures loyalty, letting waste and distress go unchecked (Al-Shaer et al., 2022; Salehi et al., 2023).</w:t>
      </w:r>
    </w:p>
    <w:p>
      <w:pPr>
        <w:pStyle w:val="Normal"/>
        <w:bidi w:val="0"/>
        <w:jc w:val="start"/>
        <w:rPr/>
      </w:pPr>
      <w:r>
        <w:rPr/>
      </w:r>
    </w:p>
    <w:p>
      <w:pPr>
        <w:pStyle w:val="Normal"/>
        <w:bidi w:val="0"/>
        <w:jc w:val="start"/>
        <w:rPr/>
      </w:pPr>
      <w:r>
        <w:rPr/>
        <w:t>These issues badly affect transparency and accountability in Nigerian banking. Opaque decisions, misstatements, and secret pay weaken investor power, leading to poor choices and 2009 deposit runs (Ugochukwu, 2000). Regulators like the Central Bank and FRCN face more work amid conflicts, with weak enforcement failing to stop lapses (Nwoke et al., 2023; Adegbite, 2012). Reputational harm, like United Airlines in 2017, erodes trust and market position (Shepardson, 2017). Overall, they raise default risks, with 425 collapses since 1988 (Udo, 2020).</w:t>
      </w:r>
    </w:p>
    <w:p>
      <w:pPr>
        <w:pStyle w:val="Normal"/>
        <w:bidi w:val="0"/>
        <w:jc w:val="start"/>
        <w:rPr/>
      </w:pPr>
      <w:r>
        <w:rPr/>
      </w:r>
    </w:p>
    <w:p>
      <w:pPr>
        <w:pStyle w:val="Normal"/>
        <w:bidi w:val="0"/>
        <w:jc w:val="start"/>
        <w:rPr/>
      </w:pPr>
      <w:r>
        <w:rPr/>
        <w:t>To fix this, target improvements for better transparency and accountability. Boards need independence through diverse, skilled, impartial selection to reduce owner dominance (Ogbechie, 2016; Fariha et al., 2022). Strict timely reporting and independent audits improve disclosure (Healy &amp; Palepu, 2001; Al-Shaer et al., 2022). Strong whistleblowing and audits boost controls and detect misconduct (Olojede et al., 2020; Rezaee et al., 2003). Performance-based pay with disclosure aligns incentives ethically (Salehi et al., 2023). Regular monitoring via audits, feedback, and unified rules sustains reforms and aligns with global standards (Herbert &amp; Agwor, 2021; Beekes &amp; Brown, 2006).</w:t>
      </w:r>
    </w:p>
    <w:p>
      <w:pPr>
        <w:pStyle w:val="Normal"/>
        <w:bidi w:val="0"/>
        <w:jc w:val="start"/>
        <w:rPr/>
      </w:pPr>
      <w:r>
        <w:rPr/>
      </w:r>
    </w:p>
    <w:p>
      <w:pPr>
        <w:pStyle w:val="Normal"/>
        <w:bidi w:val="0"/>
        <w:jc w:val="start"/>
        <w:rPr/>
      </w:pPr>
      <w:r>
        <w:rPr/>
        <w:t>In summary, transparency and accountability are vital for good governance in Nigeria's deposit money banks, but problems in boards, disclosure, engagement, audits, and pay weaken them. Rooted in history and overlapping rules, they weaken investor power, increase regulation, cause harm, and keep default risks high with 425 collapses since 1988 (Udo, 2020; Kafidipe, 2021). Oceanic shows failures—oversight lapses, hidden distress, misaligned incentives—threatening stability and trust. Fixes like board independence, better disclosure, stronger controls, and performance pay can rebuild confidence and lower defaults. Ongoing monitoring and unified rules ensure lasting reforms, aligning Nigeria with global standards for growth (King &amp; Levine, 1993; Siyanbola, 2019). This sets up the empirical analysis and research objectives.</w:t>
      </w:r>
    </w:p>
    <w:p>
      <w:pPr>
        <w:pStyle w:val="Normal"/>
        <w:bidi w:val="0"/>
        <w:jc w:val="start"/>
        <w:rPr/>
      </w:pPr>
      <w:r>
        <w:rPr/>
      </w:r>
    </w:p>
    <w:p>
      <w:pPr>
        <w:pStyle w:val="Normal"/>
        <w:bidi w:val="0"/>
        <w:jc w:val="start"/>
        <w:rPr/>
      </w:pPr>
      <w:r>
        <w:rPr/>
        <w:t>#### 1.1.2 Default Risk and Nigerian Banks</w:t>
      </w:r>
    </w:p>
    <w:p>
      <w:pPr>
        <w:pStyle w:val="Normal"/>
        <w:bidi w:val="0"/>
        <w:jc w:val="start"/>
        <w:rPr/>
      </w:pPr>
      <w:r>
        <w:rPr/>
      </w:r>
    </w:p>
    <w:p>
      <w:pPr>
        <w:pStyle w:val="Normal"/>
        <w:bidi w:val="0"/>
        <w:jc w:val="start"/>
        <w:rPr/>
      </w:pPr>
      <w:r>
        <w:rPr/>
        <w:t>Nigeria's banking sector, led by deposit money banks, has seen many failures that expose weaknesses in governance, risk management, and regulation. These collapses destabilize the system, erode trust, and require bailouts. Defaults stem from a mix of institutional, economic, political, supervisory, and regulatory problems (Ogunleye, 2002). Governance issues are central, with poor board oversight, lack of transparency, and weak practices. The Central Bank has pointed to incompetent leadership in cases like Savannah Bank, once a top player (Sanusi, 2014).</w:t>
      </w:r>
    </w:p>
    <w:p>
      <w:pPr>
        <w:pStyle w:val="Normal"/>
        <w:bidi w:val="0"/>
        <w:jc w:val="start"/>
        <w:rPr/>
      </w:pPr>
      <w:r>
        <w:rPr/>
      </w:r>
    </w:p>
    <w:p>
      <w:pPr>
        <w:pStyle w:val="Normal"/>
        <w:bidi w:val="0"/>
        <w:jc w:val="start"/>
        <w:rPr/>
      </w:pPr>
      <w:r>
        <w:rPr/>
        <w:t>Governance failures often break best practices—insider loans, illegal credits, and shell deals driven by insiders, increasing moral hazard (taking risks with others' money) and adverse selection (picking bad borrowers). Owner-manager conflicts raise defaults. Adam Smith's 1776 ideas show managers putting self-interest over sustainability, worsened by concentrated ownership. Concentrated ownership links to higher defaults than spread-out ones, as executives misuse deposits via special vehicles for gain (Fernando et al., 2019; Abubakar, 2011). Non-performing loans rose to thirty-seven percent in 2009, compared to a global six point six percent (Nwosu, 2020), due to poor risk checks and lax lending. Information gaps lead to adverse selection, with high rates attracting risky borrowers, worsening portfolios (Stiglitz, 1987; Bertrand et al., 2011; Mayer &amp; Moreno, 2003). Competition lowers rates to attract clients, letting bad risks in (Admati &amp; Hellwig, 2013). Lack of expertise and risk systems breeds defaults.</w:t>
      </w:r>
    </w:p>
    <w:p>
      <w:pPr>
        <w:pStyle w:val="Normal"/>
        <w:bidi w:val="0"/>
        <w:jc w:val="start"/>
        <w:rPr/>
      </w:pPr>
      <w:r>
        <w:rPr/>
      </w:r>
    </w:p>
    <w:p>
      <w:pPr>
        <w:pStyle w:val="Normal"/>
        <w:bidi w:val="0"/>
        <w:jc w:val="start"/>
        <w:rPr/>
      </w:pPr>
      <w:r>
        <w:rPr/>
        <w:t>High-profile failures show the severity. Savannah fell to managerial incompetence. The 2009 crisis affected five banks—Afribank, Finbank, Intercontinental, Oceanic, Union—with thirty percent of deposits at risk, needing ₦3.9 billion stabilization (Sanusi, 2009). Afribank, valued at ₦65 billion, ended in ₦141 billion debt from mismanagement. Oceanic's Ibru family violated rules, with seventy-five percent non-performing loans to family entities (Sanusi, 2009). Insider lending, illegal credits, and asset grabs to shells broke codes, with CEO Ibru favoring family deals. Central Bank's Sanusi blamed governance for near-collapse, backed by NDIC's 425 insolvencies from 1988 to 2020 (Udo, 2020).</w:t>
      </w:r>
    </w:p>
    <w:p>
      <w:pPr>
        <w:pStyle w:val="Normal"/>
        <w:bidi w:val="0"/>
        <w:jc w:val="start"/>
        <w:rPr/>
      </w:pPr>
      <w:r>
        <w:rPr/>
      </w:r>
    </w:p>
    <w:p>
      <w:pPr>
        <w:pStyle w:val="Normal"/>
        <w:bidi w:val="0"/>
        <w:jc w:val="start"/>
        <w:rPr/>
      </w:pPr>
      <w:r>
        <w:rPr/>
        <w:t>Defaults affect more than banks—they threaten stability and rights. High non-performing loans erode capital and liquidity, hurting depositors and lending (Nwosu, 2020). Doubt destabilizes, rippling to the economy. Moral hazard in Oceanic shifted costs to taxpayers in 2009. Poor transparency hid errors, distorting decisions (Abubakar, 2011). Social costs include lost credit, slowed growth, and eroded trust. Concentrated ownership and weak oversight amplify conflicts, risking depositors and the economy.</w:t>
      </w:r>
    </w:p>
    <w:p>
      <w:pPr>
        <w:pStyle w:val="Normal"/>
        <w:bidi w:val="0"/>
        <w:jc w:val="start"/>
        <w:rPr/>
      </w:pPr>
      <w:r>
        <w:rPr/>
      </w:r>
    </w:p>
    <w:p>
      <w:pPr>
        <w:pStyle w:val="Normal"/>
        <w:bidi w:val="0"/>
        <w:jc w:val="start"/>
        <w:rPr/>
      </w:pPr>
      <w:r>
        <w:rPr/>
        <w:t>Responses included 2006 consolidation for resilience, but issues persisted. The 2009 bailout and CEO removals tested liquidity, exposing governance (Fadare, 2011). Enforcement ousted 178 executives and blacklisted 75 for links (Jimoh &amp; Iyoha, 2012). NDIC managed 425 insolvencies with insurance and rules like capital buffers to protect depositors (Demirguc-Kunt &amp; Huizinga, 2010; World Bank, 2019). Overlaps and weak enforcement continue. Post-consolidation growth brought skill gaps and dormant committees (Abubakar, 2011). Central Bank and Kasum saw governance conflicts as 2009 roots, calling for monitoring (2014).</w:t>
      </w:r>
    </w:p>
    <w:p>
      <w:pPr>
        <w:pStyle w:val="Normal"/>
        <w:bidi w:val="0"/>
        <w:jc w:val="start"/>
        <w:rPr/>
      </w:pPr>
      <w:r>
        <w:rPr/>
      </w:r>
    </w:p>
    <w:p>
      <w:pPr>
        <w:pStyle w:val="Normal"/>
        <w:bidi w:val="0"/>
        <w:jc w:val="start"/>
        <w:rPr/>
      </w:pPr>
      <w:r>
        <w:rPr/>
        <w:t>Repeated collapses need comprehensive governance and regulation. Weaknesses, conflicts, and risk gaps destabilize, with moral hazard persistent. Consolidation and oversight are short-term; reforms need stronger oversight, transparency, and unified rules to lower defaults, protect stakeholders, and ensure resilience. This study examines practices for reforms to strengthen stability.</w:t>
      </w:r>
    </w:p>
    <w:p>
      <w:pPr>
        <w:pStyle w:val="Normal"/>
        <w:bidi w:val="0"/>
        <w:jc w:val="start"/>
        <w:rPr/>
      </w:pPr>
      <w:r>
        <w:rPr/>
      </w:r>
    </w:p>
    <w:p>
      <w:pPr>
        <w:pStyle w:val="Normal"/>
        <w:bidi w:val="0"/>
        <w:jc w:val="start"/>
        <w:rPr/>
      </w:pPr>
      <w:r>
        <w:rPr/>
        <w:t>#### 1.1.3 Issues of Financial Regulatory Multiplicity in Nigeria</w:t>
      </w:r>
    </w:p>
    <w:p>
      <w:pPr>
        <w:pStyle w:val="Normal"/>
        <w:bidi w:val="0"/>
        <w:jc w:val="start"/>
        <w:rPr/>
      </w:pPr>
      <w:r>
        <w:rPr/>
      </w:r>
    </w:p>
    <w:p>
      <w:pPr>
        <w:pStyle w:val="Normal"/>
        <w:bidi w:val="0"/>
        <w:jc w:val="start"/>
        <w:rPr/>
      </w:pPr>
      <w:r>
        <w:rPr/>
        <w:t>Regulatory multiplicity means having many overlapping codes that guide how companies and stakeholders behave in different sectors (John, 2023; Ofo, 2013; Adegbite, 2014). Clarity is key to explaining rules and helping employees act right in various situations (Brooks, 1989). In Nigeria, this is a big problem, with conflicting laws weakening board and audit independence. Ownership structures cause accounting and governance issues, with rules that overlap and contradict (Abdulmalik, 2020).</w:t>
      </w:r>
    </w:p>
    <w:p>
      <w:pPr>
        <w:pStyle w:val="Normal"/>
        <w:bidi w:val="0"/>
        <w:jc w:val="start"/>
        <w:rPr/>
      </w:pPr>
      <w:r>
        <w:rPr/>
      </w:r>
    </w:p>
    <w:p>
      <w:pPr>
        <w:pStyle w:val="Normal"/>
        <w:bidi w:val="0"/>
        <w:jc w:val="start"/>
        <w:rPr/>
      </w:pPr>
      <w:r>
        <w:rPr/>
        <w:t>Nigeria's governance system is young, with independence only 64 years ago. Forty percent of listed firms don't understand governance basics, tied to pre-colonial traditions (Nwaukwa, 2024; Oromaraghako et al., 2021; Wilson, 2006). Major reforms are needed for better effectiveness.</w:t>
      </w:r>
    </w:p>
    <w:p>
      <w:pPr>
        <w:pStyle w:val="Normal"/>
        <w:bidi w:val="0"/>
        <w:jc w:val="start"/>
        <w:rPr/>
      </w:pPr>
      <w:r>
        <w:rPr/>
      </w:r>
    </w:p>
    <w:p>
      <w:pPr>
        <w:pStyle w:val="Normal"/>
        <w:bidi w:val="0"/>
        <w:jc w:val="start"/>
        <w:rPr/>
      </w:pPr>
      <w:r>
        <w:rPr/>
        <w:t>National traits—like culture and politics—require adapting rules, reflecting colonial history (Senaratne &amp; Gunaratne, 2008; Lu et al., 2009; Ahunwan, 2002; Adegbite &amp; Nakajima, 2011; Okike &amp; Adegbite, 2012). Governments regulate firms, with directors owing duties to shareholders and society (Brooks, 1989). Colonial influences led to immature banking laws without clear rules (Ugochukwu, 2000).</w:t>
      </w:r>
    </w:p>
    <w:p>
      <w:pPr>
        <w:pStyle w:val="Normal"/>
        <w:bidi w:val="0"/>
        <w:jc w:val="start"/>
        <w:rPr/>
      </w:pPr>
      <w:r>
        <w:rPr/>
      </w:r>
    </w:p>
    <w:p>
      <w:pPr>
        <w:pStyle w:val="Normal"/>
        <w:bidi w:val="0"/>
        <w:jc w:val="start"/>
        <w:rPr/>
      </w:pPr>
      <w:r>
        <w:rPr/>
        <w:t>Awareness of good governance has grown, but research on multiplicity's effects is limited (Adegbite, 2012; Adegbite, 2014). Soft laws encourage voluntary practices flexibly, while hard laws impose penalties (Adegbite, 2012; Adegbite, 2014). In Nigeria, hard laws are key for listed firms' failures, with weak regulators and too many rules (Nwoke et al., 2023; Tayo-Tiwo, 2020). Wilson stresses strong principles (2006).</w:t>
      </w:r>
    </w:p>
    <w:p>
      <w:pPr>
        <w:pStyle w:val="Normal"/>
        <w:bidi w:val="0"/>
        <w:jc w:val="start"/>
        <w:rPr/>
      </w:pPr>
      <w:r>
        <w:rPr/>
      </w:r>
    </w:p>
    <w:p>
      <w:pPr>
        <w:pStyle w:val="Normal"/>
        <w:bidi w:val="0"/>
        <w:jc w:val="start"/>
        <w:rPr/>
      </w:pPr>
      <w:r>
        <w:rPr/>
        <w:t>Nigeria's hard governance aligns with OECD. In weak judiciary countries like Nigeria, independent regulators substitute courts (Abdulmalik, 2020; Nwoke et al., 2023; Oman, 2001). They ensure adherence, accountability, and transparency. Multiplicity from code growth is evolutionary (Tayo-Tiwo, 2020; Abdulmalik, 2020; Adegbite, 2014).</w:t>
      </w:r>
    </w:p>
    <w:p>
      <w:pPr>
        <w:pStyle w:val="Normal"/>
        <w:bidi w:val="0"/>
        <w:jc w:val="start"/>
        <w:rPr/>
      </w:pPr>
      <w:r>
        <w:rPr/>
      </w:r>
    </w:p>
    <w:p>
      <w:pPr>
        <w:pStyle w:val="Normal"/>
        <w:bidi w:val="0"/>
        <w:jc w:val="start"/>
        <w:rPr/>
      </w:pPr>
      <w:r>
        <w:rPr/>
        <w:t>Multiple codes fit specific needs (Engle, 2007; Moghalu, 2011). But debate exists—some say they boost confidence (Macey &amp; O’Hara, 2003; BCBS, 2005, 2006; Hoffmann, 1998), others say they cause uncertainty (Osemeke et al., 2016; Adegbite, 2014). Confusion over rules weakens enforcement and compliance (Tayo-Tiwo, 2020; Abdulmalik, 2020; Adegbite, 2014).</w:t>
      </w:r>
    </w:p>
    <w:p>
      <w:pPr>
        <w:pStyle w:val="Normal"/>
        <w:bidi w:val="0"/>
        <w:jc w:val="start"/>
        <w:rPr/>
      </w:pPr>
      <w:r>
        <w:rPr/>
      </w:r>
    </w:p>
    <w:p>
      <w:pPr>
        <w:pStyle w:val="Normal"/>
        <w:bidi w:val="0"/>
        <w:jc w:val="start"/>
        <w:rPr/>
      </w:pPr>
      <w:r>
        <w:rPr/>
        <w:t>Conflicting rules disrupt daily operations and pose long-term threats. This research addresses them by examining channels: audit independence mediating reporting integrity from insiders in 2024, regulatory clarity and consistency against non-performing loans in 2020-2025. These reduce conflicts and strengthen controls, key in systems with overlaps (Figure 1.1).</w:t>
      </w:r>
    </w:p>
    <w:p>
      <w:pPr>
        <w:pStyle w:val="Normal"/>
        <w:bidi w:val="0"/>
        <w:jc w:val="start"/>
        <w:rPr/>
      </w:pPr>
      <w:r>
        <w:rPr/>
      </w:r>
    </w:p>
    <w:p>
      <w:pPr>
        <w:pStyle w:val="Normal"/>
        <w:bidi w:val="0"/>
        <w:jc w:val="start"/>
        <w:rPr/>
      </w:pPr>
      <w:r>
        <w:rPr/>
        <w:t xml:space="preserve">Figure 1.1: Regulatory multiplicity governing Money Deposit Banks (DMBs) in Nigeria: Corporate governance mechanisms 2025  </w:t>
      </w:r>
    </w:p>
    <w:p>
      <w:pPr>
        <w:pStyle w:val="Normal"/>
        <w:bidi w:val="0"/>
        <w:jc w:val="start"/>
        <w:rPr/>
      </w:pPr>
      <w:r>
        <w:rPr/>
        <w:t>Note: This flow chart illustrates the governance mechanisms (board composition, CEO Tenure, remuneration policy, board committee composition, enforcement approach) across four codes (CAMA 2020, NCCG 2018, CBN CG Guidelines 2023, SEC Code 2011), highlighting conflicts that contribute to regulatory ambiguity. Adapted from Central Bank of Nigeria (2023), Financial Reporting Council of Nigeria (2018), Companies and Allied Matters Act (2020), and Securities and Exchange Commission (2011).</w:t>
      </w:r>
    </w:p>
    <w:p>
      <w:pPr>
        <w:pStyle w:val="Normal"/>
        <w:bidi w:val="0"/>
        <w:jc w:val="start"/>
        <w:rPr/>
      </w:pPr>
      <w:r>
        <w:rPr/>
      </w:r>
    </w:p>
    <w:p>
      <w:pPr>
        <w:pStyle w:val="Normal"/>
        <w:bidi w:val="0"/>
        <w:jc w:val="start"/>
        <w:rPr/>
      </w:pPr>
      <w:r>
        <w:rPr/>
        <w:t>Table 1: Corporate Governance Codes for Money Deposit Banks in Nigeria (2025)</w:t>
      </w:r>
    </w:p>
    <w:p>
      <w:pPr>
        <w:pStyle w:val="Normal"/>
        <w:bidi w:val="0"/>
        <w:jc w:val="start"/>
        <w:rPr/>
      </w:pPr>
      <w:r>
        <w:rPr/>
      </w:r>
    </w:p>
    <w:p>
      <w:pPr>
        <w:pStyle w:val="Normal"/>
        <w:bidi w:val="0"/>
        <w:jc w:val="start"/>
        <w:rPr/>
      </w:pPr>
      <w:r>
        <w:rPr/>
      </w:r>
    </w:p>
    <w:p>
      <w:pPr>
        <w:pStyle w:val="Normal"/>
        <w:bidi w:val="0"/>
        <w:jc w:val="start"/>
        <w:rPr/>
      </w:pPr>
      <w:r>
        <w:rPr/>
        <w:t>Code/Regulation</w:t>
      </w:r>
    </w:p>
    <w:p>
      <w:pPr>
        <w:pStyle w:val="Normal"/>
        <w:bidi w:val="0"/>
        <w:jc w:val="start"/>
        <w:rPr/>
      </w:pPr>
      <w:r>
        <w:rPr/>
        <w:t>Regulator</w:t>
      </w:r>
    </w:p>
    <w:p>
      <w:pPr>
        <w:pStyle w:val="Normal"/>
        <w:bidi w:val="0"/>
        <w:jc w:val="start"/>
        <w:rPr/>
      </w:pPr>
      <w:r>
        <w:rPr/>
        <w:t>Board Composition</w:t>
      </w:r>
    </w:p>
    <w:p>
      <w:pPr>
        <w:pStyle w:val="Normal"/>
        <w:bidi w:val="0"/>
        <w:jc w:val="start"/>
        <w:rPr/>
      </w:pPr>
      <w:r>
        <w:rPr/>
        <w:t>CEO Tenure</w:t>
      </w:r>
    </w:p>
    <w:p>
      <w:pPr>
        <w:pStyle w:val="Normal"/>
        <w:bidi w:val="0"/>
        <w:jc w:val="start"/>
        <w:rPr/>
      </w:pPr>
      <w:r>
        <w:rPr/>
        <w:t>Remuneration Policy</w:t>
      </w:r>
    </w:p>
    <w:p>
      <w:pPr>
        <w:pStyle w:val="Normal"/>
        <w:bidi w:val="0"/>
        <w:jc w:val="start"/>
        <w:rPr/>
      </w:pPr>
      <w:r>
        <w:rPr/>
        <w:t>Board Committee Composition</w:t>
      </w:r>
    </w:p>
    <w:p>
      <w:pPr>
        <w:pStyle w:val="Normal"/>
        <w:bidi w:val="0"/>
        <w:jc w:val="start"/>
        <w:rPr/>
      </w:pPr>
      <w:r>
        <w:rPr/>
        <w:t>Enforcement Approach</w:t>
      </w:r>
    </w:p>
    <w:p>
      <w:pPr>
        <w:pStyle w:val="Normal"/>
        <w:bidi w:val="0"/>
        <w:jc w:val="start"/>
        <w:rPr/>
      </w:pPr>
      <w:r>
        <w:rPr/>
        <w:t>CAMA 2020</w:t>
      </w:r>
    </w:p>
    <w:p>
      <w:pPr>
        <w:pStyle w:val="Normal"/>
        <w:bidi w:val="0"/>
        <w:jc w:val="start"/>
        <w:rPr/>
      </w:pPr>
      <w:r>
        <w:rPr/>
        <w:t>CAC</w:t>
      </w:r>
    </w:p>
    <w:p>
      <w:pPr>
        <w:pStyle w:val="Normal"/>
        <w:bidi w:val="0"/>
        <w:jc w:val="start"/>
        <w:rPr/>
      </w:pPr>
      <w:r>
        <w:rPr/>
        <w:t>≥</w:t>
      </w:r>
      <w:r>
        <w:rPr/>
        <w:t>2 directors; public companies need ≥1/3 INEDs (Sect. 275).</w:t>
      </w:r>
    </w:p>
    <w:p>
      <w:pPr>
        <w:pStyle w:val="Normal"/>
        <w:bidi w:val="0"/>
        <w:jc w:val="start"/>
        <w:rPr/>
      </w:pPr>
      <w:r>
        <w:rPr/>
        <w:t>Not specified.</w:t>
      </w:r>
    </w:p>
    <w:p>
      <w:pPr>
        <w:pStyle w:val="Normal"/>
        <w:bidi w:val="0"/>
        <w:jc w:val="start"/>
        <w:rPr/>
      </w:pPr>
      <w:r>
        <w:rPr/>
        <w:t>Set by shareholders at AGM (Sect. 267); disclosed in reports (Sect. 238).</w:t>
      </w:r>
    </w:p>
    <w:p>
      <w:pPr>
        <w:pStyle w:val="Normal"/>
        <w:bidi w:val="0"/>
        <w:jc w:val="start"/>
        <w:rPr/>
      </w:pPr>
      <w:r>
        <w:rPr/>
        <w:t>Audit committee mandatory (dir. + shareholders) (Sect. 404).</w:t>
      </w:r>
    </w:p>
    <w:p>
      <w:pPr>
        <w:pStyle w:val="Normal"/>
        <w:bidi w:val="0"/>
        <w:jc w:val="start"/>
        <w:rPr/>
      </w:pPr>
      <w:r>
        <w:rPr/>
        <w:t>Legal enforcement; fines (e.g., Sect. 417); court interventions (Sect. 344).</w:t>
      </w:r>
    </w:p>
    <w:p>
      <w:pPr>
        <w:pStyle w:val="Normal"/>
        <w:bidi w:val="0"/>
        <w:jc w:val="start"/>
        <w:rPr/>
      </w:pPr>
      <w:r>
        <w:rPr/>
        <w:t>NCCG 2018</w:t>
      </w:r>
    </w:p>
    <w:p>
      <w:pPr>
        <w:pStyle w:val="Normal"/>
        <w:bidi w:val="0"/>
        <w:jc w:val="start"/>
        <w:rPr/>
      </w:pPr>
      <w:r>
        <w:rPr/>
        <w:t>FRCN</w:t>
      </w:r>
    </w:p>
    <w:p>
      <w:pPr>
        <w:pStyle w:val="Normal"/>
        <w:bidi w:val="0"/>
        <w:jc w:val="start"/>
        <w:rPr/>
      </w:pPr>
      <w:r>
        <w:rPr/>
        <w:t>Majority NEDs, most INEDs; diversity emphasized (Princ. 2-3).</w:t>
      </w:r>
    </w:p>
    <w:p>
      <w:pPr>
        <w:pStyle w:val="Normal"/>
        <w:bidi w:val="0"/>
        <w:jc w:val="start"/>
        <w:rPr/>
      </w:pPr>
      <w:r>
        <w:rPr/>
        <w:t>Board discretion; INEDs max 3 terms (3 yrs each) (Princ. 7).</w:t>
      </w:r>
    </w:p>
    <w:p>
      <w:pPr>
        <w:pStyle w:val="Normal"/>
        <w:bidi w:val="0"/>
        <w:jc w:val="start"/>
        <w:rPr/>
      </w:pPr>
      <w:r>
        <w:rPr/>
        <w:t>Long-term aligned; disclosed; Rem. committee (NED-chaired) (Princ. 17, 9).</w:t>
      </w:r>
    </w:p>
    <w:p>
      <w:pPr>
        <w:pStyle w:val="Normal"/>
        <w:bidi w:val="0"/>
        <w:jc w:val="start"/>
        <w:rPr/>
      </w:pPr>
      <w:r>
        <w:rPr/>
        <w:t>Audit, Risk, Nom., Rem.; NED-chaired (Princ. 8).</w:t>
      </w:r>
    </w:p>
    <w:p>
      <w:pPr>
        <w:pStyle w:val="Normal"/>
        <w:bidi w:val="0"/>
        <w:jc w:val="start"/>
        <w:rPr/>
      </w:pPr>
      <w:r>
        <w:rPr/>
        <w:t>“</w:t>
      </w:r>
      <w:r>
        <w:rPr/>
        <w:t>Apply and Explain”; FRCN monitors; CBN enforces for banks (Princ. 28).</w:t>
      </w:r>
    </w:p>
    <w:p>
      <w:pPr>
        <w:pStyle w:val="Normal"/>
        <w:bidi w:val="0"/>
        <w:jc w:val="start"/>
        <w:rPr/>
      </w:pPr>
      <w:r>
        <w:rPr/>
        <w:t>CBN CG Guidelines 2023</w:t>
      </w:r>
    </w:p>
    <w:p>
      <w:pPr>
        <w:pStyle w:val="Normal"/>
        <w:bidi w:val="0"/>
        <w:jc w:val="start"/>
        <w:rPr/>
      </w:pPr>
      <w:r>
        <w:rPr/>
        <w:t>CBN</w:t>
      </w:r>
    </w:p>
    <w:p>
      <w:pPr>
        <w:pStyle w:val="Normal"/>
        <w:bidi w:val="0"/>
        <w:jc w:val="start"/>
        <w:rPr/>
      </w:pPr>
      <w:r>
        <w:rPr/>
        <w:t>7-15 directors (CMNIBs), 7-13 (PSBs); NEDs &gt; EDs; ≥3 INEDs (intl./natl.); 2 fintech/ICT NEDs; ≤2 family members (Sect. 4).</w:t>
      </w:r>
    </w:p>
    <w:p>
      <w:pPr>
        <w:pStyle w:val="Normal"/>
        <w:bidi w:val="0"/>
        <w:jc w:val="start"/>
        <w:rPr/>
      </w:pPr>
      <w:r>
        <w:rPr/>
        <w:t>MD/CEO max 12 yrs, 24-yr cap total; 2-yr cooling-off (Sect. 8.1, 7.1).</w:t>
      </w:r>
    </w:p>
    <w:p>
      <w:pPr>
        <w:pStyle w:val="Normal"/>
        <w:bidi w:val="0"/>
        <w:jc w:val="start"/>
        <w:rPr/>
      </w:pPr>
      <w:r>
        <w:rPr/>
        <w:t>Perf.-linked for EDs; NEDs fees only; disclosed (Sect. 11).</w:t>
      </w:r>
    </w:p>
    <w:p>
      <w:pPr>
        <w:pStyle w:val="Normal"/>
        <w:bidi w:val="0"/>
        <w:jc w:val="start"/>
        <w:rPr/>
      </w:pPr>
      <w:r>
        <w:rPr/>
        <w:t>Audit, Risk, Nom., Rem., Credit, ICT INED-chaired (Audit, Nom.) (Sect. 7).</w:t>
      </w:r>
    </w:p>
    <w:p>
      <w:pPr>
        <w:pStyle w:val="Normal"/>
        <w:bidi w:val="0"/>
        <w:jc w:val="start"/>
        <w:rPr/>
      </w:pPr>
      <w:r>
        <w:rPr/>
        <w:t>Mandatory; fines, board dissolution (e.g., 2024 cases); risk-based supervision (BOFIA 2020).</w:t>
      </w:r>
    </w:p>
    <w:p>
      <w:pPr>
        <w:pStyle w:val="Normal"/>
        <w:bidi w:val="0"/>
        <w:jc w:val="start"/>
        <w:rPr/>
      </w:pPr>
      <w:r>
        <w:rPr/>
        <w:t>SEC Code 2011</w:t>
      </w:r>
    </w:p>
    <w:p>
      <w:pPr>
        <w:pStyle w:val="Normal"/>
        <w:bidi w:val="0"/>
        <w:jc w:val="start"/>
        <w:rPr/>
      </w:pPr>
      <w:r>
        <w:rPr/>
        <w:t>SEC</w:t>
      </w:r>
    </w:p>
    <w:p>
      <w:pPr>
        <w:pStyle w:val="Normal"/>
        <w:bidi w:val="0"/>
        <w:jc w:val="start"/>
        <w:rPr/>
      </w:pPr>
      <w:r>
        <w:rPr/>
        <w:t>≥</w:t>
      </w:r>
      <w:r>
        <w:rPr/>
        <w:t>1 INED; ≤2 family members; separate Chairman/CEO (Sect. 5).</w:t>
      </w:r>
    </w:p>
    <w:p>
      <w:pPr>
        <w:pStyle w:val="Normal"/>
        <w:bidi w:val="0"/>
        <w:jc w:val="start"/>
        <w:rPr/>
      </w:pPr>
      <w:r>
        <w:rPr/>
        <w:t>Not specified; succession planning encouraged (Sect. 7).</w:t>
      </w:r>
    </w:p>
    <w:p>
      <w:pPr>
        <w:pStyle w:val="Normal"/>
        <w:bidi w:val="0"/>
        <w:jc w:val="start"/>
        <w:rPr/>
      </w:pPr>
      <w:r>
        <w:rPr/>
        <w:t>Shareholder approval; Rem. committee (NEDs) (Sect. 14).</w:t>
      </w:r>
    </w:p>
    <w:p>
      <w:pPr>
        <w:pStyle w:val="Normal"/>
        <w:bidi w:val="0"/>
        <w:jc w:val="start"/>
        <w:rPr/>
      </w:pPr>
      <w:r>
        <w:rPr/>
        <w:t>Audit (per CAMA), Nom., Rem.; NED-chaired (Sect. 9).</w:t>
      </w:r>
    </w:p>
    <w:p>
      <w:pPr>
        <w:pStyle w:val="Normal"/>
        <w:bidi w:val="0"/>
        <w:jc w:val="start"/>
        <w:rPr/>
      </w:pPr>
      <w:r>
        <w:rPr/>
        <w:t>Fines, delisting; SEC monitors; overlaps with CBN.</w:t>
      </w:r>
    </w:p>
    <w:p>
      <w:pPr>
        <w:pStyle w:val="Normal"/>
        <w:bidi w:val="0"/>
        <w:jc w:val="start"/>
        <w:rPr/>
      </w:pPr>
      <w:r>
        <w:rPr/>
      </w:r>
    </w:p>
    <w:p>
      <w:pPr>
        <w:pStyle w:val="Normal"/>
        <w:bidi w:val="0"/>
        <w:jc w:val="start"/>
        <w:rPr/>
      </w:pPr>
      <w:r>
        <w:rPr/>
      </w:r>
    </w:p>
    <w:p>
      <w:pPr>
        <w:pStyle w:val="Normal"/>
        <w:bidi w:val="0"/>
        <w:jc w:val="start"/>
        <w:rPr/>
      </w:pPr>
      <w:r>
        <w:rPr/>
        <w:t>Note: Table summarizes mechanisms across four codes—Companies and Allied Matters Act 2020, Nigerian Code of Corporate Governance 2018, Central Bank of Nigeria Guidelines 2023, Securities and Exchange Commission Code 2011—highlighting CEO tenure and enforcement conflicts. Adapted from Central Bank of Nigeria 2023, Financial Reporting Council of Nigeria 2018, Companies and Allied Matters Act 2020, Securities and Exchange Commission 2011.</w:t>
      </w:r>
    </w:p>
    <w:p>
      <w:pPr>
        <w:pStyle w:val="Normal"/>
        <w:bidi w:val="0"/>
        <w:jc w:val="start"/>
        <w:rPr/>
      </w:pPr>
      <w:r>
        <w:rPr/>
      </w:r>
    </w:p>
    <w:p>
      <w:pPr>
        <w:pStyle w:val="Normal"/>
        <w:bidi w:val="0"/>
        <w:jc w:val="start"/>
        <w:rPr/>
      </w:pPr>
      <w:r>
        <w:rPr/>
        <w:t>#### 1.1.4 Bank Governance Challenges in Nigeria</w:t>
      </w:r>
    </w:p>
    <w:p>
      <w:pPr>
        <w:pStyle w:val="Normal"/>
        <w:bidi w:val="0"/>
        <w:jc w:val="start"/>
        <w:rPr/>
      </w:pPr>
      <w:r>
        <w:rPr/>
      </w:r>
    </w:p>
    <w:p>
      <w:pPr>
        <w:pStyle w:val="Normal"/>
        <w:bidi w:val="0"/>
        <w:jc w:val="start"/>
        <w:rPr/>
      </w:pPr>
      <w:r>
        <w:rPr/>
        <w:t>Nigeria's governance in deposit money banks stems from history, with pre-colonial, colonial, and post-independence influences shaping today's issues (Brennan &amp; Solomon, 2008). Pre-colonial systems in regions like Hausa-Fulani, Yoruba, and Igbo used customary laws, monarchies, and community structures for commerce, disputes, and resources—far from Western models (Altin, 2024; Elias, 2024). Businesses were family or guild-based, relying on oral deals, norms, trust, and group welfare (Nwaukwa, 2024).</w:t>
      </w:r>
    </w:p>
    <w:p>
      <w:pPr>
        <w:pStyle w:val="Normal"/>
        <w:bidi w:val="0"/>
        <w:jc w:val="start"/>
        <w:rPr/>
      </w:pPr>
      <w:r>
        <w:rPr/>
      </w:r>
    </w:p>
    <w:p>
      <w:pPr>
        <w:pStyle w:val="Normal"/>
        <w:bidi w:val="0"/>
        <w:jc w:val="start"/>
        <w:rPr/>
      </w:pPr>
      <w:r>
        <w:rPr/>
        <w:t>Colonialism (1861-1960) changed this. Britain imposed the Companies Ordinance 1912, like the UK Act, to support empires like Royal Niger Company, ignoring local needs (Agamah, 2024). Concepts like limited liability and boards didn't fit (Adegbite et al., 2012).</w:t>
      </w:r>
    </w:p>
    <w:p>
      <w:pPr>
        <w:pStyle w:val="Normal"/>
        <w:bidi w:val="0"/>
        <w:jc w:val="start"/>
        <w:rPr/>
      </w:pPr>
      <w:r>
        <w:rPr/>
      </w:r>
    </w:p>
    <w:p>
      <w:pPr>
        <w:pStyle w:val="Normal"/>
        <w:bidi w:val="0"/>
        <w:jc w:val="start"/>
        <w:rPr/>
      </w:pPr>
      <w:r>
        <w:rPr/>
        <w:t>Independence in 1960 adopted colonial laws, with updates like Companies Act 1968 and CAMA 2020, but weak institutions blocked adaptation (Udo, 2020). Growth in oil, telecom, and banking led to more regulators—Central Bank, SEC, NCC—with specific rules. Not replacing colonial bases created overlaps, like CAMA director duties clashing with Central Bank details, confusing banks (Osemeke &amp; Adegbite, 2016).</w:t>
      </w:r>
    </w:p>
    <w:p>
      <w:pPr>
        <w:pStyle w:val="Normal"/>
        <w:bidi w:val="0"/>
        <w:jc w:val="start"/>
        <w:rPr/>
      </w:pPr>
      <w:r>
        <w:rPr/>
      </w:r>
    </w:p>
    <w:p>
      <w:pPr>
        <w:pStyle w:val="Normal"/>
        <w:bidi w:val="0"/>
        <w:jc w:val="start"/>
        <w:rPr/>
      </w:pPr>
      <w:r>
        <w:rPr/>
        <w:t>Multiplicity worsens post-consolidation issues (Babajide et al., 2020). Fraud reflects inadequacies. Laws like CBN Act, BOFIA, NDIC Act have weak enforcement (Nwoke et al., 2023). CBN Act 2007 gives autonomy for supervision, BOFIA regulates operations (Obadire et al., 2022). Weaknesses—old penalties, resource shortages—per ROSC 2004 (Azoro et al., 2022).</w:t>
      </w:r>
    </w:p>
    <w:p>
      <w:pPr>
        <w:pStyle w:val="Normal"/>
        <w:bidi w:val="0"/>
        <w:jc w:val="start"/>
        <w:rPr/>
      </w:pPr>
      <w:r>
        <w:rPr/>
      </w:r>
    </w:p>
    <w:p>
      <w:pPr>
        <w:pStyle w:val="Normal"/>
        <w:bidi w:val="0"/>
        <w:jc w:val="start"/>
        <w:rPr/>
      </w:pPr>
      <w:r>
        <w:rPr/>
        <w:t>Rule conflicts harm governance. Central Bank bans family Chairman-CEO, but SEC 2011 doesn't, allowing arbitrage—mandatory vs. voluntary—weakening accountability (Osemeke &amp; Adegbite, 2016).</w:t>
      </w:r>
    </w:p>
    <w:p>
      <w:pPr>
        <w:pStyle w:val="Normal"/>
        <w:bidi w:val="0"/>
        <w:jc w:val="start"/>
        <w:rPr/>
      </w:pPr>
      <w:r>
        <w:rPr/>
      </w:r>
    </w:p>
    <w:p>
      <w:pPr>
        <w:pStyle w:val="Normal"/>
        <w:bidi w:val="0"/>
        <w:jc w:val="start"/>
        <w:rPr/>
      </w:pPr>
      <w:r>
        <w:rPr/>
        <w:t>Board structure affects performance in reforms. Global evidence is mixed—size and complexity vary (Romano et al., 2012; Al Hawary, 2011; Adams &amp; Mehran, 2003; Trabelsi, 2010). In Nigeria, concentrated ownership and poor directors weaken oversight (Osemeke &amp; Adegbite, 2016).</w:t>
      </w:r>
    </w:p>
    <w:p>
      <w:pPr>
        <w:pStyle w:val="Normal"/>
        <w:bidi w:val="0"/>
        <w:jc w:val="start"/>
        <w:rPr/>
      </w:pPr>
      <w:r>
        <w:rPr/>
      </w:r>
    </w:p>
    <w:p>
      <w:pPr>
        <w:pStyle w:val="Normal"/>
        <w:bidi w:val="0"/>
        <w:jc w:val="start"/>
        <w:rPr/>
      </w:pPr>
      <w:r>
        <w:rPr/>
        <w:t>Enforcement gaps boost regulator roles. ROSC 2004 noted Central Bank's accounting weaknesses, SEC's oversight issues. Breakdowns persist, eroding trust (Nwoke, 2023).</w:t>
      </w:r>
    </w:p>
    <w:p>
      <w:pPr>
        <w:pStyle w:val="Normal"/>
        <w:bidi w:val="0"/>
        <w:jc w:val="start"/>
        <w:rPr/>
      </w:pPr>
      <w:r>
        <w:rPr/>
      </w:r>
    </w:p>
    <w:p>
      <w:pPr>
        <w:pStyle w:val="Normal"/>
        <w:bidi w:val="0"/>
        <w:jc w:val="start"/>
        <w:rPr/>
      </w:pPr>
      <w:r>
        <w:rPr/>
        <w:t>Fixes need unification and better enforcement. Streamlining codes reduces confusion (Osemeke &amp; Adegbite, 2016). Evidence on boards informs practices. Strong institutions adapted to context improve transparency and outcomes. Governance roots in colonial laws, overlaps, and inefficiencies. Reforms must fix structures, with conflicts and weak enforcement reducing effectiveness. Consistent, adapted governance with strong enforcement builds resilience. This study insights audit mediation in 2024, training for tenure, clarity on non-performing loans, addressing multiplicity for lower defaults.</w:t>
      </w:r>
    </w:p>
    <w:p>
      <w:pPr>
        <w:pStyle w:val="Normal"/>
        <w:bidi w:val="0"/>
        <w:jc w:val="start"/>
        <w:rPr/>
      </w:pPr>
      <w:r>
        <w:rPr/>
      </w:r>
    </w:p>
    <w:p>
      <w:pPr>
        <w:pStyle w:val="Normal"/>
        <w:bidi w:val="0"/>
        <w:jc w:val="start"/>
        <w:rPr/>
      </w:pPr>
      <w:r>
        <w:rPr/>
        <w:t>### 1.2 Problem Statement</w:t>
      </w:r>
    </w:p>
    <w:p>
      <w:pPr>
        <w:pStyle w:val="Normal"/>
        <w:bidi w:val="0"/>
        <w:jc w:val="start"/>
        <w:rPr/>
      </w:pPr>
      <w:r>
        <w:rPr/>
      </w:r>
    </w:p>
    <w:p>
      <w:pPr>
        <w:pStyle w:val="Normal"/>
        <w:bidi w:val="0"/>
        <w:jc w:val="start"/>
        <w:rPr/>
      </w:pPr>
      <w:r>
        <w:rPr/>
        <w:t>Nigeria's deposit money banking sector has deep governance problems from history and ongoing systemic failures after consolidation. These heighten default risks and threaten an industry key to economic growth. Pre-colonial systems among Hausa-Fulani, Yoruba, and Igbo used customs, hierarchies, and guilds for oversight (Elias, 2024; Altin, 2024). Colonialism from 1861 to 1960 disrupted this with alien laws like Companies Ordinance 1912 to serve Britain, ignoring locals (Agamah, 2024; Adegbite et al., 2012).</w:t>
      </w:r>
    </w:p>
    <w:p>
      <w:pPr>
        <w:pStyle w:val="Normal"/>
        <w:bidi w:val="0"/>
        <w:jc w:val="start"/>
        <w:rPr/>
      </w:pPr>
      <w:r>
        <w:rPr/>
      </w:r>
    </w:p>
    <w:p>
      <w:pPr>
        <w:pStyle w:val="Normal"/>
        <w:bidi w:val="0"/>
        <w:jc w:val="start"/>
        <w:rPr/>
      </w:pPr>
      <w:r>
        <w:rPr/>
        <w:t>Independence in 1960 inherited this mess, with laws like Companies Act 1968 and CAMA 2020, but weak institutions prevented local fit (Udo, 2020). State control before 1986 mixed ownership and regulation, creating conflicts that linger after 1986-1993 divestitures, leading to waste and political boards (Chinweoda et al., 2020; Ugochukwu, 2000). The 2004 consolidation reduced banks from 89 to 24 for strength, but exposed and amplified weaknesses, keeping the sector fragile (Kafidipe, 2021).</w:t>
      </w:r>
    </w:p>
    <w:p>
      <w:pPr>
        <w:pStyle w:val="Normal"/>
        <w:bidi w:val="0"/>
        <w:jc w:val="start"/>
        <w:rPr/>
      </w:pPr>
      <w:r>
        <w:rPr/>
      </w:r>
    </w:p>
    <w:p>
      <w:pPr>
        <w:pStyle w:val="Normal"/>
        <w:bidi w:val="0"/>
        <w:jc w:val="start"/>
        <w:rPr/>
      </w:pPr>
      <w:r>
        <w:rPr/>
        <w:t>Post-consolidation, governance failures erode accountability and transparency. Boards lack independence, with former Central Bank head Sanusi criticizing dominant leaders, lax directors, and inactive committees (Sanusi, 2014). Audit committees, key for transparency, fall to shareholder and executive influence despite CAMA parity, leading to unchecked books and weak reporting (Adegbite, 2014). Risk failures cause unchecked loans, pushing non-performing loans to twenty percent in 2017—four times the five percent limit—and failures at Intercontinental, Finbank, and Bank PHB (Adegboye, 2020; Adeusi et al., 2013; Owolabi, 2013).</w:t>
      </w:r>
    </w:p>
    <w:p>
      <w:pPr>
        <w:pStyle w:val="Normal"/>
        <w:bidi w:val="0"/>
        <w:jc w:val="start"/>
        <w:rPr/>
      </w:pPr>
      <w:r>
        <w:rPr/>
      </w:r>
    </w:p>
    <w:p>
      <w:pPr>
        <w:pStyle w:val="Normal"/>
        <w:bidi w:val="0"/>
        <w:jc w:val="start"/>
        <w:rPr/>
      </w:pPr>
      <w:r>
        <w:rPr/>
        <w:t>Fraud hiding erodes trust, with poor whistleblowing letting conflicts and theft go undetected, central to 2009 (Olojede et al., 2020). Selection gaps, with sixty-one percent without independent processes, let owners dominate and embed self-interest (Ogbechie, 2016; Osemeke &amp; Adegbite, 2016).</w:t>
      </w:r>
    </w:p>
    <w:p>
      <w:pPr>
        <w:pStyle w:val="Normal"/>
        <w:bidi w:val="0"/>
        <w:jc w:val="start"/>
        <w:rPr/>
      </w:pPr>
      <w:r>
        <w:rPr/>
      </w:r>
    </w:p>
    <w:p>
      <w:pPr>
        <w:pStyle w:val="Normal"/>
        <w:bidi w:val="0"/>
        <w:jc w:val="start"/>
        <w:rPr/>
      </w:pPr>
      <w:r>
        <w:rPr/>
        <w:t>Leadership skills are a major gap, undermining integrity and endurance. Inept or patronage-based appointments, from state interference, persist, weakening oversight, ethics, and operations (Nwoko et al., 2022). Oceanic's collapse shows leadership voids enabling seventy-five percent of 2009 non-performing loans via insider channels (Sanusi, 2009). Favoritism over skills installs unfit leaders for complex finance, risks, or reporting, causing errors and conflicts (Nwoko et al., 2022; Osemeke &amp; Adegbite, 2016). Without standards—finance knowledge, governance training, proven leadership—these leaders harm decisions, as in Intercontinental failures (Owolabi, 2013). Loose processes breed unethical cultures, bad risk calls, and oversight lacks, raising defaults (Sanusi, 2014; Nwoko et al., 2022).</w:t>
      </w:r>
    </w:p>
    <w:p>
      <w:pPr>
        <w:pStyle w:val="Normal"/>
        <w:bidi w:val="0"/>
        <w:jc w:val="start"/>
        <w:rPr/>
      </w:pPr>
      <w:r>
        <w:rPr/>
      </w:r>
    </w:p>
    <w:p>
      <w:pPr>
        <w:pStyle w:val="Normal"/>
        <w:bidi w:val="0"/>
        <w:jc w:val="start"/>
        <w:rPr/>
      </w:pPr>
      <w:r>
        <w:rPr/>
        <w:t>Regulatory overload from fragmented history worsens this. Clashing mandates—CAMA 2020, NCCG 2018, CBN Guidelines 2023, SEC Code 2011—create confusion, variances in setup, terms, and penalties (Abdulmalik, 2020; Osemeke et al., 2016). Regulator weakness from CAC, FRCN, and Central Bank, due to structural issues, ignores risk gaps, fraud, and skill lacks (Nwoke et al., 2023; Kafidipe, 2021; Adegbite, 2014; Udo, 2020).</w:t>
      </w:r>
    </w:p>
    <w:p>
      <w:pPr>
        <w:pStyle w:val="Normal"/>
        <w:bidi w:val="0"/>
        <w:jc w:val="start"/>
        <w:rPr/>
      </w:pPr>
      <w:r>
        <w:rPr/>
      </w:r>
    </w:p>
    <w:p>
      <w:pPr>
        <w:pStyle w:val="Normal"/>
        <w:bidi w:val="0"/>
        <w:jc w:val="start"/>
        <w:rPr/>
      </w:pPr>
      <w:r>
        <w:rPr/>
        <w:t>These problems erode stakeholder trust, cause deposit runs, and threaten Nigeria, where banks drive growth (King &amp; Levine, 1993; Siyanbola, 2019). There's a research gap in post-consolidation failures—risk gaps, fraud hiding, selection weaknesses, skill voids—linked to history and rule overload driving defaults (Osita et al., 2019; Tsamenyi et al., 2007). Few current, context-specific studies widen this gap.</w:t>
      </w:r>
    </w:p>
    <w:p>
      <w:pPr>
        <w:pStyle w:val="Normal"/>
        <w:bidi w:val="0"/>
        <w:jc w:val="start"/>
        <w:rPr/>
      </w:pPr>
      <w:r>
        <w:rPr/>
      </w:r>
    </w:p>
    <w:p>
      <w:pPr>
        <w:pStyle w:val="Normal"/>
        <w:bidi w:val="0"/>
        <w:jc w:val="start"/>
        <w:rPr/>
      </w:pPr>
      <w:r>
        <w:rPr/>
        <w:t>This work fills it by assessing governance measures—disclosure, practice, compliance—from 2009-2024; audit independence and reporting mediation on 2024 non-performing loans from insiders; disclosure's pre-reform weakness vs. post-reform strength via Central Bank mandates; and regulatory clarity reducing non-performing loans 2020-2025 amid unification, recommending unified, mandatory frameworks aligned with Basel III and OECD to prevent failures, restore trust, and strengthen resilience.</w:t>
      </w:r>
    </w:p>
    <w:p>
      <w:pPr>
        <w:pStyle w:val="Normal"/>
        <w:bidi w:val="0"/>
        <w:jc w:val="start"/>
        <w:rPr/>
      </w:pPr>
      <w:r>
        <w:rPr/>
      </w:r>
    </w:p>
    <w:p>
      <w:pPr>
        <w:pStyle w:val="Normal"/>
        <w:bidi w:val="0"/>
        <w:jc w:val="start"/>
        <w:rPr/>
      </w:pPr>
      <w:r>
        <w:rPr/>
        <w:t>The sector has faced credit crises, peaking in 2009-2010 with average non-performing loans over thirty-five percent. Economic changes explain some, but bank-level analysis shows governance lacks—poor risk management, limited disclosure, lax credit, inconsistent compliance—amplifying losses (Sanusi, 2010; CBN, 2014). Responses—Basel II, IFRS-9, 2014/2018 Codes—aimed to strengthen disclosure, practice, compliance, but their impact is unmeasured amid reform gaps.</w:t>
      </w:r>
    </w:p>
    <w:p>
      <w:pPr>
        <w:pStyle w:val="Normal"/>
        <w:bidi w:val="0"/>
        <w:jc w:val="start"/>
        <w:rPr/>
      </w:pPr>
      <w:r>
        <w:rPr/>
      </w:r>
    </w:p>
    <w:p>
      <w:pPr>
        <w:pStyle w:val="Normal"/>
        <w:bidi w:val="0"/>
        <w:jc w:val="start"/>
        <w:rPr/>
      </w:pPr>
      <w:r>
        <w:rPr/>
        <w:t>### 1.3 Research Questions</w:t>
      </w:r>
    </w:p>
    <w:p>
      <w:pPr>
        <w:pStyle w:val="Normal"/>
        <w:bidi w:val="0"/>
        <w:jc w:val="start"/>
        <w:rPr/>
      </w:pPr>
      <w:r>
        <w:rPr/>
      </w:r>
    </w:p>
    <w:p>
      <w:pPr>
        <w:pStyle w:val="Normal"/>
        <w:bidi w:val="0"/>
        <w:jc w:val="start"/>
        <w:rPr/>
      </w:pPr>
      <w:r>
        <w:rPr/>
        <w:t>This study poses four research questions to explore how governance mechanisms link to default risk in Nigeria's deposit money banks, using non-performing loan ratios as the measure. These questions come from ongoing weaknesses causing crises like 2009 (ratios over thirty-seven percent) and over 425 collapses since 1988, while using recent methods like bootstrapped mediation on 234 stakeholder views from ten banks and panel modeling over 160 bank-years. Each question ties to hypotheses and objectives, using mixed methods—long-term quantitative for first and third, cross-sectional mixed for second and fourth—for practical insights amid fragmentation and reforms.</w:t>
      </w:r>
    </w:p>
    <w:p>
      <w:pPr>
        <w:pStyle w:val="Normal"/>
        <w:bidi w:val="0"/>
        <w:jc w:val="start"/>
        <w:rPr/>
      </w:pPr>
      <w:r>
        <w:rPr/>
      </w:r>
    </w:p>
    <w:p>
      <w:pPr>
        <w:pStyle w:val="Normal"/>
        <w:bidi w:val="0"/>
        <w:jc w:val="start"/>
        <w:rPr/>
      </w:pPr>
      <w:r>
        <w:rPr/>
        <w:t>The first question checks how governance indices—disclosure via Corporate Governance Disclosure Index, practice through Practice Index, compliance with Compliance Index—affect non-performing loan ratios from 2009 to 2024, adjusted for bank size, capital adequacy (total capital adequacy ratio), and economic factors like GDP growth, inflation, and oil prices. This uses secondary panel data from audits and Central Bank bulletins to isolate contributions, with practice expected as key, especially post-2014 Code, testing hypothesis one and objective one to show governance protects against credit issues in volatile markets.</w:t>
      </w:r>
    </w:p>
    <w:p>
      <w:pPr>
        <w:pStyle w:val="Normal"/>
        <w:bidi w:val="0"/>
        <w:jc w:val="start"/>
        <w:rPr/>
      </w:pPr>
      <w:r>
        <w:rPr/>
      </w:r>
    </w:p>
    <w:p>
      <w:pPr>
        <w:pStyle w:val="Normal"/>
        <w:bidi w:val="0"/>
        <w:jc w:val="start"/>
        <w:rPr/>
      </w:pPr>
      <w:r>
        <w:rPr/>
        <w:t>The second question measures how audit-committee independence lowers 2024 non-performing loan ratios, and if this goes partly through better financial-reporting integrity from insiders. Using fiscal data and Likert-scale surveys from 234 responses, it applies Hayes Process Model 4 mediation with 5,000 bootstraps to show direct and indirect paths, addressing audit capture (sixty-one percent lack independent committees) and deceptions like Oceanic's, validating hypothesis two and objective two via agency and resource dependence theories.</w:t>
      </w:r>
    </w:p>
    <w:p>
      <w:pPr>
        <w:pStyle w:val="Normal"/>
        <w:bidi w:val="0"/>
        <w:jc w:val="start"/>
        <w:rPr/>
      </w:pPr>
      <w:r>
        <w:rPr/>
      </w:r>
    </w:p>
    <w:p>
      <w:pPr>
        <w:pStyle w:val="Normal"/>
        <w:bidi w:val="0"/>
        <w:jc w:val="start"/>
        <w:rPr/>
      </w:pPr>
      <w:r>
        <w:rPr/>
        <w:t>The third question checks if governance disclosure ties insignificantly to non-performing loans pre-reform (2009-2014) but negatively post-reform (2016-2024), due to Central Bank 2014-2016 mandates boosting credibility via tenure caps at 12 years, at least fifty percent independent directors, and vetting. Using difference-in-differences fixed-effects on 160 bank-years from ten Tier-1 banks, this confirms activation, turning voluntary signals potent, aligning with hypothesis three and objective three from signalling and institutional void theories.</w:t>
      </w:r>
    </w:p>
    <w:p>
      <w:pPr>
        <w:pStyle w:val="Normal"/>
        <w:bidi w:val="0"/>
        <w:jc w:val="start"/>
        <w:rPr/>
      </w:pPr>
      <w:r>
        <w:rPr/>
      </w:r>
    </w:p>
    <w:p>
      <w:pPr>
        <w:pStyle w:val="Normal"/>
        <w:bidi w:val="0"/>
        <w:jc w:val="start"/>
        <w:rPr/>
      </w:pPr>
      <w:r>
        <w:rPr/>
        <w:t>The fourth question assesses how perceived regulatory clarity from Central Bank and SEC harmonization 2020-2025 causes non-performing loan declines (total beta &lt;0, p&lt;0.05), adjusted for devaluation and inflation. Using 2024 surveys, interviews, and panel forecasts, it applies bootstrapped mediation to split direct and compliance effects, addressing multiplicity in codes like CAMA 2020 and NCCG 2018, supporting hypothesis four and objective four via institutional theory.</w:t>
      </w:r>
    </w:p>
    <w:p>
      <w:pPr>
        <w:pStyle w:val="Normal"/>
        <w:bidi w:val="0"/>
        <w:jc w:val="start"/>
        <w:rPr/>
      </w:pPr>
      <w:r>
        <w:rPr/>
      </w:r>
    </w:p>
    <w:p>
      <w:pPr>
        <w:pStyle w:val="Normal"/>
        <w:bidi w:val="0"/>
        <w:jc w:val="start"/>
        <w:rPr/>
      </w:pPr>
      <w:r>
        <w:rPr/>
        <w:t>These questions fill post-consolidation gaps in Nigeria, combining panel analysis with perceptions for reforms on practices, audit, disclosure, and unification.</w:t>
      </w:r>
    </w:p>
    <w:p>
      <w:pPr>
        <w:pStyle w:val="Normal"/>
        <w:bidi w:val="0"/>
        <w:jc w:val="start"/>
        <w:rPr/>
      </w:pPr>
      <w:r>
        <w:rPr/>
      </w:r>
    </w:p>
    <w:p>
      <w:pPr>
        <w:pStyle w:val="Normal"/>
        <w:bidi w:val="0"/>
        <w:jc w:val="start"/>
        <w:rPr/>
      </w:pPr>
      <w:r>
        <w:rPr/>
        <w:t>### 1.4 Objectives of the Study</w:t>
      </w:r>
    </w:p>
    <w:p>
      <w:pPr>
        <w:pStyle w:val="Normal"/>
        <w:bidi w:val="0"/>
        <w:jc w:val="start"/>
        <w:rPr/>
      </w:pPr>
      <w:r>
        <w:rPr/>
      </w:r>
    </w:p>
    <w:p>
      <w:pPr>
        <w:pStyle w:val="Normal"/>
        <w:bidi w:val="0"/>
        <w:jc w:val="start"/>
        <w:rPr/>
      </w:pPr>
      <w:r>
        <w:rPr/>
        <w:t>This study aims to address a key gap in local research on governance in Nigeria's deposit money banks by examining tools, identifying weaknesses, and suggesting targeted reforms to reduce default risk and build financial strength. Based on hypotheses one to four and research questions one to four, which explore links among governance indices, audit independence, disclosure across eras, and regulatory clarity with non-performing loans, it organizes around five linked objectives. These use mixed methods: question one uses 2009-2024 secondary panel for long-term quantitative, including pre/post-reform; questions two-four use 2024 cross-sectional surveys and interviews for current insights. This deepens evidence and fits Nigeria's unique regulatory and economic context, with post-2009 reforms and challenges like volatility and shortfalls.</w:t>
      </w:r>
    </w:p>
    <w:p>
      <w:pPr>
        <w:pStyle w:val="Normal"/>
        <w:bidi w:val="0"/>
        <w:jc w:val="start"/>
        <w:rPr/>
      </w:pPr>
      <w:r>
        <w:rPr/>
      </w:r>
    </w:p>
    <w:p>
      <w:pPr>
        <w:pStyle w:val="Normal"/>
        <w:bidi w:val="0"/>
        <w:jc w:val="start"/>
        <w:rPr/>
      </w:pPr>
      <w:r>
        <w:rPr/>
        <w:t>The first objective assesses how combined governance indices—disclosure via Corporate Governance Disclosure Index, practice via Practice Index or Bank Practice Score, compliance via Banking Compliance Index—reduce non-performing loans in top banks 2009-2024, adjusted for size, capital, and economics, focusing on which index gives the biggest credit benefit pre/post-2014 Code. This fills an analysis gap by checking alignment with evolving codes like CBN Guidelines 2023, promoting accountability to cut defaults (Sanusi, 2009). Aligning with hypothesis one and question one, it tests governance-non-performing loan links, drawing from 2009 crisis showing weaknesses from lax controls and disjointed oversight (Osemeke &amp; Adegbite, 2016). Using panel data from accounts and bulletins 2009-2024, it isolates effects while adjusting for size, total capital adequacy ratio, and macros like GDP, inflation, oil, providing strong evidence on reforms in emerging markets (Kafidipe et al., 2021).</w:t>
      </w:r>
    </w:p>
    <w:p>
      <w:pPr>
        <w:pStyle w:val="Normal"/>
        <w:bidi w:val="0"/>
        <w:jc w:val="start"/>
        <w:rPr/>
      </w:pPr>
      <w:r>
        <w:rPr/>
      </w:r>
    </w:p>
    <w:p>
      <w:pPr>
        <w:pStyle w:val="Normal"/>
        <w:bidi w:val="0"/>
        <w:jc w:val="start"/>
        <w:rPr/>
      </w:pPr>
      <w:r>
        <w:rPr/>
        <w:t>The second objective measures direct and indirect links between audit independence and 2024 non-performing loans, using fiscal data and stakeholder surveys on reporting quality from 234 questionnaires. This tackles lack of local studies by showing how independence deters risky lending, a persistent issue post-2005 merger and 2009 crisis (Sanusi, 2014). Matching hypothesis two and question two, it highlights accountability tools to fix deficits, aligning with OECD 2023 and calls for fully independent audits in Nigeria to reduce risks (Al-Shaer et al., 2022; Nwoke et al., 2023). Through cross-sectional mediation of 2024 data with scales on structure and effectiveness, it shows reporting's role in boosting transparency and curbing abuse in emerging markets.</w:t>
      </w:r>
    </w:p>
    <w:p>
      <w:pPr>
        <w:pStyle w:val="Normal"/>
        <w:bidi w:val="0"/>
        <w:jc w:val="start"/>
        <w:rPr/>
      </w:pPr>
      <w:r>
        <w:rPr/>
      </w:r>
    </w:p>
    <w:p>
      <w:pPr>
        <w:pStyle w:val="Normal"/>
        <w:bidi w:val="0"/>
        <w:jc w:val="start"/>
        <w:rPr/>
      </w:pPr>
      <w:r>
        <w:rPr/>
        <w:t>The third objective confirms if governance disclosure has no meaningful link to non-performing loans pre-reform (2009-2014) but a strong negative one post-reform (2016-2024), using CBN 2014-2016 as a natural experiment for institutional boost in credibility. This fills gaps in pre-post studies by separating disclosure from practices via panel fixed-effects on 160 bank-years from ten Tier-1 banks. Aligning with hypothesis three and question three, it uses difference-in-differences to show reforms turn cheap talk into reliable signals reducing non-performing loans, based on agency, signalling, and institutional void theories (Sanusi, 2014).</w:t>
      </w:r>
    </w:p>
    <w:p>
      <w:pPr>
        <w:pStyle w:val="Normal"/>
        <w:bidi w:val="0"/>
        <w:jc w:val="start"/>
        <w:rPr/>
      </w:pPr>
      <w:r>
        <w:rPr/>
      </w:r>
    </w:p>
    <w:p>
      <w:pPr>
        <w:pStyle w:val="Normal"/>
        <w:bidi w:val="0"/>
        <w:jc w:val="start"/>
        <w:rPr/>
      </w:pPr>
      <w:r>
        <w:rPr/>
        <w:t>The fourth objective examines how perceived clarity and consistency from surveys and interviews in ten banks affect 2024 non-performing loans, checking direct and compliance-mediated effects while projecting causal reductions 2020-2025 amid CBN/SEC unification and June 2025 relief end, adjusted for shocks. Aligning with hypothesis four and question four, it uses bootstrapped mediation like Hayes Model 4 on cross-sectional data to split effects, addressing multiplicity's role in persistent non-performing loans (CBN, 2024; Abdulmalik &amp; Ahmad, 2020).</w:t>
      </w:r>
    </w:p>
    <w:p>
      <w:pPr>
        <w:pStyle w:val="Normal"/>
        <w:bidi w:val="0"/>
        <w:jc w:val="start"/>
        <w:rPr/>
      </w:pPr>
      <w:r>
        <w:rPr/>
      </w:r>
    </w:p>
    <w:p>
      <w:pPr>
        <w:pStyle w:val="Normal"/>
        <w:bidi w:val="0"/>
        <w:jc w:val="start"/>
        <w:rPr/>
      </w:pPr>
      <w:r>
        <w:rPr/>
        <w:t>The fifth objective develops practical guidelines for a unified governance framework aligned with global standards to prevent failures, restore trust, and strengthen resilience. This integrates insights from earlier objectives for actionable changes, informed by evidence and context. It advances the study's goal by offering a cohesive framework per OECD 2023 and recent oversight, ensuring guidelines are evidence-based and fit Nigeria's dynamic finance (Aguilera &amp; Ruiz Castillo, 2025). Mixed methods support this with quantitative precision and qualitative depth for broad policy impacts.</w:t>
      </w:r>
    </w:p>
    <w:p>
      <w:pPr>
        <w:pStyle w:val="Normal"/>
        <w:bidi w:val="0"/>
        <w:jc w:val="start"/>
        <w:rPr/>
      </w:pPr>
      <w:r>
        <w:rPr/>
      </w:r>
    </w:p>
    <w:p>
      <w:pPr>
        <w:pStyle w:val="Normal"/>
        <w:bidi w:val="0"/>
        <w:jc w:val="start"/>
        <w:rPr/>
      </w:pPr>
      <w:r>
        <w:rPr/>
        <w:t>The study takes a pragmatic approach, blending positivist quantitative (panel fixed-effects, difference-in-differences, mediation) with interpretivist qualitative (thematic analysis of interviews) to address complex issues (Creswell &amp; Plano Clark, 2018). Methodology chapter expands on epistemology.</w:t>
      </w:r>
    </w:p>
    <w:p>
      <w:pPr>
        <w:pStyle w:val="Normal"/>
        <w:bidi w:val="0"/>
        <w:jc w:val="start"/>
        <w:rPr/>
      </w:pPr>
      <w:r>
        <w:rPr/>
      </w:r>
    </w:p>
    <w:p>
      <w:pPr>
        <w:pStyle w:val="Normal"/>
        <w:bidi w:val="0"/>
        <w:jc w:val="start"/>
        <w:rPr/>
      </w:pPr>
      <w:r>
        <w:rPr/>
        <w:t>Table 2: Linking Research Questions to Hypotheses</w:t>
      </w:r>
    </w:p>
    <w:p>
      <w:pPr>
        <w:pStyle w:val="Normal"/>
        <w:bidi w:val="0"/>
        <w:jc w:val="start"/>
        <w:rPr/>
      </w:pPr>
      <w:r>
        <w:rPr/>
      </w:r>
    </w:p>
    <w:p>
      <w:pPr>
        <w:pStyle w:val="Normal"/>
        <w:bidi w:val="0"/>
        <w:jc w:val="start"/>
        <w:rPr/>
      </w:pPr>
      <w:r>
        <w:rPr/>
      </w:r>
    </w:p>
    <w:p>
      <w:pPr>
        <w:pStyle w:val="Normal"/>
        <w:bidi w:val="0"/>
        <w:jc w:val="start"/>
        <w:rPr/>
      </w:pPr>
      <w:r>
        <w:rPr/>
        <w:t>Research Question</w:t>
      </w:r>
    </w:p>
    <w:p>
      <w:pPr>
        <w:pStyle w:val="Normal"/>
        <w:bidi w:val="0"/>
        <w:jc w:val="start"/>
        <w:rPr/>
      </w:pPr>
      <w:r>
        <w:rPr/>
        <w:t>Hypothesis</w:t>
      </w:r>
    </w:p>
    <w:p>
      <w:pPr>
        <w:pStyle w:val="Normal"/>
        <w:bidi w:val="0"/>
        <w:jc w:val="start"/>
        <w:rPr/>
      </w:pPr>
      <w:r>
        <w:rPr/>
        <w:t>Linkage Explanation</w:t>
      </w:r>
    </w:p>
    <w:p>
      <w:pPr>
        <w:pStyle w:val="Normal"/>
        <w:bidi w:val="0"/>
        <w:jc w:val="start"/>
        <w:rPr/>
      </w:pPr>
      <w:r>
        <w:rPr/>
        <w:t>Research Question 1 To what extent do corporate governance indices encompassing disclosure practice and compliance influence non-performing loan ratios in Nigerian deposit money banks over 2009 to 2024 adjusted for institution scale capital adequacy and economic factors</w:t>
      </w:r>
    </w:p>
    <w:p>
      <w:pPr>
        <w:pStyle w:val="Normal"/>
        <w:bidi w:val="0"/>
        <w:jc w:val="start"/>
        <w:rPr/>
      </w:pPr>
      <w:r>
        <w:rPr/>
        <w:t>Hypothesis 1 Stronger corporate governance indices encompassing elevated disclosure practice and compliance collectively slash non-performing loan ratios with practice paramount and post-2014 amplified</w:t>
      </w:r>
    </w:p>
    <w:p>
      <w:pPr>
        <w:pStyle w:val="Normal"/>
        <w:bidi w:val="0"/>
        <w:jc w:val="start"/>
        <w:rPr/>
      </w:pPr>
      <w:r>
        <w:rPr/>
        <w:t>Research Question 1 substantiates Hypothesis 1 through fixed-effects panel modeling across 2009 to 2024 quantifying border impacts while segregating governance from modulators in Nigeria's reform milieu</w:t>
      </w:r>
    </w:p>
    <w:p>
      <w:pPr>
        <w:pStyle w:val="Normal"/>
        <w:bidi w:val="0"/>
        <w:jc w:val="start"/>
        <w:rPr/>
      </w:pPr>
      <w:r>
        <w:rPr/>
        <w:t>Research Question 2 To what extent does audit-committee independence diminish non-performing loan ratios in Nigerian deposit money banks in 2024 and is this routed by fortified financial-reporting soundness per internal views</w:t>
      </w:r>
    </w:p>
    <w:p>
      <w:pPr>
        <w:pStyle w:val="Normal"/>
        <w:bidi w:val="0"/>
        <w:jc w:val="start"/>
        <w:rPr/>
      </w:pPr>
      <w:r>
        <w:rPr/>
        <w:t>Hypothesis 2 Augmented audit-committee independence correlates with lowered 2024 non-performing loan ratios immediate influence partly routed by superior financial-reporting soundness</w:t>
      </w:r>
    </w:p>
    <w:p>
      <w:pPr>
        <w:pStyle w:val="Normal"/>
        <w:bidi w:val="0"/>
        <w:jc w:val="start"/>
        <w:rPr/>
      </w:pPr>
      <w:r>
        <w:rPr/>
        <w:t>Research Question 2 synchronizes with Hypothesis 2 via 2024 transverse mediation validating oversight conduits in tempering default via internal outlooks</w:t>
      </w:r>
    </w:p>
    <w:p>
      <w:pPr>
        <w:pStyle w:val="Normal"/>
        <w:bidi w:val="0"/>
        <w:jc w:val="start"/>
        <w:rPr/>
      </w:pPr>
      <w:r>
        <w:rPr/>
        <w:t>Research Question 3 To what extent remains the corporate governance disclosure to non-performing loan ratio tie negligible pre-reform 2009 to 2014 yet markedly adverse post-reform 2016 to 2024 attributable to Central Bank of Nigeria mandated enforcement</w:t>
      </w:r>
    </w:p>
    <w:p>
      <w:pPr>
        <w:pStyle w:val="Normal"/>
        <w:bidi w:val="0"/>
        <w:jc w:val="start"/>
        <w:rPr/>
      </w:pPr>
      <w:r>
        <w:rPr/>
        <w:t>Hypothesis 3 Institutional Activation Disclosure exhibits negligible pre-reform tie yet adverse post-reform via reforms</w:t>
      </w:r>
    </w:p>
    <w:p>
      <w:pPr>
        <w:pStyle w:val="Normal"/>
        <w:bidi w:val="0"/>
        <w:jc w:val="start"/>
        <w:rPr/>
      </w:pPr>
      <w:r>
        <w:rPr/>
        <w:t>Research Question 3 assays Hypothesis 3 leveraging difference-in-differences fixed influences on 2009 to 2024 panel affirming reforms enliven disclosure as trustworthy indicator</w:t>
      </w:r>
    </w:p>
    <w:p>
      <w:pPr>
        <w:pStyle w:val="Normal"/>
        <w:bidi w:val="0"/>
        <w:jc w:val="start"/>
        <w:rPr/>
      </w:pPr>
      <w:r>
        <w:rPr/>
        <w:t>Research Question 4 To what extent do perceived regulatory lucidity gains 2020 to 2025 provoke causal non-performing loan ratio declines aggregate beta below zero significance under zero point zero five</w:t>
      </w:r>
    </w:p>
    <w:p>
      <w:pPr>
        <w:pStyle w:val="Normal"/>
        <w:bidi w:val="0"/>
        <w:jc w:val="start"/>
        <w:rPr/>
      </w:pPr>
      <w:r>
        <w:rPr/>
        <w:t>Hypothesis 4 Lucid regulatory regimes slash non-performing loans immediately and routed via compliance potency</w:t>
      </w:r>
    </w:p>
    <w:p>
      <w:pPr>
        <w:pStyle w:val="Normal"/>
        <w:bidi w:val="0"/>
        <w:jc w:val="start"/>
        <w:rPr/>
      </w:pPr>
      <w:r>
        <w:rPr/>
        <w:t>Research Question 4 aligns with Hypothesis 4 through resampled mediation on 2024 records projected to 2025 tying unification to lowered non-performing loans amid jolts</w:t>
      </w:r>
    </w:p>
    <w:p>
      <w:pPr>
        <w:pStyle w:val="Normal"/>
        <w:bidi w:val="0"/>
        <w:jc w:val="start"/>
        <w:rPr/>
      </w:pPr>
      <w:r>
        <w:rPr/>
      </w:r>
    </w:p>
    <w:p>
      <w:pPr>
        <w:pStyle w:val="Normal"/>
        <w:bidi w:val="0"/>
        <w:jc w:val="start"/>
        <w:rPr/>
      </w:pPr>
      <w:r>
        <w:rPr/>
        <w:t>### 1.5 Hypothesis Development</w:t>
      </w:r>
    </w:p>
    <w:p>
      <w:pPr>
        <w:pStyle w:val="Normal"/>
        <w:bidi w:val="0"/>
        <w:jc w:val="start"/>
        <w:rPr/>
      </w:pPr>
      <w:r>
        <w:rPr/>
      </w:r>
    </w:p>
    <w:p>
      <w:pPr>
        <w:pStyle w:val="Normal"/>
        <w:bidi w:val="0"/>
        <w:jc w:val="start"/>
        <w:rPr/>
      </w:pPr>
      <w:r>
        <w:rPr/>
        <w:t>This study examines corporate governance's role in reducing default risk in Nigeria's deposit money banks. Non-performing loan ratios—loans overdue 90+ days divided by total loans—measure default risk. They reflect poor credit allocation eroding capital, profits, and raising bankruptcy, as in Nigeria's crises: thirty-seven percent peak in 2009 needing ₦620 billion bailout, twenty percent in 2017 from governance lapses like insider loans, weak oversight, evasion (Sanusi, 2014; Adegboye, 2020; Olojede et al., 2020). Central Bank's five percent limit highlights importance, with 2024 at four point two to four point six percent rising from devaluation/inflation, plus one to two percentage point increase post-June 2025 relief (CBN, 2024; S&amp;P Global Ratings, 2025). Though focused on credit and vulnerable to underreporting, mitigation uses cross-checks from Central Bank bulletins, NDIC, audits, adjustments for size, total capital adequacy ratio, economics (GDP, inflation, oil), plus interviews.</w:t>
      </w:r>
    </w:p>
    <w:p>
      <w:pPr>
        <w:pStyle w:val="Normal"/>
        <w:bidi w:val="0"/>
        <w:jc w:val="start"/>
        <w:rPr/>
      </w:pPr>
      <w:r>
        <w:rPr/>
      </w:r>
    </w:p>
    <w:p>
      <w:pPr>
        <w:pStyle w:val="Normal"/>
        <w:bidi w:val="0"/>
        <w:jc w:val="start"/>
        <w:rPr/>
      </w:pPr>
      <w:r>
        <w:rPr/>
        <w:t>The framework includes question one's 2009-2024 panel (160 bank-years from ten banks) for reform evolution pre-2014/post-2016, plus questions two-four's 2024 cross-section (234 surveys, 10-13 interviews) for current views, extending question four to 2020-2025 via lags/predictions. Mixed methods combine 7-point scales (reliability &gt;0.8), NVivo themes, SPSS/R stats for p-values, R-squared, coefficients. Rooted in Nigeria's issues—425 collapses 1988-2024, fragmented codes (CAMA 2020, NCCG 2018, CBN Guidelines 2023, SEC Code 2011), patronage—hypotheses fill post-consolidation gaps (Osita et al., 2019; Ozili, 2020; Kafidipe et al., 2021).</w:t>
      </w:r>
    </w:p>
    <w:p>
      <w:pPr>
        <w:pStyle w:val="Normal"/>
        <w:bidi w:val="0"/>
        <w:jc w:val="start"/>
        <w:rPr/>
      </w:pPr>
      <w:r>
        <w:rPr/>
      </w:r>
    </w:p>
    <w:p>
      <w:pPr>
        <w:pStyle w:val="Normal"/>
        <w:bidi w:val="0"/>
        <w:jc w:val="start"/>
        <w:rPr/>
      </w:pPr>
      <w:r>
        <w:rPr/>
        <w:t>#### H1 Governance Indices Hypothesis Linked to Research Question 1 and Objective 1</w:t>
      </w:r>
    </w:p>
    <w:p>
      <w:pPr>
        <w:pStyle w:val="Normal"/>
        <w:bidi w:val="0"/>
        <w:jc w:val="start"/>
        <w:rPr/>
      </w:pPr>
      <w:r>
        <w:rPr/>
      </w:r>
    </w:p>
    <w:p>
      <w:pPr>
        <w:pStyle w:val="Normal"/>
        <w:bidi w:val="0"/>
        <w:jc w:val="start"/>
        <w:rPr/>
      </w:pPr>
      <w:r>
        <w:rPr/>
        <w:t>Stronger governance indices—disclosure via Corporate Governance Disclosure Index from reports/metrics, practice via Practice Index covering independence, tenure limits, risk committees, compliance via Compliance Index with audits/alerts—reduce non-performing loans (coefficients &lt;0, p&lt;0.05), with practice giving biggest impact over others, stronger post-2014 CBN Code rollout.</w:t>
      </w:r>
    </w:p>
    <w:p>
      <w:pPr>
        <w:pStyle w:val="Normal"/>
        <w:bidi w:val="0"/>
        <w:jc w:val="start"/>
        <w:rPr/>
      </w:pPr>
      <w:r>
        <w:rPr/>
      </w:r>
    </w:p>
    <w:p>
      <w:pPr>
        <w:pStyle w:val="Normal"/>
        <w:bidi w:val="0"/>
        <w:jc w:val="start"/>
        <w:rPr/>
      </w:pPr>
      <w:r>
        <w:rPr/>
        <w:t>Based on agency theory, indices curb moral hazard/adverse selection via monitoring/alignment: disclosure signals quality/reduces info gaps, practice sets structures like fifty percent independent directors, compliance ensures adherence (Jensen &amp; Meckling, 1976). Stewardship theory adds boards as stability stewards for prudent lending in volatile markets (Donaldson &amp; Davis, 1991). Nigeria's 2009, like Oceanic's seventy-five percent affiliate non-performing loans, shows weak indices risks; reforms (Basel II, IFRS-9, 2014 Code) boost them (Kafidipe et al., 2021; Fernando et al., 2019). Emerging market studies confirm indices cut non-performing loans via efficiency. Test uses panel regression with fixed effects/clustered errors: NPL_it = β0 + β1 Disclosure + β2 Practice + β3 Compliance + γ' Controls_it + α_i + δ_t + ε_it, with splits showing changes. Adjusts for oil volatility, networks; expects practice dominance from concrete limits over disclosure's signals.</w:t>
      </w:r>
    </w:p>
    <w:p>
      <w:pPr>
        <w:pStyle w:val="Normal"/>
        <w:bidi w:val="0"/>
        <w:jc w:val="start"/>
        <w:rPr/>
      </w:pPr>
      <w:r>
        <w:rPr/>
      </w:r>
    </w:p>
    <w:p>
      <w:pPr>
        <w:pStyle w:val="Normal"/>
        <w:bidi w:val="0"/>
        <w:jc w:val="start"/>
        <w:rPr/>
      </w:pPr>
      <w:r>
        <w:rPr/>
        <w:t>#### H2 Audit Independence Mediation Hypothesis Linked to Research Question 2 and Objective 2</w:t>
      </w:r>
    </w:p>
    <w:p>
      <w:pPr>
        <w:pStyle w:val="Normal"/>
        <w:bidi w:val="0"/>
        <w:jc w:val="start"/>
        <w:rPr/>
      </w:pPr>
      <w:r>
        <w:rPr/>
      </w:r>
    </w:p>
    <w:p>
      <w:pPr>
        <w:pStyle w:val="Normal"/>
        <w:bidi w:val="0"/>
        <w:jc w:val="start"/>
        <w:rPr/>
      </w:pPr>
      <w:r>
        <w:rPr/>
        <w:t>Higher audit independence leads to lower 2024 non-performing loans (direct coefficient &lt;0, p&lt;0.05), partly via reporting integrity (indirect ACME &lt;0, p&lt;0.05, mediation &gt;twenty percent total), from stakeholder views.</w:t>
      </w:r>
    </w:p>
    <w:p>
      <w:pPr>
        <w:pStyle w:val="Normal"/>
        <w:bidi w:val="0"/>
        <w:jc w:val="start"/>
        <w:rPr/>
      </w:pPr>
      <w:r>
        <w:rPr/>
      </w:r>
    </w:p>
    <w:p>
      <w:pPr>
        <w:pStyle w:val="Normal"/>
        <w:bidi w:val="0"/>
        <w:jc w:val="start"/>
        <w:rPr/>
      </w:pPr>
      <w:r>
        <w:rPr/>
        <w:t>Agency theory needs independent oversight to stop executive hiding risky loans; resource dependence sees committees bringing expertise for timely provisions (Pfeffer &amp; Salancik, 1978). Path: independence → reporting quality (accurate provisions/disclosures) → better non-performing loan detection (Healy &amp; Palepu, 2001). Nigeria's 2009 audit failures, like Oceanic hiding, plus sixty-one percent without independent committees enabling control, sustain risks (Al-Shaer et al., 2022; Nwoke et al., 2023). Emerging studies show independence/proficiency improve reports/reduce non-performing loans. Test: Hayes Model 4 with 5,000 bootstraps, using survey metrics on composition/meetings/frequency (reliability &gt;0.85), adjusted for size/profits. Sequence: independence → reporting → lower non-performing loans.</w:t>
      </w:r>
    </w:p>
    <w:p>
      <w:pPr>
        <w:pStyle w:val="Normal"/>
        <w:bidi w:val="0"/>
        <w:jc w:val="start"/>
        <w:rPr/>
      </w:pPr>
      <w:r>
        <w:rPr/>
      </w:r>
    </w:p>
    <w:p>
      <w:pPr>
        <w:pStyle w:val="Normal"/>
        <w:bidi w:val="0"/>
        <w:jc w:val="start"/>
        <w:rPr/>
      </w:pPr>
      <w:r>
        <w:rPr/>
        <w:t>#### H3 Institutional Activation Hypothesis Linked to Research Question 3 and Objective 3</w:t>
      </w:r>
    </w:p>
    <w:p>
      <w:pPr>
        <w:pStyle w:val="Normal"/>
        <w:bidi w:val="0"/>
        <w:jc w:val="start"/>
        <w:rPr/>
      </w:pPr>
      <w:r>
        <w:rPr/>
      </w:r>
    </w:p>
    <w:p>
      <w:pPr>
        <w:pStyle w:val="Normal"/>
        <w:bidi w:val="0"/>
        <w:jc w:val="start"/>
        <w:rPr/>
      </w:pPr>
      <w:r>
        <w:rPr/>
        <w:t>Corporate Governance Disclosure Index-non-performing loan link insignificant pre-reform (2009-2014, coefficient ~0, p&gt;0.10), but negative post-reform (2016-2024, coefficient &lt;0, p&lt;0.05), from CBN 2014-2016 boosting credibility via binding rules (tenure 12 years, fifty percent independents, vetting).</w:t>
      </w:r>
    </w:p>
    <w:p>
      <w:pPr>
        <w:pStyle w:val="Normal"/>
        <w:bidi w:val="0"/>
        <w:jc w:val="start"/>
        <w:rPr/>
      </w:pPr>
      <w:r>
        <w:rPr/>
      </w:r>
    </w:p>
    <w:p>
      <w:pPr>
        <w:pStyle w:val="Normal"/>
        <w:bidi w:val="0"/>
        <w:jc w:val="start"/>
        <w:rPr/>
      </w:pPr>
      <w:r>
        <w:rPr/>
        <w:t>Agency/signalling see pre-reform voluntary as cheap talk amid weak enforcement; reforms turn symbolic to substantive via validation/mandates, enabling market discipline/reduced hazard (Spence, 1973). Institutional void explains early weakness; institutional theory covers coercive compliance (Khanna &amp; Palepu, 2010; DiMaggio &amp; Powell, 1983). In Nigeria, CBN annual audits activate post-2015 (Sanusi, 2014). Quasi-experiment: difference-in-differences NPL_it = β0 + β1 Disclosure + β2 Disclosure*Post2015 + β3 Practice + γ' Controls_it + α_i + δ_t + ε_it, expecting β1~0 pre, β1+β2&lt;0 post. Includes propensity matching, subsets, lagged dependents.</w:t>
      </w:r>
    </w:p>
    <w:p>
      <w:pPr>
        <w:pStyle w:val="Normal"/>
        <w:bidi w:val="0"/>
        <w:jc w:val="start"/>
        <w:rPr/>
      </w:pPr>
      <w:r>
        <w:rPr/>
      </w:r>
    </w:p>
    <w:p>
      <w:pPr>
        <w:pStyle w:val="Normal"/>
        <w:bidi w:val="0"/>
        <w:jc w:val="start"/>
        <w:rPr/>
      </w:pPr>
      <w:r>
        <w:rPr/>
        <w:t>#### H4 Regulatory Clarity Hypothesis Linked to Research Question 4 and Objective 4</w:t>
      </w:r>
    </w:p>
    <w:p>
      <w:pPr>
        <w:pStyle w:val="Normal"/>
        <w:bidi w:val="0"/>
        <w:jc w:val="start"/>
        <w:rPr/>
      </w:pPr>
      <w:r>
        <w:rPr/>
      </w:r>
    </w:p>
    <w:p>
      <w:pPr>
        <w:pStyle w:val="Normal"/>
        <w:bidi w:val="0"/>
        <w:jc w:val="start"/>
        <w:rPr/>
      </w:pPr>
      <w:r>
        <w:rPr/>
        <w:t>Perceived clarity/enforcement improvements 2020-2025 cause non-performing loan declines (total coefficient &lt;0, p&lt;0.05), direct and via compliance, moderated by shocks like devaluation/inflation.</w:t>
      </w:r>
    </w:p>
    <w:p>
      <w:pPr>
        <w:pStyle w:val="Normal"/>
        <w:bidi w:val="0"/>
        <w:jc w:val="start"/>
        <w:rPr/>
      </w:pPr>
      <w:r>
        <w:rPr/>
      </w:r>
    </w:p>
    <w:p>
      <w:pPr>
        <w:pStyle w:val="Normal"/>
        <w:bidi w:val="0"/>
        <w:jc w:val="start"/>
        <w:rPr/>
      </w:pPr>
      <w:r>
        <w:rPr/>
        <w:t>Institutional theory says clear rules promote uniform compliance, avoiding fragmentation; agency aligns via predictability (North, 1990; DiMaggio &amp; Powell, 1983). Nigeria's overlaps (CBN, SEC, NDIC) allow evasion, countered by 2023 CBN/Basel III (Abdulmalik &amp; Ahmad, 2020). Path: clarity → compliance → prudent practices. Studies confirm consistency reduces non-performing loans (Nwoke et al., 2023). Test: bootstrapped Model 4 on perceptions plus panel projections 2020-2025, adjusted for shocks.</w:t>
      </w:r>
    </w:p>
    <w:p>
      <w:pPr>
        <w:pStyle w:val="Normal"/>
        <w:bidi w:val="0"/>
        <w:jc w:val="start"/>
        <w:rPr/>
      </w:pPr>
      <w:r>
        <w:rPr/>
      </w:r>
    </w:p>
    <w:p>
      <w:pPr>
        <w:pStyle w:val="Normal"/>
        <w:bidi w:val="0"/>
        <w:jc w:val="start"/>
        <w:rPr/>
      </w:pPr>
      <w:r>
        <w:rPr/>
        <w:t>Methods include fixed effects/difference-in-differences for 1/3, mediation for 2/4, VIF&lt;5, lags vs. endogeneity, robust errors. Cross-checks post-2009 gaps (Ozili, 2020). Policies: binding practices, consolidation for resilience.</w:t>
      </w:r>
    </w:p>
    <w:p>
      <w:pPr>
        <w:pStyle w:val="Normal"/>
        <w:bidi w:val="0"/>
        <w:jc w:val="start"/>
        <w:rPr/>
      </w:pPr>
      <w:r>
        <w:rPr/>
      </w:r>
    </w:p>
    <w:p>
      <w:pPr>
        <w:pStyle w:val="Normal"/>
        <w:bidi w:val="0"/>
        <w:jc w:val="start"/>
        <w:rPr/>
      </w:pPr>
      <w:r>
        <w:rPr/>
        <w:t>### 1.6 Scope of the Study</w:t>
      </w:r>
    </w:p>
    <w:p>
      <w:pPr>
        <w:pStyle w:val="Normal"/>
        <w:bidi w:val="0"/>
        <w:jc w:val="start"/>
        <w:rPr/>
      </w:pPr>
      <w:r>
        <w:rPr/>
      </w:r>
    </w:p>
    <w:p>
      <w:pPr>
        <w:pStyle w:val="Normal"/>
        <w:bidi w:val="0"/>
        <w:jc w:val="start"/>
        <w:rPr/>
      </w:pPr>
      <w:r>
        <w:rPr/>
        <w:t>This study examines governance issues in Nigeria's deposit money banks, focusing on their impact on default risk via non-performing loans and suggesting reforms for stability. Boundaries are set for context-specific depth, addressing lack of current Nigeria-focused knowledge (Osita et al., 2019; Tsamenyi et al., 2007). These cover institutions, geography, time, themes, epistemology.</w:t>
      </w:r>
    </w:p>
    <w:p>
      <w:pPr>
        <w:pStyle w:val="Normal"/>
        <w:bidi w:val="0"/>
        <w:jc w:val="start"/>
        <w:rPr/>
      </w:pPr>
      <w:r>
        <w:rPr/>
      </w:r>
    </w:p>
    <w:p>
      <w:pPr>
        <w:pStyle w:val="Normal"/>
        <w:bidi w:val="0"/>
        <w:jc w:val="start"/>
        <w:rPr/>
      </w:pPr>
      <w:r>
        <w:rPr/>
        <w:t>Institutionally, limited to ten Tier-1 deposit money banks under CBN/BOFIA, commercial deposit/loan takers, excluding microfinance, discount houses, non-banks—key economic drivers (King &amp; Levine, 1993; Siyanbola, 2019). Justified by systemic risks from failures, 425 since 1988, thirty-seven percent non-performing loans 2009 (Udo, 2020; Nwosu, 2020).</w:t>
      </w:r>
    </w:p>
    <w:p>
      <w:pPr>
        <w:pStyle w:val="Normal"/>
        <w:bidi w:val="0"/>
        <w:jc w:val="start"/>
        <w:rPr/>
      </w:pPr>
      <w:r>
        <w:rPr/>
      </w:r>
    </w:p>
    <w:p>
      <w:pPr>
        <w:pStyle w:val="Normal"/>
        <w:bidi w:val="0"/>
        <w:jc w:val="start"/>
        <w:rPr/>
      </w:pPr>
      <w:r>
        <w:rPr/>
        <w:t>Geographically, Nigeria only, with unique history, regulation, culture—pre-colonial customs, colonial Ordinance 1912, post-independence CAMA 2020 (Elias, 2024; Abdulmalik &amp; Ahmad, 2020). Focus ensures relevance to local plagues like multiplicity, politics (Osemeke &amp; Adegbite, 2016).</w:t>
      </w:r>
    </w:p>
    <w:p>
      <w:pPr>
        <w:pStyle w:val="Normal"/>
        <w:bidi w:val="0"/>
        <w:jc w:val="start"/>
        <w:rPr/>
      </w:pPr>
      <w:r>
        <w:rPr/>
      </w:r>
    </w:p>
    <w:p>
      <w:pPr>
        <w:pStyle w:val="Normal"/>
        <w:bidi w:val="0"/>
        <w:jc w:val="start"/>
        <w:rPr/>
      </w:pPr>
      <w:r>
        <w:rPr/>
        <w:t>Temporally, split: questions 1/3 use 2009-2024 panel (160 bank-years) for governance pillars-non-performing loans, post-2009 reforms (Basel II, IFRS-9, 2014 Code) (Sanusi, 2010; CBN, 2024). Questions 2/4 use 2024 cross-section (234 surveys, 10-13 interviews) for current insights on audit mediation, disclosure shifts, clarity reductions 2020-2025 projections, addressing trials (Adegboye, 2020; Nwoke et al., 2023). Pre-2009 for context only (Sanusi, 2009; Olojede et al., 2020).</w:t>
      </w:r>
    </w:p>
    <w:p>
      <w:pPr>
        <w:pStyle w:val="Normal"/>
        <w:bidi w:val="0"/>
        <w:jc w:val="start"/>
        <w:rPr/>
      </w:pPr>
      <w:r>
        <w:rPr/>
      </w:r>
    </w:p>
    <w:p>
      <w:pPr>
        <w:pStyle w:val="Normal"/>
        <w:bidi w:val="0"/>
        <w:jc w:val="start"/>
        <w:rPr/>
      </w:pPr>
      <w:r>
        <w:rPr/>
        <w:t>Thematically, objectives 1-5/questions 1-4 focus four links. Objective 1/question 1: pillars efficacy reducing non-performing loans—disclosure Index, practice Score, compliance Index—for accountability, lax lending (Sanusi, 2009; Osemeke &amp; Adegbite, 2016). Objective 2/question 2: audit independence direct/mediated via reporting averting risky credit, Oceanic style (Sanusi, 2014; Olojede et al., 2020). Objective 3/question 3: disclosure Index pre-reform insignificance/post-reform negative via CBN tenure/fifty percent independence/vetting quasi-experiment. Objective 4/question 4: clarity/enforcement from surveys/interviews 2024 direct/compliance mediated 2020-2025 non-performing loan reduction, adjusted shocks. Objective 5: global-aligned (Basel III, OECD 2023) reforms prevent failures, fit history/emerging issues (Aguilera &amp; Ruiz Castillo, 2025). Excludes shareholder activism, ESG unless tied to defaults/non-performing loans, non-banking, internationals—for focus.</w:t>
      </w:r>
    </w:p>
    <w:p>
      <w:pPr>
        <w:pStyle w:val="Normal"/>
        <w:bidi w:val="0"/>
        <w:jc w:val="start"/>
        <w:rPr/>
      </w:pPr>
      <w:r>
        <w:rPr/>
      </w:r>
    </w:p>
    <w:p>
      <w:pPr>
        <w:pStyle w:val="Normal"/>
        <w:bidi w:val="0"/>
        <w:jc w:val="start"/>
        <w:rPr/>
      </w:pPr>
      <w:r>
        <w:rPr/>
        <w:t>Epistemologically, pragmatism blends positivist/interpretivist for issues (Creswell &amp; Plano Clark, 2018). Pragmatism for situational solutions, reform (objective 4). Positivist quantitative for non-performing loan regressions (objective audits/CBN/NDIC cross-validation) (Olojede et al., 2020). Interpretivist qualitative for regulatory views, patronage shaping lapses (Osemeke &amp; Adegbite, 2016). Mixed for comprehensive grasp, methodology expands epistemology.</w:t>
      </w:r>
    </w:p>
    <w:p>
      <w:pPr>
        <w:pStyle w:val="Normal"/>
        <w:bidi w:val="0"/>
        <w:jc w:val="start"/>
        <w:rPr/>
      </w:pPr>
      <w:r>
        <w:rPr/>
      </w:r>
    </w:p>
    <w:p>
      <w:pPr>
        <w:pStyle w:val="Normal"/>
        <w:bidi w:val="0"/>
        <w:jc w:val="start"/>
        <w:rPr/>
      </w:pPr>
      <w:r>
        <w:rPr/>
        <w:t>Boundaries narrow for feasibility/focus. Excluding others avoids dilution. Nigeria focus prevents loss of specificity. Splits balance history/recency. Themes limit to mechanisms, exclude untied tech. Sets targeted gap-filling, notes future broadening.</w:t>
      </w:r>
    </w:p>
    <w:p>
      <w:pPr>
        <w:pStyle w:val="Normal"/>
        <w:bidi w:val="0"/>
        <w:jc w:val="start"/>
        <w:rPr/>
      </w:pPr>
      <w:r>
        <w:rPr/>
      </w:r>
    </w:p>
    <w:p>
      <w:pPr>
        <w:pStyle w:val="Normal"/>
        <w:bidi w:val="0"/>
        <w:jc w:val="start"/>
        <w:rPr/>
      </w:pPr>
      <w:r>
        <w:rPr/>
        <w:t>Focus on Nigeria deposit money banks 2009-2024 longitudinal/2024 cross/2025 projections provides timely insights (Udo, 2020; Adegboye, 2020). Pragmatic mixed ensures robust frameworks/reforms per OECD 2023 (OECD, 2023). Aligns with executive problem for policy change, stakeholder strength, endurance.</w:t>
      </w:r>
    </w:p>
    <w:p>
      <w:pPr>
        <w:pStyle w:val="Normal"/>
        <w:bidi w:val="0"/>
        <w:jc w:val="start"/>
        <w:rPr/>
      </w:pPr>
      <w:r>
        <w:rPr/>
      </w:r>
    </w:p>
    <w:p>
      <w:pPr>
        <w:pStyle w:val="Normal"/>
        <w:bidi w:val="0"/>
        <w:jc w:val="start"/>
        <w:rPr/>
      </w:pPr>
      <w:r>
        <w:rPr/>
        <w:t>### 1.7 Motivation of the Study</w:t>
      </w:r>
    </w:p>
    <w:p>
      <w:pPr>
        <w:pStyle w:val="Normal"/>
        <w:bidi w:val="0"/>
        <w:jc w:val="start"/>
        <w:rPr/>
      </w:pPr>
      <w:r>
        <w:rPr/>
      </w:r>
    </w:p>
    <w:p>
      <w:pPr>
        <w:pStyle w:val="Normal"/>
        <w:bidi w:val="0"/>
        <w:jc w:val="start"/>
        <w:rPr/>
      </w:pPr>
      <w:r>
        <w:rPr/>
        <w:t>The main drive for this study is the severe governance failures in Nigerian deposit money banks from 2009-2024 long-term and 2024 snapshot, where risk management shortages, weak controls, and lax lending sparked non-performing loans and crises, as in Oceanic, Intercontinental, Finbank, Bank PHB (Adegboye, 2020; Adeusi et al., 2013; Owolabi, 2013). Lack of independent selection in sixty-one percent of banks lets owners control appointments, entrench self-interest, weaken board oversight; patronage elevates unqualified executives lacking finance/governance skills, subverting ethics/strategy, as in Oceanic's seventy-five percent insider non-performing loans 2009 (Ogbechie, 2016; Sanusi, 2009; Nwoko et al., 2022). These with audit weaknesses/fraud hiding erode trust, spark runs, inflate systemic risks, needing default dissection (Olojede et al., 2020; Sanusi, 2014).</w:t>
      </w:r>
    </w:p>
    <w:p>
      <w:pPr>
        <w:pStyle w:val="Normal"/>
        <w:bidi w:val="0"/>
        <w:jc w:val="start"/>
        <w:rPr/>
      </w:pPr>
      <w:r>
        <w:rPr/>
      </w:r>
    </w:p>
    <w:p>
      <w:pPr>
        <w:pStyle w:val="Normal"/>
        <w:bidi w:val="0"/>
        <w:jc w:val="start"/>
        <w:rPr/>
      </w:pPr>
      <w:r>
        <w:rPr/>
        <w:t>Regulatory overload adds motivation, with clashing codes (CAMA 2020, NCCG 2018, CBN Guidelines 2023, SEC Code 2011) and weak enforcement from CAC/FRCN/CBN creating confusion, evasion, sanctions worsening 2024 lapses (Abdulmalik &amp; Ahmad, 2020; Osemeke et al., 2016; Shaba, 2024). Fragmented oversight undermines accountability/transparency/stability, urging empirical links of discord to defaults and effective governance barriers.</w:t>
      </w:r>
    </w:p>
    <w:p>
      <w:pPr>
        <w:pStyle w:val="Normal"/>
        <w:bidi w:val="0"/>
        <w:jc w:val="start"/>
        <w:rPr/>
      </w:pPr>
      <w:r>
        <w:rPr/>
      </w:r>
    </w:p>
    <w:p>
      <w:pPr>
        <w:pStyle w:val="Normal"/>
        <w:bidi w:val="0"/>
        <w:jc w:val="start"/>
        <w:rPr/>
      </w:pPr>
      <w:r>
        <w:rPr/>
        <w:t>Lack of current, context-specific post-consolidation research is a strong push. Existing work scarcely links history/risk/selection/skills/multiplicity in Nigeria 2009-2024 paths/2024 now (Osita et al., 2019; Tsamenyi et al., 2007; Ozili, 2020). Gap blocks tailored fixes for cultural/political/economic uniques, mandating evidence/qualitative richness.</w:t>
      </w:r>
    </w:p>
    <w:p>
      <w:pPr>
        <w:pStyle w:val="Normal"/>
        <w:bidi w:val="0"/>
        <w:jc w:val="start"/>
        <w:rPr/>
      </w:pPr>
      <w:r>
        <w:rPr/>
      </w:r>
    </w:p>
    <w:p>
      <w:pPr>
        <w:pStyle w:val="Normal"/>
        <w:bidi w:val="0"/>
        <w:jc w:val="start"/>
        <w:rPr/>
      </w:pPr>
      <w:r>
        <w:rPr/>
        <w:t>Impacts on stakeholders—owners, depositors, regulators, Nigeria—amplify: persistent failures erode investor confidence, limit capital, slow growth; accountability/transparency lacks threaten integrity/trust (Okoye et al., 2016; Frost et al., 2002). Study motivates by checking pillars' strength, audit mediation insider, disclosure pre/post CBN, clarity via question 1 2009-2024/questions 2-4 2024 for practice bolstering default reduction/restoring balance. Aligning with global, transforming oversight, elevating stakeholder strength underscores salience (Solomon, 2020; Efunniyi et al., 2024; Nwoke et al., 2023).</w:t>
      </w:r>
    </w:p>
    <w:p>
      <w:pPr>
        <w:pStyle w:val="Normal"/>
        <w:bidi w:val="0"/>
        <w:jc w:val="start"/>
        <w:rPr/>
      </w:pPr>
      <w:r>
        <w:rPr/>
      </w:r>
    </w:p>
    <w:p>
      <w:pPr>
        <w:pStyle w:val="Normal"/>
        <w:bidi w:val="0"/>
        <w:jc w:val="start"/>
        <w:rPr/>
      </w:pPr>
      <w:r>
        <w:rPr/>
        <w:t>Study proceeds. Chapter two reviews literature on governance, board loyalty, inquiry in Nigeria deposit money banks, emphasizing accountability/transparency. Three outlines methodology, integrating surveys. Four analyzes data/methods. Five discusses governance now, accountability/transparency supremacy in Nigeria deposit money banks.</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imbus Roman">
    <w:charset w:val="01" w:characterSet="utf-8"/>
    <w:family w:val="roman"/>
    <w:pitch w:val="variable"/>
  </w:font>
  <w:font w:name="Nimbus Sans">
    <w:charset w:val="01" w:characterSet="utf-8"/>
    <w:family w:val="swiss"/>
    <w:pitch w:val="variable"/>
  </w:font>
</w:fonts>
</file>

<file path=word/settings.xml><?xml version="1.0" encoding="utf-8"?>
<w:settings xmlns:w="http://schemas.openxmlformats.org/wordprocessingml/2006/main">
  <w:zoom w:percent="6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Nimbus Roman" w:hAnsi="Nimbus Roman" w:eastAsia="Nimbus Sans" w:cs="Nimbus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Nimbus Roman" w:hAnsi="Nimbus Roman" w:eastAsia="Nimbus Sans" w:cs="Nimbus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Nimbus Sans" w:hAnsi="Nimbus Sans" w:eastAsia="Nimbus Sans" w:cs="Nimbus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LibreOffice/25.8.2.2$Linux_X86_64 LibreOffice_project/580$Build-2</Application>
  <AppVersion>15.0000</AppVersion>
  <Pages>3</Pages>
  <Words>7100</Words>
  <Characters>45338</Characters>
  <CharactersWithSpaces>52224</CharactersWithSpaces>
  <Paragraphs>155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2025-11-11T01:14:16Z</dcterms:created>
  <dc:creator/>
  <dc:description/>
  <dc:language>en-US</dc:language>
  <cp:lastModifiedBy/>
  <dcterms:modified xsi:type="dcterms:W3CDTF">2025-11-11T01:16:52Z</dcterms:modified>
  <cp:revision>2</cp:revision>
  <dc:subject/>
  <dc:title/>
</cp:coreProperties>
</file>