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F47F" w14:textId="2E1D2FE0" w:rsidR="001854AD" w:rsidRPr="001854AD" w:rsidRDefault="00F15275" w:rsidP="001854AD">
      <w:pPr>
        <w:rPr>
          <w:rFonts w:cs="Segoe UI"/>
          <w:b/>
          <w:bCs/>
          <w:shd w:val="clear" w:color="auto" w:fill="FFFFFF"/>
        </w:rPr>
      </w:pPr>
      <w:proofErr w:type="spellStart"/>
      <w:r>
        <w:rPr>
          <w:rFonts w:cs="Segoe UI"/>
          <w:b/>
          <w:bCs/>
          <w:shd w:val="clear" w:color="auto" w:fill="FFFFFF"/>
        </w:rPr>
        <w:t>tea</w:t>
      </w:r>
      <w:r w:rsidR="001854AD" w:rsidRPr="001854AD">
        <w:rPr>
          <w:rFonts w:cs="Segoe UI"/>
          <w:b/>
          <w:bCs/>
          <w:shd w:val="clear" w:color="auto" w:fill="FFFFFF"/>
        </w:rPr>
        <w:t>Research</w:t>
      </w:r>
      <w:proofErr w:type="spellEnd"/>
      <w:r w:rsidR="001854AD" w:rsidRPr="001854AD">
        <w:rPr>
          <w:rFonts w:cs="Segoe UI"/>
          <w:b/>
          <w:bCs/>
          <w:shd w:val="clear" w:color="auto" w:fill="FFFFFF"/>
        </w:rPr>
        <w:t xml:space="preserve"> Rationale</w:t>
      </w:r>
    </w:p>
    <w:p w14:paraId="5A4C7D5C" w14:textId="77777777" w:rsidR="001854AD" w:rsidRPr="001854AD" w:rsidRDefault="001854AD" w:rsidP="001854AD">
      <w:pPr>
        <w:rPr>
          <w:rFonts w:cs="Segoe UI"/>
          <w:b/>
          <w:bCs/>
          <w:shd w:val="clear" w:color="auto" w:fill="FFFFFF"/>
        </w:rPr>
      </w:pPr>
    </w:p>
    <w:p w14:paraId="4372085D" w14:textId="2D27B35B" w:rsidR="001854AD" w:rsidRPr="001854AD" w:rsidRDefault="001854AD" w:rsidP="001854AD">
      <w:pPr>
        <w:jc w:val="both"/>
        <w:rPr>
          <w:rFonts w:cs="Segoe UI"/>
          <w:shd w:val="clear" w:color="auto" w:fill="FFFFFF"/>
        </w:rPr>
      </w:pPr>
      <w:r w:rsidRPr="001854AD">
        <w:rPr>
          <w:rFonts w:cs="Segoe UI"/>
          <w:shd w:val="clear" w:color="auto" w:fill="FFFFFF"/>
        </w:rPr>
        <w:t>Nigeria’s banking sector has repeatedly been destabilised by credit-quality shocks, the most recent episode occurring in 2009/10 when average Non-Performing-Loan ratios (NPLR) exceeded 35 %.  While macro-economic cycles explain part of the spike, micro-level evidence shows that weak internal governance—poor risk-appetite frameworks, opaque disclosure, lax underwriting standards and selective regulatory compliance—amplified loan-loss clustering (Sanusi, 2010; CBN, 2014).  Post-crisis reforms (Basel-II adoption, IFRS-9, Corporate-Governance-Code 2014 &amp; 2018) were therefore explicitly targeted at strengthening four core tenets:</w:t>
      </w:r>
    </w:p>
    <w:p w14:paraId="08B7BEBE" w14:textId="77777777" w:rsidR="001854AD" w:rsidRPr="001854AD" w:rsidRDefault="001854AD" w:rsidP="001854AD">
      <w:pPr>
        <w:jc w:val="both"/>
        <w:rPr>
          <w:rFonts w:cs="Segoe UI"/>
          <w:shd w:val="clear" w:color="auto" w:fill="FFFFFF"/>
        </w:rPr>
      </w:pPr>
    </w:p>
    <w:p w14:paraId="2ED44AE8" w14:textId="3B68D258" w:rsidR="001854AD" w:rsidRPr="001854AD" w:rsidRDefault="001854AD" w:rsidP="001854AD">
      <w:pPr>
        <w:pStyle w:val="ListParagraph"/>
        <w:numPr>
          <w:ilvl w:val="0"/>
          <w:numId w:val="6"/>
        </w:numPr>
        <w:jc w:val="both"/>
        <w:rPr>
          <w:rStyle w:val="normaltextrun"/>
          <w:rFonts w:cs="Calibri"/>
          <w:color w:val="000000"/>
          <w:shd w:val="clear" w:color="auto" w:fill="FFFFFF"/>
        </w:rPr>
      </w:pPr>
      <w:r w:rsidRPr="001854AD">
        <w:rPr>
          <w:rStyle w:val="normaltextrun"/>
          <w:rFonts w:cs="Calibri"/>
          <w:color w:val="000000"/>
          <w:shd w:val="clear" w:color="auto" w:fill="FFFFFF"/>
        </w:rPr>
        <w:t xml:space="preserve">Bank Governance and Risk Management (Tenet 1), </w:t>
      </w:r>
      <w:r w:rsidRPr="001854AD">
        <w:rPr>
          <w:rFonts w:cs="Segoe UI"/>
          <w:shd w:val="clear" w:color="auto" w:fill="FFFFFF"/>
        </w:rPr>
        <w:t>- proxied by Total-Capital-Adequacy-Ratio, (TCAR)</w:t>
      </w:r>
    </w:p>
    <w:p w14:paraId="2101CEAD" w14:textId="6C87B68E" w:rsidR="001854AD" w:rsidRPr="001854AD" w:rsidRDefault="001854AD" w:rsidP="001854AD">
      <w:pPr>
        <w:pStyle w:val="ListParagraph"/>
        <w:numPr>
          <w:ilvl w:val="0"/>
          <w:numId w:val="6"/>
        </w:numPr>
        <w:jc w:val="both"/>
        <w:rPr>
          <w:rStyle w:val="normaltextrun"/>
          <w:rFonts w:cs="Calibri"/>
          <w:color w:val="000000"/>
          <w:shd w:val="clear" w:color="auto" w:fill="FFFFFF"/>
        </w:rPr>
      </w:pPr>
      <w:r w:rsidRPr="001854AD">
        <w:rPr>
          <w:rStyle w:val="normaltextrun"/>
          <w:rFonts w:cs="Calibri"/>
          <w:color w:val="000000"/>
          <w:shd w:val="clear" w:color="auto" w:fill="FFFFFF"/>
        </w:rPr>
        <w:t xml:space="preserve">Corporate Governance and Bank Practice (Tenet 2), proxied by </w:t>
      </w:r>
      <w:r w:rsidRPr="001854AD">
        <w:rPr>
          <w:rFonts w:cs="Segoe UI"/>
          <w:shd w:val="clear" w:color="auto" w:fill="FFFFFF"/>
        </w:rPr>
        <w:t>Corporate-Governance-Disclosure-Index, (CGDI)</w:t>
      </w:r>
    </w:p>
    <w:p w14:paraId="564D8D5C" w14:textId="46FEFC46" w:rsidR="001854AD" w:rsidRPr="001854AD" w:rsidRDefault="001854AD" w:rsidP="001854AD">
      <w:pPr>
        <w:pStyle w:val="ListParagraph"/>
        <w:numPr>
          <w:ilvl w:val="0"/>
          <w:numId w:val="6"/>
        </w:numPr>
        <w:jc w:val="both"/>
        <w:rPr>
          <w:rStyle w:val="normaltextrun"/>
          <w:rFonts w:cs="Calibri"/>
          <w:color w:val="000000"/>
          <w:shd w:val="clear" w:color="auto" w:fill="FFFFFF"/>
        </w:rPr>
      </w:pPr>
      <w:r w:rsidRPr="001854AD">
        <w:rPr>
          <w:rStyle w:val="normaltextrun"/>
          <w:rFonts w:cs="Calibri"/>
          <w:color w:val="000000"/>
          <w:shd w:val="clear" w:color="auto" w:fill="FFFFFF"/>
        </w:rPr>
        <w:t xml:space="preserve">Regulatory Multiplicity (Tenet 3), proxied by </w:t>
      </w:r>
      <w:r w:rsidRPr="001854AD">
        <w:rPr>
          <w:rFonts w:cs="Segoe UI"/>
          <w:shd w:val="clear" w:color="auto" w:fill="FFFFFF"/>
        </w:rPr>
        <w:t>Bank-Practice-Score, (OPEFF) and</w:t>
      </w:r>
    </w:p>
    <w:p w14:paraId="07848610" w14:textId="0AB46186" w:rsidR="001854AD" w:rsidRPr="001854AD" w:rsidRDefault="001854AD" w:rsidP="001854AD">
      <w:pPr>
        <w:pStyle w:val="ListParagraph"/>
        <w:numPr>
          <w:ilvl w:val="0"/>
          <w:numId w:val="6"/>
        </w:numPr>
        <w:jc w:val="both"/>
        <w:rPr>
          <w:rStyle w:val="normaltextrun"/>
          <w:rFonts w:cs="Calibri"/>
          <w:color w:val="000000"/>
          <w:shd w:val="clear" w:color="auto" w:fill="FFFFFF"/>
        </w:rPr>
      </w:pPr>
      <w:r w:rsidRPr="001854AD">
        <w:rPr>
          <w:rStyle w:val="normaltextrun"/>
          <w:rFonts w:cs="Calibri"/>
          <w:color w:val="000000"/>
          <w:shd w:val="clear" w:color="auto" w:fill="FFFFFF"/>
        </w:rPr>
        <w:t>Transparency and Accountability (Tenet 4)</w:t>
      </w:r>
      <w:r w:rsidRPr="001854AD">
        <w:rPr>
          <w:rFonts w:cs="Segoe UI"/>
          <w:shd w:val="clear" w:color="auto" w:fill="FFFFFF"/>
        </w:rPr>
        <w:t xml:space="preserve"> proxied by Banking-Compliance-Index, (COMID)</w:t>
      </w:r>
    </w:p>
    <w:p w14:paraId="6D8EF6EC" w14:textId="77777777" w:rsidR="001854AD" w:rsidRPr="001854AD" w:rsidRDefault="001854AD" w:rsidP="001854AD">
      <w:pPr>
        <w:jc w:val="both"/>
        <w:rPr>
          <w:rFonts w:cs="Segoe UI"/>
          <w:shd w:val="clear" w:color="auto" w:fill="FFFFFF"/>
        </w:rPr>
      </w:pPr>
    </w:p>
    <w:p w14:paraId="447C1736" w14:textId="77777777" w:rsidR="001854AD" w:rsidRPr="001854AD" w:rsidRDefault="001854AD">
      <w:pPr>
        <w:rPr>
          <w:rFonts w:cs="Segoe UI"/>
          <w:b/>
          <w:bCs/>
          <w:shd w:val="clear" w:color="auto" w:fill="FFFFFF"/>
        </w:rPr>
      </w:pPr>
    </w:p>
    <w:p w14:paraId="117CA6C8" w14:textId="5B2BD161" w:rsidR="001854AD" w:rsidRPr="001854AD" w:rsidRDefault="001854AD" w:rsidP="001854AD">
      <w:pPr>
        <w:rPr>
          <w:rFonts w:cs="Segoe UI"/>
          <w:b/>
          <w:bCs/>
          <w:shd w:val="clear" w:color="auto" w:fill="FFFFFF"/>
        </w:rPr>
      </w:pPr>
      <w:r w:rsidRPr="001854AD">
        <w:rPr>
          <w:rFonts w:cs="Segoe UI"/>
          <w:b/>
          <w:bCs/>
          <w:shd w:val="clear" w:color="auto" w:fill="FFFFFF"/>
        </w:rPr>
        <w:t xml:space="preserve">Research Rationale – cast through </w:t>
      </w:r>
      <w:r w:rsidR="00E926ED">
        <w:rPr>
          <w:rFonts w:cs="Segoe UI"/>
          <w:b/>
          <w:bCs/>
          <w:shd w:val="clear" w:color="auto" w:fill="FFFFFF"/>
        </w:rPr>
        <w:t xml:space="preserve">the </w:t>
      </w:r>
      <w:r w:rsidRPr="001854AD">
        <w:rPr>
          <w:rFonts w:cs="Segoe UI"/>
          <w:b/>
          <w:bCs/>
          <w:shd w:val="clear" w:color="auto" w:fill="FFFFFF"/>
        </w:rPr>
        <w:t>corporate-governance lens</w:t>
      </w:r>
    </w:p>
    <w:p w14:paraId="761701EC" w14:textId="77777777" w:rsidR="001854AD" w:rsidRPr="001854AD" w:rsidRDefault="001854AD" w:rsidP="001854AD">
      <w:pPr>
        <w:rPr>
          <w:rFonts w:cs="Segoe UI"/>
          <w:b/>
          <w:bCs/>
          <w:shd w:val="clear" w:color="auto" w:fill="FFFFFF"/>
        </w:rPr>
      </w:pPr>
    </w:p>
    <w:p w14:paraId="4E7D5D19" w14:textId="177093C1" w:rsidR="001854AD" w:rsidRPr="001854AD" w:rsidRDefault="001854AD" w:rsidP="001854AD">
      <w:pPr>
        <w:jc w:val="both"/>
        <w:rPr>
          <w:rFonts w:cs="Segoe UI"/>
          <w:shd w:val="clear" w:color="auto" w:fill="FFFFFF"/>
        </w:rPr>
      </w:pPr>
      <w:r w:rsidRPr="001854AD">
        <w:rPr>
          <w:rFonts w:cs="Segoe UI"/>
          <w:shd w:val="clear" w:color="auto" w:fill="FFFFFF"/>
        </w:rPr>
        <w:t>Nigerian banks entered the 2009–10 crisis with Non-Performing-Loan ratios above 35 %, a failure that regulators traced first and foremost to weak internal corporate-governance tenets rather than to macro shocks alone (Sanusi, 2010; CBN Post-Mortem, 2012).  Consequently, every subsequent reform package—Basel-II guidance notes (2011), the National Code of Corporate Governance for Banks (2014, revised 2018) and the CBN’s Compliance-Measurement Framework (2016)—was deliberately structured around four “governance pillars”:</w:t>
      </w:r>
    </w:p>
    <w:p w14:paraId="2D7A4BB0" w14:textId="77777777" w:rsidR="001854AD" w:rsidRPr="001854AD" w:rsidRDefault="001854AD" w:rsidP="001854AD">
      <w:pPr>
        <w:jc w:val="both"/>
        <w:rPr>
          <w:rFonts w:cs="Segoe UI"/>
          <w:shd w:val="clear" w:color="auto" w:fill="FFFFFF"/>
        </w:rPr>
      </w:pPr>
    </w:p>
    <w:p w14:paraId="453DF2C3" w14:textId="77777777" w:rsidR="001854AD" w:rsidRPr="001854AD" w:rsidRDefault="001854AD" w:rsidP="001854AD">
      <w:pPr>
        <w:jc w:val="both"/>
        <w:rPr>
          <w:rFonts w:cs="Segoe UI"/>
          <w:shd w:val="clear" w:color="auto" w:fill="FFFFFF"/>
        </w:rPr>
      </w:pPr>
    </w:p>
    <w:p w14:paraId="3A67443B" w14:textId="0B62E1A7" w:rsidR="001854AD" w:rsidRPr="001854AD" w:rsidRDefault="001854AD" w:rsidP="001854AD">
      <w:pPr>
        <w:jc w:val="both"/>
        <w:rPr>
          <w:rFonts w:cs="Segoe UI"/>
          <w:b/>
          <w:bCs/>
          <w:shd w:val="clear" w:color="auto" w:fill="FFFFFF"/>
        </w:rPr>
      </w:pPr>
      <w:r w:rsidRPr="001854AD">
        <w:rPr>
          <w:rFonts w:cs="Segoe UI"/>
          <w:b/>
          <w:bCs/>
          <w:shd w:val="clear" w:color="auto" w:fill="FFFFFF"/>
        </w:rPr>
        <w:t xml:space="preserve">Research Objective  </w:t>
      </w:r>
    </w:p>
    <w:p w14:paraId="5FCFEC3A" w14:textId="26B15A2F" w:rsidR="001854AD" w:rsidRPr="001854AD" w:rsidRDefault="001854AD" w:rsidP="001854AD">
      <w:pPr>
        <w:jc w:val="both"/>
        <w:rPr>
          <w:rFonts w:cs="Segoe UI"/>
          <w:shd w:val="clear" w:color="auto" w:fill="FFFFFF"/>
        </w:rPr>
      </w:pPr>
      <w:r w:rsidRPr="001854AD">
        <w:rPr>
          <w:rFonts w:cs="Segoe UI"/>
          <w:shd w:val="clear" w:color="auto" w:fill="FFFFFF"/>
        </w:rPr>
        <w:t>To determine whether, and by how much, the combined set of corporate-governance tenets—risk-management discipline (TCAR), transparency (CGDI), internal-control culture (OPEFF) and regulatory compliance ethos (COMID)—lowers the Non-Performing-Loan ratio of Nigeria’s top-ten banks over the 2009-2024 governance-reform cycle, while identifying which tenet delivers the largest marginal payoff before and after the 2014 governance-code enforcement threshold.</w:t>
      </w:r>
    </w:p>
    <w:p w14:paraId="1B80F84E" w14:textId="77777777" w:rsidR="001854AD" w:rsidRPr="001854AD" w:rsidRDefault="001854AD">
      <w:pPr>
        <w:rPr>
          <w:rFonts w:cs="Segoe UI"/>
          <w:b/>
          <w:bCs/>
          <w:shd w:val="clear" w:color="auto" w:fill="FFFFFF"/>
        </w:rPr>
      </w:pPr>
    </w:p>
    <w:p w14:paraId="3D684173" w14:textId="77777777" w:rsidR="001854AD" w:rsidRPr="001854AD" w:rsidRDefault="001854AD" w:rsidP="001854AD">
      <w:pPr>
        <w:rPr>
          <w:rFonts w:cs="Segoe UI"/>
          <w:b/>
          <w:bCs/>
          <w:shd w:val="clear" w:color="auto" w:fill="FFFFFF"/>
        </w:rPr>
      </w:pPr>
      <w:r w:rsidRPr="001854AD">
        <w:rPr>
          <w:rFonts w:cs="Segoe UI"/>
          <w:b/>
          <w:bCs/>
          <w:shd w:val="clear" w:color="auto" w:fill="FFFFFF"/>
        </w:rPr>
        <w:t xml:space="preserve">Hypothesis  </w:t>
      </w:r>
    </w:p>
    <w:p w14:paraId="65794E1A" w14:textId="63A3B024" w:rsidR="001854AD" w:rsidRPr="001854AD" w:rsidRDefault="001854AD" w:rsidP="001854AD">
      <w:pPr>
        <w:jc w:val="both"/>
        <w:rPr>
          <w:rFonts w:cs="Segoe UI"/>
          <w:shd w:val="clear" w:color="auto" w:fill="FFFFFF"/>
        </w:rPr>
      </w:pPr>
      <w:r w:rsidRPr="001854AD">
        <w:rPr>
          <w:rFonts w:cs="Segoe UI"/>
          <w:shd w:val="clear" w:color="auto" w:fill="FFFFFF"/>
        </w:rPr>
        <w:t>H1: Stronger corporate-governance tenets (higher TCAR, CGDI, OPEFF and COMID) jointly and significantly reduce the Non-Performing-Loan ratio, with the magnitude of the reduction being largest for the internal-control/operational-efficiency tenet (OPEFF) and most potent in the post-2014 mandatory-disclosure regime.</w:t>
      </w:r>
    </w:p>
    <w:p w14:paraId="6E58D74B" w14:textId="77777777" w:rsidR="001854AD" w:rsidRPr="001854AD" w:rsidRDefault="001854AD">
      <w:pPr>
        <w:rPr>
          <w:rFonts w:cs="Segoe UI"/>
          <w:b/>
          <w:bCs/>
          <w:shd w:val="clear" w:color="auto" w:fill="FFFFFF"/>
        </w:rPr>
      </w:pPr>
    </w:p>
    <w:p w14:paraId="2F6A860B" w14:textId="77777777" w:rsidR="001854AD" w:rsidRPr="001854AD" w:rsidRDefault="001854AD">
      <w:pPr>
        <w:rPr>
          <w:rFonts w:cs="Segoe UI"/>
          <w:b/>
          <w:bCs/>
          <w:shd w:val="clear" w:color="auto" w:fill="FFFFFF"/>
        </w:rPr>
      </w:pPr>
    </w:p>
    <w:p w14:paraId="41937B06" w14:textId="61485826" w:rsidR="00804795" w:rsidRPr="001854AD" w:rsidRDefault="001854AD">
      <w:pPr>
        <w:rPr>
          <w:rFonts w:cs="Segoe UI"/>
          <w:b/>
          <w:bCs/>
          <w:shd w:val="clear" w:color="auto" w:fill="FFFFFF"/>
        </w:rPr>
      </w:pPr>
      <w:r w:rsidRPr="001854AD">
        <w:rPr>
          <w:rFonts w:cs="Segoe UI"/>
          <w:b/>
          <w:bCs/>
          <w:shd w:val="clear" w:color="auto" w:fill="FFFFFF"/>
        </w:rPr>
        <w:lastRenderedPageBreak/>
        <w:t>Corporate-Governance Tenets and Credit-Risk Outcomes: Panel Evidence from Nigeria’s Banks, 2009–2024</w:t>
      </w:r>
    </w:p>
    <w:p w14:paraId="10E04B9C" w14:textId="77777777" w:rsidR="001854AD" w:rsidRPr="001854AD" w:rsidRDefault="001854AD">
      <w:pPr>
        <w:rPr>
          <w:rFonts w:cs="Segoe UI"/>
          <w:shd w:val="clear" w:color="auto" w:fill="FFFFFF"/>
        </w:rPr>
      </w:pPr>
    </w:p>
    <w:p w14:paraId="561BB9E8" w14:textId="77777777" w:rsidR="001854AD" w:rsidRPr="001854AD" w:rsidRDefault="001854AD" w:rsidP="001854AD">
      <w:pPr>
        <w:jc w:val="center"/>
      </w:pPr>
      <w:r w:rsidRPr="001854AD">
        <w:t>Abstract</w:t>
      </w:r>
    </w:p>
    <w:p w14:paraId="44D0983E" w14:textId="77777777" w:rsidR="001854AD" w:rsidRPr="001854AD" w:rsidRDefault="001854AD" w:rsidP="001854AD">
      <w:pPr>
        <w:jc w:val="both"/>
      </w:pPr>
    </w:p>
    <w:p w14:paraId="00B7D393" w14:textId="77777777" w:rsidR="001854AD" w:rsidRPr="001854AD" w:rsidRDefault="001854AD" w:rsidP="001854AD">
      <w:pPr>
        <w:jc w:val="both"/>
      </w:pPr>
      <w:r w:rsidRPr="001854AD">
        <w:t>This study examines the impact of four corporate-governance tenets—risk-management discipline, transparency, internal-control culture, and regulatory compliance—on non-performing-loan ratios using a 15-year balanced panel of ten Nigerian systemically important banks. Fixed-effects, random-effects, and Arellano-Bond estimations reveal that internal-control culture exerts the strongest reduction in credit losses, while transparency becomes effective only after the 2014 mandatory-governance code. Capital adequacy and mechanical compliance display no significant NPL elasticity once governance quality is controlled. Results inform a governance-centric supervisory matrix for emerging markets.</w:t>
      </w:r>
    </w:p>
    <w:p w14:paraId="2B0472E4" w14:textId="77777777" w:rsidR="001854AD" w:rsidRPr="001854AD" w:rsidRDefault="001854AD" w:rsidP="001854AD"/>
    <w:p w14:paraId="273C5D29" w14:textId="116D5938" w:rsidR="001854AD" w:rsidRPr="001854AD" w:rsidRDefault="001854AD" w:rsidP="001854AD">
      <w:r w:rsidRPr="001854AD">
        <w:t>Keywords: corporate governance, credit risk, panel data, Nigeria, banking regulation</w:t>
      </w:r>
    </w:p>
    <w:p w14:paraId="0F9A88E7" w14:textId="77777777" w:rsidR="001854AD" w:rsidRPr="001854AD" w:rsidRDefault="001854AD" w:rsidP="001854AD"/>
    <w:p w14:paraId="51CEAE8F" w14:textId="64B85B7C" w:rsidR="001854AD" w:rsidRPr="001854AD" w:rsidRDefault="001854AD" w:rsidP="001854AD">
      <w:r w:rsidRPr="001854AD">
        <w:t>JEL Classification: G21, G28, G34, C23</w:t>
      </w:r>
    </w:p>
    <w:p w14:paraId="52DDC908" w14:textId="77777777" w:rsidR="001854AD" w:rsidRPr="001854AD" w:rsidRDefault="001854AD" w:rsidP="001854AD"/>
    <w:p w14:paraId="1E18908F" w14:textId="28D9A4EB" w:rsidR="001854AD" w:rsidRPr="001854AD" w:rsidRDefault="001854AD" w:rsidP="001854AD">
      <w:pPr>
        <w:pStyle w:val="ListParagraph"/>
        <w:numPr>
          <w:ilvl w:val="0"/>
          <w:numId w:val="2"/>
        </w:numPr>
      </w:pPr>
      <w:r w:rsidRPr="001854AD">
        <w:t>Introduction</w:t>
      </w:r>
    </w:p>
    <w:p w14:paraId="4A571544" w14:textId="77777777" w:rsidR="001854AD" w:rsidRPr="001854AD" w:rsidRDefault="001854AD" w:rsidP="001854AD"/>
    <w:p w14:paraId="6950B13F" w14:textId="77777777" w:rsidR="001854AD" w:rsidRPr="001854AD" w:rsidRDefault="001854AD" w:rsidP="001854AD">
      <w:pPr>
        <w:jc w:val="both"/>
      </w:pPr>
      <w:r w:rsidRPr="001854AD">
        <w:t>The 2009–2010 Nigerian banking crisis registered non-performing-loan ratios above 35 percent, yet cross-sectional dispersion ranged from 8 percent to 62 percent among institutions operating within an identical macroeconomic shock environment. Such heterogeneity suggests that endogenous governance arrangements, rather than exogenous cycles, drive credit-loss clustering. In response, the Central Bank of Nigeria enacted a sequence of governance-centric reforms: Basel II adoption (2011), the National Code of Corporate Governance for Banks (2014), and IFRS-9 provisioning (2018). Each reform embeds four behavioural governance pillars: risk-management discipline, transparency, internal-control culture, and regulatory compliance. Whether these tenets jointly or individually reduce non-performing loans remains an empirical void.</w:t>
      </w:r>
    </w:p>
    <w:p w14:paraId="3F25B757" w14:textId="57AC9F4B" w:rsidR="001854AD" w:rsidRPr="001854AD" w:rsidRDefault="001854AD" w:rsidP="001854AD">
      <w:pPr>
        <w:jc w:val="both"/>
      </w:pPr>
      <w:r w:rsidRPr="001854AD">
        <w:t>This study fills the void by operationalising each pillar as a continuous governance-tenet variable within a 2009–2024 balanced panel of ten systemically important banks. Research objectives centre on quantifying the marginal NPL elasticity of each tenet, testing structural-break effects after the 2014 mandatory code, and ranking tenets by economic magnitude. The central hypothesis asserts that stronger governance tenets significantly reduce non-performing-loan ratios, with internal-control culture delivering the largest marginal payoff.</w:t>
      </w:r>
    </w:p>
    <w:p w14:paraId="6FE9C6DE" w14:textId="77777777" w:rsidR="001854AD" w:rsidRPr="001854AD" w:rsidRDefault="001854AD" w:rsidP="001854AD">
      <w:pPr>
        <w:jc w:val="both"/>
      </w:pPr>
    </w:p>
    <w:p w14:paraId="0435C3B6" w14:textId="77777777" w:rsidR="001854AD" w:rsidRPr="001854AD" w:rsidRDefault="001854AD" w:rsidP="001854AD">
      <w:pPr>
        <w:jc w:val="both"/>
      </w:pPr>
      <w:r w:rsidRPr="001854AD">
        <w:t>Contributions emerge along four dimensions. First, the study provides emerging-market evidence that behavioural governance tenets, rather than governance structures, drive credit-risk outcomes. Second, regime-split estimations demonstrate that transparency effectiveness hinges on legal enforceability. Third, internal-control culture exhibits the strongest and most stable NPL reduction, validating stewardship-theoretic arguments that culture dominates capital. Fourth, a governance-centric policy matrix redirects supervisory focus from headline capital ratios to behavioural governance metrics.</w:t>
      </w:r>
    </w:p>
    <w:p w14:paraId="06FCFBE6" w14:textId="1DA1D9A9" w:rsidR="001854AD" w:rsidRPr="001854AD" w:rsidRDefault="001854AD" w:rsidP="001854AD">
      <w:pPr>
        <w:jc w:val="both"/>
      </w:pPr>
      <w:r w:rsidRPr="001854AD">
        <w:lastRenderedPageBreak/>
        <w:t>The remainder of the paper proceeds as follows. Section 2 synthesises theoretical lenses and empirical literature. Section 3 details data construction, variable measurement, and econometric strategy. Section 4 presents empirical results, Section 5 discusses policy implications, and Section 6 concludes.</w:t>
      </w:r>
    </w:p>
    <w:p w14:paraId="499198FD" w14:textId="77777777" w:rsidR="001854AD" w:rsidRPr="001854AD" w:rsidRDefault="001854AD" w:rsidP="001854AD"/>
    <w:p w14:paraId="07DCE23A" w14:textId="29BAB24C" w:rsidR="001854AD" w:rsidRPr="001854AD" w:rsidRDefault="001854AD" w:rsidP="001854AD">
      <w:r w:rsidRPr="001854AD">
        <w:t>2 Literature review and theoretical framework</w:t>
      </w:r>
    </w:p>
    <w:p w14:paraId="33307A7E" w14:textId="77777777" w:rsidR="001854AD" w:rsidRPr="001854AD" w:rsidRDefault="001854AD" w:rsidP="001854AD"/>
    <w:p w14:paraId="3FDF73C2" w14:textId="77777777" w:rsidR="001854AD" w:rsidRPr="001854AD" w:rsidRDefault="001854AD" w:rsidP="001854AD">
      <w:r w:rsidRPr="001854AD">
        <w:t>2.1 Corporate-governance tenet theory</w:t>
      </w:r>
    </w:p>
    <w:p w14:paraId="73503491" w14:textId="77777777" w:rsidR="001854AD" w:rsidRPr="001854AD" w:rsidRDefault="001854AD" w:rsidP="001854AD"/>
    <w:p w14:paraId="7A68A527" w14:textId="77777777" w:rsidR="001854AD" w:rsidRPr="001854AD" w:rsidRDefault="001854AD" w:rsidP="001854AD">
      <w:pPr>
        <w:jc w:val="both"/>
      </w:pPr>
      <w:r w:rsidRPr="001854AD">
        <w:t xml:space="preserve">Traditional agency theory posits that managers maximise private benefits unless constrained by governance mechanisms. Jensen and Meckling (1976) establish that ownership dispersion amplifies agency costs, while Shleifer and </w:t>
      </w:r>
      <w:proofErr w:type="spellStart"/>
      <w:r w:rsidRPr="001854AD">
        <w:t>Vishny</w:t>
      </w:r>
      <w:proofErr w:type="spellEnd"/>
      <w:r w:rsidRPr="001854AD">
        <w:t xml:space="preserve"> (1997) extend the argument to banks, where opacity and high leverage intensify risk-shifting incentives. Existing literature disproportionately emphasises structural governance attributes—board size, independence, and duality—while neglecting behavioural governance tenets that capture oversight quality.</w:t>
      </w:r>
    </w:p>
    <w:p w14:paraId="2D628E71" w14:textId="1B94B48B" w:rsidR="001854AD" w:rsidRPr="001854AD" w:rsidRDefault="001854AD" w:rsidP="001854AD">
      <w:pPr>
        <w:jc w:val="both"/>
      </w:pPr>
      <w:r w:rsidRPr="001854AD">
        <w:t>Corporate-Governance Tenet Theory (CGTT) integrates four behavioural pillars: risk-appetite discipline, informational transparency, internal-control culture, and regulatory compliance ethos. Each pillar reflects board-level stewardship behaviour rather than nominal structural characteristics. CGTT predicts that credit-risk outcomes decrease with strengthening tenets but remains silent on relative potency. This study tests the implied hierarchy using a longitudinal panel of Nigerian banks.</w:t>
      </w:r>
    </w:p>
    <w:p w14:paraId="296BFF01" w14:textId="77777777" w:rsidR="001854AD" w:rsidRPr="001854AD" w:rsidRDefault="001854AD" w:rsidP="001854AD"/>
    <w:p w14:paraId="75D1E29B" w14:textId="77777777" w:rsidR="001854AD" w:rsidRPr="001854AD" w:rsidRDefault="001854AD" w:rsidP="001854AD">
      <w:r w:rsidRPr="001854AD">
        <w:t>2.2 Risk-management tenet and capital adequacy</w:t>
      </w:r>
    </w:p>
    <w:p w14:paraId="0FEF3B30" w14:textId="77777777" w:rsidR="001854AD" w:rsidRPr="001854AD" w:rsidRDefault="001854AD" w:rsidP="001854AD">
      <w:pPr>
        <w:jc w:val="both"/>
      </w:pPr>
      <w:r w:rsidRPr="001854AD">
        <w:t>Basel Accords conceptualise capital as a proxy for risk-management prudence. Empirical findings remain mixed. Aggarwal and Jacques (2001) document that higher capital reduces future non-performing loans in United States banks, whereas Barry, Lepetit, and Tarazi (2011) find no significant effect in African markets. A governance interpretation distinguishes between governed capital—held voluntarily above the regulatory minimum—and coerced capital. Lagged total capital adequacy ratio serves as the empirical proxy, mitigating reverse causality from rising non-performing loans to capital depletion.</w:t>
      </w:r>
    </w:p>
    <w:p w14:paraId="0B9E987A" w14:textId="77777777" w:rsidR="001854AD" w:rsidRPr="001854AD" w:rsidRDefault="001854AD" w:rsidP="001854AD">
      <w:pPr>
        <w:jc w:val="both"/>
      </w:pPr>
    </w:p>
    <w:p w14:paraId="67BE630C" w14:textId="77777777" w:rsidR="001854AD" w:rsidRPr="001854AD" w:rsidRDefault="001854AD" w:rsidP="001854AD">
      <w:r w:rsidRPr="001854AD">
        <w:t>2.3 Transparency tenet and disclosure</w:t>
      </w:r>
    </w:p>
    <w:p w14:paraId="5F34EF8D" w14:textId="0DEAAF8F" w:rsidR="001854AD" w:rsidRPr="001854AD" w:rsidRDefault="001854AD" w:rsidP="001854AD">
      <w:pPr>
        <w:jc w:val="both"/>
      </w:pPr>
      <w:r w:rsidRPr="001854AD">
        <w:t xml:space="preserve">Information asymmetry enables insider opportunism and inefficient risk pricing. La Porta, Lopez-de-Silanes, Shleifer, and </w:t>
      </w:r>
      <w:proofErr w:type="spellStart"/>
      <w:r w:rsidRPr="001854AD">
        <w:t>Vishny</w:t>
      </w:r>
      <w:proofErr w:type="spellEnd"/>
      <w:r w:rsidRPr="001854AD">
        <w:t xml:space="preserve"> (1998) argue that transparent disclosure disciplines insiders by facilitating external monitoring. Patel, Balic, and </w:t>
      </w:r>
      <w:proofErr w:type="spellStart"/>
      <w:r w:rsidRPr="001854AD">
        <w:t>Bwakira</w:t>
      </w:r>
      <w:proofErr w:type="spellEnd"/>
      <w:r w:rsidRPr="001854AD">
        <w:t xml:space="preserve"> (2002) demonstrate that richer governance disclosures reduce loan spreads. The Corporate Governance Disclosure Index, constructed along OECD (2015) guidelines, quantifies the breadth and timeliness of voluntary and mandatory disclosures. Regime-split estimations test whether mandatory transparency (post-2014) exerts stronger non-performing-loan elasticity than voluntary transparency.</w:t>
      </w:r>
    </w:p>
    <w:p w14:paraId="4A88F821" w14:textId="77777777" w:rsidR="001854AD" w:rsidRPr="001854AD" w:rsidRDefault="001854AD" w:rsidP="001854AD"/>
    <w:p w14:paraId="2ED2354B" w14:textId="77777777" w:rsidR="001854AD" w:rsidRPr="001854AD" w:rsidRDefault="001854AD" w:rsidP="001854AD">
      <w:r w:rsidRPr="001854AD">
        <w:t>2.4 Internal-control tenet and operational efficiency</w:t>
      </w:r>
    </w:p>
    <w:p w14:paraId="51533FBC" w14:textId="77777777" w:rsidR="001854AD" w:rsidRPr="001854AD" w:rsidRDefault="001854AD" w:rsidP="001854AD">
      <w:pPr>
        <w:jc w:val="both"/>
      </w:pPr>
      <w:r w:rsidRPr="001854AD">
        <w:t xml:space="preserve">COSO (2013) conceptualises operational efficiency as an outcome of control-environment quality. Berger and DeYoung (1997) link cost efficiency to loan quality in United States banks. The Bank Practice Index Score—inverse of the cost-to-income </w:t>
      </w:r>
      <w:r w:rsidRPr="001854AD">
        <w:lastRenderedPageBreak/>
        <w:t>ratio—serves as the empirical proxy. Higher values indicate lean, repeatable, and well-documented processes that prevent sloppy underwriting and control exceptions.</w:t>
      </w:r>
    </w:p>
    <w:p w14:paraId="72C7E48E" w14:textId="77777777" w:rsidR="001854AD" w:rsidRPr="001854AD" w:rsidRDefault="001854AD" w:rsidP="001854AD"/>
    <w:p w14:paraId="66D94157" w14:textId="5E4C257C" w:rsidR="001854AD" w:rsidRPr="001854AD" w:rsidRDefault="001854AD" w:rsidP="001854AD">
      <w:r w:rsidRPr="001854AD">
        <w:t>2.5 Compliance tenet and regulatory culture</w:t>
      </w:r>
    </w:p>
    <w:p w14:paraId="5F5285AE" w14:textId="77777777" w:rsidR="001854AD" w:rsidRPr="001854AD" w:rsidRDefault="001854AD" w:rsidP="001854AD">
      <w:pPr>
        <w:jc w:val="both"/>
      </w:pPr>
      <w:proofErr w:type="spellStart"/>
      <w:r w:rsidRPr="001854AD">
        <w:t>Masciandaro</w:t>
      </w:r>
      <w:proofErr w:type="spellEnd"/>
      <w:r w:rsidRPr="001854AD">
        <w:t xml:space="preserve"> and Quintyn (2013) posit that compliance culture functions as a public-good governance input. Mechanical compliance may coexist with strategic evasion, whereas behavioural compliance reflects genuine governance culture. The Banking Compliance Index Ratio aggregates the timeliness and accuracy of prudential returns, CAMELS component ratings, and remediation speed of central-bank inspection findings. Continuous measurement captures gradations in compliance culture rather than binary compliance status.</w:t>
      </w:r>
    </w:p>
    <w:p w14:paraId="577273F7" w14:textId="77777777" w:rsidR="001854AD" w:rsidRPr="001854AD" w:rsidRDefault="001854AD" w:rsidP="001854AD"/>
    <w:p w14:paraId="7BDF5221" w14:textId="7998012F" w:rsidR="001854AD" w:rsidRPr="001854AD" w:rsidRDefault="001854AD" w:rsidP="001854AD">
      <w:r w:rsidRPr="001854AD">
        <w:t>2.6 Synthesis and hypothesis development</w:t>
      </w:r>
    </w:p>
    <w:p w14:paraId="415EBEBD" w14:textId="5CD7A95D" w:rsidR="001854AD" w:rsidRPr="001854AD" w:rsidRDefault="001854AD" w:rsidP="001854AD">
      <w:pPr>
        <w:jc w:val="both"/>
      </w:pPr>
      <w:r w:rsidRPr="001854AD">
        <w:t>The literature synthesis leads to the following consolidated hypothesis: stronger corporate-governance tenets (higher TCAR, CGDI, OPEFF, and COMID) jointly and significantly reduce non-performing-loan ratios, with the magnitude of reduction being largest for the internal-control tenet and most potent in the post-2014 mandatory-disclosure regime.</w:t>
      </w:r>
    </w:p>
    <w:p w14:paraId="6E5F8F6D" w14:textId="77777777" w:rsidR="001854AD" w:rsidRPr="001854AD" w:rsidRDefault="001854AD" w:rsidP="001854AD"/>
    <w:p w14:paraId="41EC47BD" w14:textId="21163945" w:rsidR="001854AD" w:rsidRPr="001854AD" w:rsidRDefault="001854AD" w:rsidP="001854AD">
      <w:pPr>
        <w:pStyle w:val="ListParagraph"/>
        <w:numPr>
          <w:ilvl w:val="0"/>
          <w:numId w:val="4"/>
        </w:numPr>
      </w:pPr>
      <w:r w:rsidRPr="001854AD">
        <w:t>Methodology</w:t>
      </w:r>
    </w:p>
    <w:p w14:paraId="01E1E893" w14:textId="77777777" w:rsidR="001854AD" w:rsidRPr="001854AD" w:rsidRDefault="001854AD" w:rsidP="001854AD"/>
    <w:p w14:paraId="20D18074" w14:textId="77777777"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t>3.1 Research design and philosophical stance</w:t>
      </w:r>
    </w:p>
    <w:p w14:paraId="019396FC" w14:textId="7347B401"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br/>
        <w:t>A quantitative longitudinal panel design aligns with critical-realist epistemology, recognising that an objective governance-performance nexus exists but can only be apprehended through theory-laden measurements and appropriate statistical techniques. The design enables disentanglement of within-bank governance improvements from between-bank heterogeneity and common macro shocks.</w:t>
      </w:r>
    </w:p>
    <w:p w14:paraId="7C91D2ED" w14:textId="77777777" w:rsidR="001854AD" w:rsidRPr="001854AD" w:rsidRDefault="001854AD" w:rsidP="001854AD">
      <w:pPr>
        <w:textAlignment w:val="baseline"/>
        <w:rPr>
          <w:rFonts w:eastAsia="Times New Roman" w:cs="Segoe UI"/>
          <w:lang w:eastAsia="en-GB"/>
        </w:rPr>
      </w:pPr>
    </w:p>
    <w:p w14:paraId="57E940FD" w14:textId="77777777" w:rsidR="001854AD" w:rsidRPr="001854AD" w:rsidRDefault="001854AD" w:rsidP="001854AD">
      <w:pPr>
        <w:textAlignment w:val="baseline"/>
        <w:rPr>
          <w:rFonts w:eastAsia="Times New Roman" w:cs="Segoe UI"/>
          <w:lang w:eastAsia="en-GB"/>
        </w:rPr>
      </w:pPr>
      <w:r w:rsidRPr="001854AD">
        <w:rPr>
          <w:rFonts w:eastAsia="Times New Roman" w:cs="Segoe UI"/>
          <w:lang w:eastAsia="en-GB"/>
        </w:rPr>
        <w:t>3.2 Sample and data sources</w:t>
      </w:r>
    </w:p>
    <w:p w14:paraId="1613F2B4" w14:textId="67AFA210"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br/>
        <w:t>The population comprises the ten systemically important banks designated annually by the Central Bank of Nigeria, representing 78 percent of banking-sector assets. Annual financial statements, prudential returns, and governance-score submissions are hand-collected from 2009–2024, yielding 160 bank-year observations. GDP per-capita series are extracted from the World Development Indicators (2024 release) and deflated to 2010 constant United States dollars. Mergers occurring in 2012 and 2019 are traced back to the surviving entity using purchase-method restatements.</w:t>
      </w:r>
    </w:p>
    <w:p w14:paraId="342C668D" w14:textId="77777777" w:rsidR="001854AD" w:rsidRPr="001854AD" w:rsidRDefault="001854AD" w:rsidP="001854AD">
      <w:pPr>
        <w:jc w:val="both"/>
        <w:textAlignment w:val="baseline"/>
        <w:rPr>
          <w:rFonts w:eastAsia="Times New Roman" w:cs="Segoe UI"/>
          <w:lang w:eastAsia="en-GB"/>
        </w:rPr>
      </w:pPr>
    </w:p>
    <w:p w14:paraId="16529CDD" w14:textId="77777777" w:rsidR="001854AD" w:rsidRPr="001854AD" w:rsidRDefault="001854AD" w:rsidP="001854AD">
      <w:pPr>
        <w:textAlignment w:val="baseline"/>
        <w:rPr>
          <w:rFonts w:eastAsia="Times New Roman" w:cs="Segoe UI"/>
          <w:lang w:eastAsia="en-GB"/>
        </w:rPr>
      </w:pPr>
      <w:r w:rsidRPr="001854AD">
        <w:rPr>
          <w:rFonts w:eastAsia="Times New Roman" w:cs="Segoe UI"/>
          <w:lang w:eastAsia="en-GB"/>
        </w:rPr>
        <w:t>3.3 Variable definition and measurement</w:t>
      </w:r>
    </w:p>
    <w:p w14:paraId="7A589579" w14:textId="77777777" w:rsidR="001854AD" w:rsidRPr="001854AD" w:rsidRDefault="001854AD" w:rsidP="001854AD">
      <w:pPr>
        <w:rPr>
          <w:rFonts w:eastAsia="Times New Roman" w:cs="Times New Roman"/>
          <w:lang w:eastAsia="en-GB"/>
        </w:rPr>
      </w:pPr>
    </w:p>
    <w:p w14:paraId="301AA0B0" w14:textId="77777777" w:rsidR="001854AD" w:rsidRPr="001854AD" w:rsidRDefault="001854AD" w:rsidP="001854AD">
      <w:r w:rsidRPr="001854AD">
        <w:t>Dependent variable</w:t>
      </w:r>
    </w:p>
    <w:p w14:paraId="08935775" w14:textId="77777777" w:rsidR="001854AD" w:rsidRPr="001854AD" w:rsidRDefault="001854AD" w:rsidP="001854AD">
      <w:pPr>
        <w:jc w:val="both"/>
      </w:pPr>
      <w:r w:rsidRPr="001854AD">
        <w:t>Non-performing-loan ratio (NPLR) equals IFRS-9 Stage-3 credit-impaired assets divided by gross loans and advances, expressed in percentage terms. The IFRS-9 definition ensures consistency across the 2018 transition and captures exposures that have experienced significant credit deterioration.</w:t>
      </w:r>
    </w:p>
    <w:p w14:paraId="178EDCFA" w14:textId="77777777" w:rsidR="001854AD" w:rsidRPr="001854AD" w:rsidRDefault="001854AD" w:rsidP="001854AD">
      <w:pPr>
        <w:jc w:val="both"/>
      </w:pPr>
      <w:r w:rsidRPr="001854AD">
        <w:t>Governance-tenet variables</w:t>
      </w:r>
    </w:p>
    <w:p w14:paraId="5EC02282" w14:textId="77777777" w:rsidR="001854AD" w:rsidRPr="001854AD" w:rsidRDefault="001854AD" w:rsidP="001854AD">
      <w:pPr>
        <w:jc w:val="both"/>
      </w:pPr>
      <w:r w:rsidRPr="001854AD">
        <w:lastRenderedPageBreak/>
        <w:t>(</w:t>
      </w:r>
      <w:proofErr w:type="spellStart"/>
      <w:r w:rsidRPr="001854AD">
        <w:t>i</w:t>
      </w:r>
      <w:proofErr w:type="spellEnd"/>
      <w:r w:rsidRPr="001854AD">
        <w:t>) Risk-Management Tenet—Total Capital Adequacy Ratio (TCAR): Tier-1 plus Tier-2 capital divided by risk-weighted assets, lagged one period to mitigate simultaneity.</w:t>
      </w:r>
    </w:p>
    <w:p w14:paraId="0BF8BE34" w14:textId="77777777" w:rsidR="001854AD" w:rsidRPr="001854AD" w:rsidRDefault="001854AD" w:rsidP="001854AD">
      <w:pPr>
        <w:jc w:val="both"/>
      </w:pPr>
      <w:r w:rsidRPr="001854AD">
        <w:t>(ii) Transparency Tenet—Corporate Governance Disclosure Index (CGDI): A 60-item checklist aligned with OECD (2015) and Central Bank of Nigeria (2018) templates. One point is awarded if an item is disclosed in the annual report or standalone governance statement; the score is scaled 0–100.</w:t>
      </w:r>
    </w:p>
    <w:p w14:paraId="60A596B9" w14:textId="77777777" w:rsidR="001854AD" w:rsidRPr="001854AD" w:rsidRDefault="001854AD" w:rsidP="001854AD">
      <w:pPr>
        <w:jc w:val="both"/>
      </w:pPr>
      <w:r w:rsidRPr="001854AD">
        <w:t>(iii) Internal-Control Tenet—Bank Practice Index Score (OPEFF): 100 × (1 – cost-to-income ratio). Higher values indicate leaner and better-controlled processes.</w:t>
      </w:r>
    </w:p>
    <w:p w14:paraId="65690277" w14:textId="4B941C23" w:rsidR="001854AD" w:rsidRPr="001854AD" w:rsidRDefault="001854AD" w:rsidP="001854AD">
      <w:pPr>
        <w:jc w:val="both"/>
      </w:pPr>
      <w:r w:rsidRPr="001854AD">
        <w:t>(iv) Compliance Tenet—Banking Compliance Index Ratio (COMID): A weighted composite of prudential-return timeliness, CAMELS accuracy, and remediation speed, normalised 0–100.</w:t>
      </w:r>
    </w:p>
    <w:p w14:paraId="3255031D" w14:textId="77777777" w:rsidR="001854AD" w:rsidRPr="001854AD" w:rsidRDefault="001854AD" w:rsidP="001854AD"/>
    <w:p w14:paraId="5249A7FC" w14:textId="77777777" w:rsidR="001854AD" w:rsidRPr="001854AD" w:rsidRDefault="001854AD" w:rsidP="001854AD">
      <w:r w:rsidRPr="001854AD">
        <w:t>Control variable</w:t>
      </w:r>
    </w:p>
    <w:p w14:paraId="6EBE48FC" w14:textId="77777777" w:rsidR="001854AD" w:rsidRPr="001854AD" w:rsidRDefault="001854AD" w:rsidP="001854AD">
      <w:pPr>
        <w:jc w:val="both"/>
      </w:pPr>
      <w:r w:rsidRPr="001854AD">
        <w:t>Log of GDP per capita (</w:t>
      </w:r>
      <w:proofErr w:type="spellStart"/>
      <w:r w:rsidRPr="001854AD">
        <w:t>LnGDPPC</w:t>
      </w:r>
      <w:proofErr w:type="spellEnd"/>
      <w:r w:rsidRPr="001854AD">
        <w:t>) controls for macroeconomic cyclicality and debtor repayment capacity.</w:t>
      </w:r>
    </w:p>
    <w:p w14:paraId="575DF8CE" w14:textId="77777777" w:rsidR="001854AD" w:rsidRPr="001854AD" w:rsidRDefault="001854AD" w:rsidP="001854AD"/>
    <w:p w14:paraId="5E9C9C1D" w14:textId="1AD67721" w:rsidR="001854AD" w:rsidRPr="001854AD" w:rsidRDefault="001854AD" w:rsidP="001854AD">
      <w:r w:rsidRPr="001854AD">
        <w:t>Table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1"/>
        <w:gridCol w:w="2060"/>
        <w:gridCol w:w="3575"/>
        <w:gridCol w:w="2074"/>
      </w:tblGrid>
      <w:tr w:rsidR="001854AD" w:rsidRPr="001854AD" w14:paraId="27C03927" w14:textId="77777777" w:rsidTr="001854AD">
        <w:trPr>
          <w:tblHeader/>
        </w:trPr>
        <w:tc>
          <w:tcPr>
            <w:tcW w:w="0" w:type="auto"/>
            <w:tcMar>
              <w:top w:w="150" w:type="dxa"/>
              <w:left w:w="150" w:type="dxa"/>
              <w:bottom w:w="150" w:type="dxa"/>
              <w:right w:w="150" w:type="dxa"/>
            </w:tcMar>
            <w:vAlign w:val="bottom"/>
            <w:hideMark/>
          </w:tcPr>
          <w:p w14:paraId="26A5B1C4" w14:textId="77777777" w:rsidR="001854AD" w:rsidRPr="001854AD" w:rsidRDefault="001854AD" w:rsidP="001854AD">
            <w:pPr>
              <w:rPr>
                <w:rFonts w:eastAsia="Times New Roman" w:cs="Segoe UI"/>
                <w:b/>
                <w:bCs/>
                <w:spacing w:val="8"/>
                <w:sz w:val="22"/>
                <w:szCs w:val="22"/>
                <w:lang w:eastAsia="en-GB"/>
              </w:rPr>
            </w:pPr>
            <w:r w:rsidRPr="001854AD">
              <w:rPr>
                <w:rFonts w:eastAsia="Times New Roman" w:cs="Segoe UI"/>
                <w:b/>
                <w:bCs/>
                <w:spacing w:val="8"/>
                <w:sz w:val="22"/>
                <w:szCs w:val="22"/>
                <w:lang w:eastAsia="en-GB"/>
              </w:rPr>
              <w:t>Variable</w:t>
            </w:r>
          </w:p>
        </w:tc>
        <w:tc>
          <w:tcPr>
            <w:tcW w:w="0" w:type="auto"/>
            <w:tcMar>
              <w:top w:w="150" w:type="dxa"/>
              <w:left w:w="150" w:type="dxa"/>
              <w:bottom w:w="150" w:type="dxa"/>
              <w:right w:w="150" w:type="dxa"/>
            </w:tcMar>
            <w:vAlign w:val="bottom"/>
            <w:hideMark/>
          </w:tcPr>
          <w:p w14:paraId="3DA17CE7" w14:textId="77777777" w:rsidR="001854AD" w:rsidRPr="001854AD" w:rsidRDefault="001854AD" w:rsidP="001854AD">
            <w:pPr>
              <w:rPr>
                <w:rFonts w:eastAsia="Times New Roman" w:cs="Segoe UI"/>
                <w:b/>
                <w:bCs/>
                <w:spacing w:val="8"/>
                <w:sz w:val="22"/>
                <w:szCs w:val="22"/>
                <w:lang w:eastAsia="en-GB"/>
              </w:rPr>
            </w:pPr>
            <w:r w:rsidRPr="001854AD">
              <w:rPr>
                <w:rFonts w:eastAsia="Times New Roman" w:cs="Segoe UI"/>
                <w:b/>
                <w:bCs/>
                <w:spacing w:val="8"/>
                <w:sz w:val="22"/>
                <w:szCs w:val="22"/>
                <w:lang w:eastAsia="en-GB"/>
              </w:rPr>
              <w:t>Description</w:t>
            </w:r>
          </w:p>
        </w:tc>
        <w:tc>
          <w:tcPr>
            <w:tcW w:w="0" w:type="auto"/>
            <w:tcMar>
              <w:top w:w="150" w:type="dxa"/>
              <w:left w:w="150" w:type="dxa"/>
              <w:bottom w:w="150" w:type="dxa"/>
              <w:right w:w="150" w:type="dxa"/>
            </w:tcMar>
            <w:vAlign w:val="bottom"/>
            <w:hideMark/>
          </w:tcPr>
          <w:p w14:paraId="77417571" w14:textId="77777777" w:rsidR="001854AD" w:rsidRPr="001854AD" w:rsidRDefault="001854AD" w:rsidP="001854AD">
            <w:pPr>
              <w:rPr>
                <w:rFonts w:eastAsia="Times New Roman" w:cs="Segoe UI"/>
                <w:b/>
                <w:bCs/>
                <w:spacing w:val="8"/>
                <w:sz w:val="22"/>
                <w:szCs w:val="22"/>
                <w:lang w:eastAsia="en-GB"/>
              </w:rPr>
            </w:pPr>
            <w:r w:rsidRPr="001854AD">
              <w:rPr>
                <w:rFonts w:eastAsia="Times New Roman" w:cs="Segoe UI"/>
                <w:b/>
                <w:bCs/>
                <w:spacing w:val="8"/>
                <w:sz w:val="22"/>
                <w:szCs w:val="22"/>
                <w:lang w:eastAsia="en-GB"/>
              </w:rPr>
              <w:t>Construction</w:t>
            </w:r>
          </w:p>
        </w:tc>
        <w:tc>
          <w:tcPr>
            <w:tcW w:w="0" w:type="auto"/>
            <w:tcMar>
              <w:top w:w="150" w:type="dxa"/>
              <w:left w:w="150" w:type="dxa"/>
              <w:bottom w:w="150" w:type="dxa"/>
              <w:right w:w="150" w:type="dxa"/>
            </w:tcMar>
            <w:vAlign w:val="bottom"/>
            <w:hideMark/>
          </w:tcPr>
          <w:p w14:paraId="254373DA" w14:textId="77777777" w:rsidR="001854AD" w:rsidRPr="001854AD" w:rsidRDefault="001854AD" w:rsidP="001854AD">
            <w:pPr>
              <w:rPr>
                <w:rFonts w:eastAsia="Times New Roman" w:cs="Segoe UI"/>
                <w:b/>
                <w:bCs/>
                <w:spacing w:val="8"/>
                <w:sz w:val="22"/>
                <w:szCs w:val="22"/>
                <w:lang w:eastAsia="en-GB"/>
              </w:rPr>
            </w:pPr>
            <w:r w:rsidRPr="001854AD">
              <w:rPr>
                <w:rFonts w:eastAsia="Times New Roman" w:cs="Segoe UI"/>
                <w:b/>
                <w:bCs/>
                <w:spacing w:val="8"/>
                <w:sz w:val="22"/>
                <w:szCs w:val="22"/>
                <w:lang w:eastAsia="en-GB"/>
              </w:rPr>
              <w:t>Source</w:t>
            </w:r>
          </w:p>
        </w:tc>
      </w:tr>
      <w:tr w:rsidR="001854AD" w:rsidRPr="001854AD" w14:paraId="14AD18EB" w14:textId="77777777" w:rsidTr="001854AD">
        <w:tc>
          <w:tcPr>
            <w:tcW w:w="0" w:type="auto"/>
            <w:tcMar>
              <w:top w:w="150" w:type="dxa"/>
              <w:left w:w="150" w:type="dxa"/>
              <w:bottom w:w="150" w:type="dxa"/>
              <w:right w:w="150" w:type="dxa"/>
            </w:tcMar>
            <w:vAlign w:val="bottom"/>
            <w:hideMark/>
          </w:tcPr>
          <w:p w14:paraId="145D6789"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NPLR</w:t>
            </w:r>
          </w:p>
        </w:tc>
        <w:tc>
          <w:tcPr>
            <w:tcW w:w="0" w:type="auto"/>
            <w:tcMar>
              <w:top w:w="150" w:type="dxa"/>
              <w:left w:w="150" w:type="dxa"/>
              <w:bottom w:w="150" w:type="dxa"/>
              <w:right w:w="150" w:type="dxa"/>
            </w:tcMar>
            <w:vAlign w:val="bottom"/>
            <w:hideMark/>
          </w:tcPr>
          <w:p w14:paraId="5E59A87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Non-performing-loan ratio</w:t>
            </w:r>
          </w:p>
        </w:tc>
        <w:tc>
          <w:tcPr>
            <w:tcW w:w="0" w:type="auto"/>
            <w:tcMar>
              <w:top w:w="150" w:type="dxa"/>
              <w:left w:w="150" w:type="dxa"/>
              <w:bottom w:w="150" w:type="dxa"/>
              <w:right w:w="150" w:type="dxa"/>
            </w:tcMar>
            <w:vAlign w:val="bottom"/>
            <w:hideMark/>
          </w:tcPr>
          <w:p w14:paraId="30A1CCA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IFRS-9 Stage-3 assets / gross loans (%)</w:t>
            </w:r>
          </w:p>
        </w:tc>
        <w:tc>
          <w:tcPr>
            <w:tcW w:w="0" w:type="auto"/>
            <w:tcMar>
              <w:top w:w="150" w:type="dxa"/>
              <w:left w:w="150" w:type="dxa"/>
              <w:bottom w:w="150" w:type="dxa"/>
              <w:right w:w="150" w:type="dxa"/>
            </w:tcMar>
            <w:vAlign w:val="bottom"/>
            <w:hideMark/>
          </w:tcPr>
          <w:p w14:paraId="4A36000F"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Annual reports, CBN</w:t>
            </w:r>
          </w:p>
        </w:tc>
      </w:tr>
      <w:tr w:rsidR="001854AD" w:rsidRPr="001854AD" w14:paraId="307B67FB" w14:textId="77777777" w:rsidTr="001854AD">
        <w:tc>
          <w:tcPr>
            <w:tcW w:w="0" w:type="auto"/>
            <w:tcMar>
              <w:top w:w="150" w:type="dxa"/>
              <w:left w:w="150" w:type="dxa"/>
              <w:bottom w:w="150" w:type="dxa"/>
              <w:right w:w="150" w:type="dxa"/>
            </w:tcMar>
            <w:vAlign w:val="bottom"/>
            <w:hideMark/>
          </w:tcPr>
          <w:p w14:paraId="4FA19E33"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TCAR</w:t>
            </w:r>
          </w:p>
        </w:tc>
        <w:tc>
          <w:tcPr>
            <w:tcW w:w="0" w:type="auto"/>
            <w:tcMar>
              <w:top w:w="150" w:type="dxa"/>
              <w:left w:w="150" w:type="dxa"/>
              <w:bottom w:w="150" w:type="dxa"/>
              <w:right w:w="150" w:type="dxa"/>
            </w:tcMar>
            <w:vAlign w:val="bottom"/>
            <w:hideMark/>
          </w:tcPr>
          <w:p w14:paraId="063EF887"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Risk-management tenet</w:t>
            </w:r>
          </w:p>
        </w:tc>
        <w:tc>
          <w:tcPr>
            <w:tcW w:w="0" w:type="auto"/>
            <w:tcMar>
              <w:top w:w="150" w:type="dxa"/>
              <w:left w:w="150" w:type="dxa"/>
              <w:bottom w:w="150" w:type="dxa"/>
              <w:right w:w="150" w:type="dxa"/>
            </w:tcMar>
            <w:vAlign w:val="bottom"/>
            <w:hideMark/>
          </w:tcPr>
          <w:p w14:paraId="38D0F908"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(Tier-1 + Tier-2 capital) / RWA (lagged)</w:t>
            </w:r>
          </w:p>
        </w:tc>
        <w:tc>
          <w:tcPr>
            <w:tcW w:w="0" w:type="auto"/>
            <w:tcMar>
              <w:top w:w="150" w:type="dxa"/>
              <w:left w:w="150" w:type="dxa"/>
              <w:bottom w:w="150" w:type="dxa"/>
              <w:right w:w="150" w:type="dxa"/>
            </w:tcMar>
            <w:vAlign w:val="bottom"/>
            <w:hideMark/>
          </w:tcPr>
          <w:p w14:paraId="43EE8544"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CBN prudential returns</w:t>
            </w:r>
          </w:p>
        </w:tc>
      </w:tr>
      <w:tr w:rsidR="001854AD" w:rsidRPr="001854AD" w14:paraId="4C932B28" w14:textId="77777777" w:rsidTr="001854AD">
        <w:tc>
          <w:tcPr>
            <w:tcW w:w="0" w:type="auto"/>
            <w:tcMar>
              <w:top w:w="150" w:type="dxa"/>
              <w:left w:w="150" w:type="dxa"/>
              <w:bottom w:w="150" w:type="dxa"/>
              <w:right w:w="150" w:type="dxa"/>
            </w:tcMar>
            <w:vAlign w:val="bottom"/>
            <w:hideMark/>
          </w:tcPr>
          <w:p w14:paraId="0950DFB4"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CGDI</w:t>
            </w:r>
          </w:p>
        </w:tc>
        <w:tc>
          <w:tcPr>
            <w:tcW w:w="0" w:type="auto"/>
            <w:tcMar>
              <w:top w:w="150" w:type="dxa"/>
              <w:left w:w="150" w:type="dxa"/>
              <w:bottom w:w="150" w:type="dxa"/>
              <w:right w:w="150" w:type="dxa"/>
            </w:tcMar>
            <w:vAlign w:val="bottom"/>
            <w:hideMark/>
          </w:tcPr>
          <w:p w14:paraId="7EA2B5DB"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Transparency tenet</w:t>
            </w:r>
          </w:p>
        </w:tc>
        <w:tc>
          <w:tcPr>
            <w:tcW w:w="0" w:type="auto"/>
            <w:tcMar>
              <w:top w:w="150" w:type="dxa"/>
              <w:left w:w="150" w:type="dxa"/>
              <w:bottom w:w="150" w:type="dxa"/>
              <w:right w:w="150" w:type="dxa"/>
            </w:tcMar>
            <w:vAlign w:val="bottom"/>
            <w:hideMark/>
          </w:tcPr>
          <w:p w14:paraId="43279EF9"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60-item disclosure checklist / 60 × 100</w:t>
            </w:r>
          </w:p>
        </w:tc>
        <w:tc>
          <w:tcPr>
            <w:tcW w:w="0" w:type="auto"/>
            <w:tcMar>
              <w:top w:w="150" w:type="dxa"/>
              <w:left w:w="150" w:type="dxa"/>
              <w:bottom w:w="150" w:type="dxa"/>
              <w:right w:w="150" w:type="dxa"/>
            </w:tcMar>
            <w:vAlign w:val="bottom"/>
            <w:hideMark/>
          </w:tcPr>
          <w:p w14:paraId="620A9F6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Annual reports, OECD template</w:t>
            </w:r>
          </w:p>
        </w:tc>
      </w:tr>
      <w:tr w:rsidR="001854AD" w:rsidRPr="001854AD" w14:paraId="79F47EDD" w14:textId="77777777" w:rsidTr="001854AD">
        <w:tc>
          <w:tcPr>
            <w:tcW w:w="0" w:type="auto"/>
            <w:tcMar>
              <w:top w:w="150" w:type="dxa"/>
              <w:left w:w="150" w:type="dxa"/>
              <w:bottom w:w="150" w:type="dxa"/>
              <w:right w:w="150" w:type="dxa"/>
            </w:tcMar>
            <w:vAlign w:val="bottom"/>
            <w:hideMark/>
          </w:tcPr>
          <w:p w14:paraId="44EB8276"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OPEFF</w:t>
            </w:r>
          </w:p>
        </w:tc>
        <w:tc>
          <w:tcPr>
            <w:tcW w:w="0" w:type="auto"/>
            <w:tcMar>
              <w:top w:w="150" w:type="dxa"/>
              <w:left w:w="150" w:type="dxa"/>
              <w:bottom w:w="150" w:type="dxa"/>
              <w:right w:w="150" w:type="dxa"/>
            </w:tcMar>
            <w:vAlign w:val="bottom"/>
            <w:hideMark/>
          </w:tcPr>
          <w:p w14:paraId="19F8B60C"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Internal-control tenet</w:t>
            </w:r>
          </w:p>
        </w:tc>
        <w:tc>
          <w:tcPr>
            <w:tcW w:w="0" w:type="auto"/>
            <w:tcMar>
              <w:top w:w="150" w:type="dxa"/>
              <w:left w:w="150" w:type="dxa"/>
              <w:bottom w:w="150" w:type="dxa"/>
              <w:right w:w="150" w:type="dxa"/>
            </w:tcMar>
            <w:vAlign w:val="bottom"/>
            <w:hideMark/>
          </w:tcPr>
          <w:p w14:paraId="756CA147"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100 × (1 – cost-to-income ratio)</w:t>
            </w:r>
          </w:p>
        </w:tc>
        <w:tc>
          <w:tcPr>
            <w:tcW w:w="0" w:type="auto"/>
            <w:tcMar>
              <w:top w:w="150" w:type="dxa"/>
              <w:left w:w="150" w:type="dxa"/>
              <w:bottom w:w="150" w:type="dxa"/>
              <w:right w:w="150" w:type="dxa"/>
            </w:tcMar>
            <w:vAlign w:val="bottom"/>
            <w:hideMark/>
          </w:tcPr>
          <w:p w14:paraId="63742677"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Bank income statements</w:t>
            </w:r>
          </w:p>
        </w:tc>
      </w:tr>
      <w:tr w:rsidR="001854AD" w:rsidRPr="001854AD" w14:paraId="2E5F3C80" w14:textId="77777777" w:rsidTr="001854AD">
        <w:tc>
          <w:tcPr>
            <w:tcW w:w="0" w:type="auto"/>
            <w:tcMar>
              <w:top w:w="150" w:type="dxa"/>
              <w:left w:w="150" w:type="dxa"/>
              <w:bottom w:w="150" w:type="dxa"/>
              <w:right w:w="150" w:type="dxa"/>
            </w:tcMar>
            <w:vAlign w:val="bottom"/>
            <w:hideMark/>
          </w:tcPr>
          <w:p w14:paraId="33B3EA1C"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COMID</w:t>
            </w:r>
          </w:p>
        </w:tc>
        <w:tc>
          <w:tcPr>
            <w:tcW w:w="0" w:type="auto"/>
            <w:tcMar>
              <w:top w:w="150" w:type="dxa"/>
              <w:left w:w="150" w:type="dxa"/>
              <w:bottom w:w="150" w:type="dxa"/>
              <w:right w:w="150" w:type="dxa"/>
            </w:tcMar>
            <w:vAlign w:val="bottom"/>
            <w:hideMark/>
          </w:tcPr>
          <w:p w14:paraId="1828F763"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Compliance tenet</w:t>
            </w:r>
          </w:p>
        </w:tc>
        <w:tc>
          <w:tcPr>
            <w:tcW w:w="0" w:type="auto"/>
            <w:tcMar>
              <w:top w:w="150" w:type="dxa"/>
              <w:left w:w="150" w:type="dxa"/>
              <w:bottom w:w="150" w:type="dxa"/>
              <w:right w:w="150" w:type="dxa"/>
            </w:tcMar>
            <w:vAlign w:val="bottom"/>
            <w:hideMark/>
          </w:tcPr>
          <w:p w14:paraId="76A741D1"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Weighted composite of return accuracy, CAMELS, remediation speed (0–100)</w:t>
            </w:r>
          </w:p>
        </w:tc>
        <w:tc>
          <w:tcPr>
            <w:tcW w:w="0" w:type="auto"/>
            <w:tcMar>
              <w:top w:w="150" w:type="dxa"/>
              <w:left w:w="150" w:type="dxa"/>
              <w:bottom w:w="150" w:type="dxa"/>
              <w:right w:w="150" w:type="dxa"/>
            </w:tcMar>
            <w:vAlign w:val="bottom"/>
            <w:hideMark/>
          </w:tcPr>
          <w:p w14:paraId="0994D941"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CBN supervision archives</w:t>
            </w:r>
          </w:p>
        </w:tc>
      </w:tr>
      <w:tr w:rsidR="001854AD" w:rsidRPr="001854AD" w14:paraId="0A894847" w14:textId="77777777" w:rsidTr="001854AD">
        <w:tc>
          <w:tcPr>
            <w:tcW w:w="0" w:type="auto"/>
            <w:tcMar>
              <w:top w:w="150" w:type="dxa"/>
              <w:left w:w="150" w:type="dxa"/>
              <w:bottom w:w="150" w:type="dxa"/>
              <w:right w:w="150" w:type="dxa"/>
            </w:tcMar>
            <w:vAlign w:val="bottom"/>
            <w:hideMark/>
          </w:tcPr>
          <w:p w14:paraId="16A0C295" w14:textId="77777777" w:rsidR="001854AD" w:rsidRPr="001854AD" w:rsidRDefault="001854AD" w:rsidP="001854AD">
            <w:pPr>
              <w:rPr>
                <w:rFonts w:eastAsia="Times New Roman" w:cs="Segoe UI"/>
                <w:spacing w:val="8"/>
                <w:sz w:val="22"/>
                <w:szCs w:val="22"/>
                <w:lang w:eastAsia="en-GB"/>
              </w:rPr>
            </w:pPr>
            <w:proofErr w:type="spellStart"/>
            <w:r w:rsidRPr="001854AD">
              <w:rPr>
                <w:rFonts w:eastAsia="Times New Roman" w:cs="Segoe UI"/>
                <w:spacing w:val="8"/>
                <w:sz w:val="22"/>
                <w:szCs w:val="22"/>
                <w:lang w:eastAsia="en-GB"/>
              </w:rPr>
              <w:t>LnGDPPC</w:t>
            </w:r>
            <w:proofErr w:type="spellEnd"/>
          </w:p>
        </w:tc>
        <w:tc>
          <w:tcPr>
            <w:tcW w:w="0" w:type="auto"/>
            <w:tcMar>
              <w:top w:w="150" w:type="dxa"/>
              <w:left w:w="150" w:type="dxa"/>
              <w:bottom w:w="150" w:type="dxa"/>
              <w:right w:w="150" w:type="dxa"/>
            </w:tcMar>
            <w:vAlign w:val="bottom"/>
            <w:hideMark/>
          </w:tcPr>
          <w:p w14:paraId="30559DE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Macro control</w:t>
            </w:r>
          </w:p>
        </w:tc>
        <w:tc>
          <w:tcPr>
            <w:tcW w:w="0" w:type="auto"/>
            <w:tcMar>
              <w:top w:w="150" w:type="dxa"/>
              <w:left w:w="150" w:type="dxa"/>
              <w:bottom w:w="150" w:type="dxa"/>
              <w:right w:w="150" w:type="dxa"/>
            </w:tcMar>
            <w:vAlign w:val="bottom"/>
            <w:hideMark/>
          </w:tcPr>
          <w:p w14:paraId="5F987818" w14:textId="77777777" w:rsidR="001854AD" w:rsidRPr="001854AD" w:rsidRDefault="001854AD" w:rsidP="001854AD">
            <w:pPr>
              <w:rPr>
                <w:rFonts w:eastAsia="Times New Roman" w:cs="Segoe UI"/>
                <w:spacing w:val="8"/>
                <w:sz w:val="22"/>
                <w:szCs w:val="22"/>
                <w:lang w:eastAsia="en-GB"/>
              </w:rPr>
            </w:pPr>
            <w:proofErr w:type="gramStart"/>
            <w:r w:rsidRPr="001854AD">
              <w:rPr>
                <w:rFonts w:eastAsia="Times New Roman" w:cs="Segoe UI"/>
                <w:spacing w:val="8"/>
                <w:sz w:val="22"/>
                <w:szCs w:val="22"/>
                <w:lang w:eastAsia="en-GB"/>
              </w:rPr>
              <w:t>ln(</w:t>
            </w:r>
            <w:proofErr w:type="gramEnd"/>
            <w:r w:rsidRPr="001854AD">
              <w:rPr>
                <w:rFonts w:eastAsia="Times New Roman" w:cs="Segoe UI"/>
                <w:spacing w:val="8"/>
                <w:sz w:val="22"/>
                <w:szCs w:val="22"/>
                <w:lang w:eastAsia="en-GB"/>
              </w:rPr>
              <w:t>GDP per capita, 2010 US$)</w:t>
            </w:r>
          </w:p>
        </w:tc>
        <w:tc>
          <w:tcPr>
            <w:tcW w:w="0" w:type="auto"/>
            <w:vAlign w:val="center"/>
            <w:hideMark/>
          </w:tcPr>
          <w:p w14:paraId="7744193E" w14:textId="77777777" w:rsidR="001854AD" w:rsidRPr="001854AD" w:rsidRDefault="001854AD" w:rsidP="001854AD">
            <w:pPr>
              <w:rPr>
                <w:rFonts w:eastAsia="Times New Roman" w:cs="Times New Roman"/>
                <w:sz w:val="22"/>
                <w:szCs w:val="22"/>
                <w:lang w:eastAsia="en-GB"/>
              </w:rPr>
            </w:pPr>
          </w:p>
        </w:tc>
      </w:tr>
    </w:tbl>
    <w:p w14:paraId="0FB5BBB7" w14:textId="77777777" w:rsidR="001854AD" w:rsidRPr="001854AD" w:rsidRDefault="001854AD" w:rsidP="001854AD"/>
    <w:p w14:paraId="71C1CE52" w14:textId="77777777" w:rsidR="001854AD" w:rsidRPr="001854AD" w:rsidRDefault="001854AD" w:rsidP="001854AD"/>
    <w:p w14:paraId="1502CE9B" w14:textId="2666F8A7" w:rsidR="001854AD" w:rsidRPr="001854AD" w:rsidRDefault="001854AD" w:rsidP="001854AD">
      <w:r w:rsidRPr="001854AD">
        <w:t>3.4 Econometric specification</w:t>
      </w:r>
    </w:p>
    <w:p w14:paraId="038E901C" w14:textId="27BCC8BB" w:rsidR="001854AD" w:rsidRPr="001854AD" w:rsidRDefault="001854AD" w:rsidP="001854AD">
      <w:r w:rsidRPr="001854AD">
        <w:t>The baseline two-way error-component model is specified as:</w:t>
      </w:r>
    </w:p>
    <w:p w14:paraId="53B3F779" w14:textId="77777777" w:rsidR="001854AD" w:rsidRPr="001854AD" w:rsidRDefault="001854AD" w:rsidP="001854AD"/>
    <w:p w14:paraId="607C55AE" w14:textId="77777777" w:rsidR="001854AD" w:rsidRPr="001854AD" w:rsidRDefault="001854AD" w:rsidP="001854AD">
      <w:pPr>
        <w:ind w:right="-30"/>
        <w:jc w:val="center"/>
        <w:rPr>
          <w:rFonts w:eastAsia="Times New Roman" w:cs="Times New Roman"/>
          <w:bdr w:val="none" w:sz="0" w:space="0" w:color="auto" w:frame="1"/>
          <w:lang w:eastAsia="en-GB"/>
        </w:rPr>
      </w:pPr>
      <w:r w:rsidRPr="001854AD">
        <w:rPr>
          <w:rFonts w:eastAsia="Times New Roman" w:cs="Times New Roman"/>
          <w:i/>
          <w:iCs/>
          <w:bdr w:val="none" w:sz="0" w:space="0" w:color="auto" w:frame="1"/>
          <w:lang w:eastAsia="en-GB"/>
        </w:rPr>
        <w:t>NPLRit</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ascii="Arial" w:eastAsia="Times New Roman" w:hAnsi="Arial" w:cs="Arial"/>
          <w:bdr w:val="none" w:sz="0" w:space="0" w:color="auto" w:frame="1"/>
          <w:lang w:eastAsia="en-GB"/>
        </w:rPr>
        <w:t>​</w:t>
      </w:r>
      <w:r w:rsidRPr="001854AD">
        <w:rPr>
          <w:rFonts w:eastAsia="Times New Roman" w:cs="Times New Roman"/>
          <w:i/>
          <w:iCs/>
          <w:bdr w:val="none" w:sz="0" w:space="0" w:color="auto" w:frame="1"/>
          <w:lang w:eastAsia="en-GB"/>
        </w:rPr>
        <w:t>α</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β</w:t>
      </w:r>
      <w:r w:rsidRPr="001854AD">
        <w:rPr>
          <w:rFonts w:eastAsia="Times New Roman" w:cs="Times New Roman"/>
          <w:bdr w:val="none" w:sz="0" w:space="0" w:color="auto" w:frame="1"/>
          <w:lang w:eastAsia="en-GB"/>
        </w:rPr>
        <w:t>1</w:t>
      </w:r>
      <w:r w:rsidRPr="001854AD">
        <w:rPr>
          <w:rFonts w:ascii="Arial" w:eastAsia="Times New Roman" w:hAnsi="Arial" w:cs="Arial"/>
          <w:bdr w:val="none" w:sz="0" w:space="0" w:color="auto" w:frame="1"/>
          <w:lang w:eastAsia="en-GB"/>
        </w:rPr>
        <w:t>​</w:t>
      </w:r>
      <w:proofErr w:type="gramStart"/>
      <w:r w:rsidRPr="001854AD">
        <w:rPr>
          <w:rFonts w:eastAsia="Times New Roman" w:cs="Times New Roman"/>
          <w:i/>
          <w:iCs/>
          <w:bdr w:val="none" w:sz="0" w:space="0" w:color="auto" w:frame="1"/>
          <w:lang w:eastAsia="en-GB"/>
        </w:rPr>
        <w:t>TCARi</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t</w:t>
      </w:r>
      <w:proofErr w:type="gramEnd"/>
      <w:r w:rsidRPr="001854AD">
        <w:rPr>
          <w:rFonts w:eastAsia="Times New Roman" w:cs="Times New Roman"/>
          <w:bdr w:val="none" w:sz="0" w:space="0" w:color="auto" w:frame="1"/>
          <w:lang w:eastAsia="en-GB"/>
        </w:rPr>
        <w:t>−1</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β</w:t>
      </w:r>
      <w:r w:rsidRPr="001854AD">
        <w:rPr>
          <w:rFonts w:eastAsia="Times New Roman" w:cs="Times New Roman"/>
          <w:bdr w:val="none" w:sz="0" w:space="0" w:color="auto" w:frame="1"/>
          <w:lang w:eastAsia="en-GB"/>
        </w:rPr>
        <w:t>2</w:t>
      </w:r>
      <w:r w:rsidRPr="001854AD">
        <w:rPr>
          <w:rFonts w:ascii="Arial" w:eastAsia="Times New Roman" w:hAnsi="Arial" w:cs="Arial"/>
          <w:bdr w:val="none" w:sz="0" w:space="0" w:color="auto" w:frame="1"/>
          <w:lang w:eastAsia="en-GB"/>
        </w:rPr>
        <w:t>​</w:t>
      </w:r>
      <w:r w:rsidRPr="001854AD">
        <w:rPr>
          <w:rFonts w:eastAsia="Times New Roman" w:cs="Times New Roman"/>
          <w:i/>
          <w:iCs/>
          <w:bdr w:val="none" w:sz="0" w:space="0" w:color="auto" w:frame="1"/>
          <w:lang w:eastAsia="en-GB"/>
        </w:rPr>
        <w:t>CGDIit</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β</w:t>
      </w:r>
      <w:r w:rsidRPr="001854AD">
        <w:rPr>
          <w:rFonts w:eastAsia="Times New Roman" w:cs="Times New Roman"/>
          <w:bdr w:val="none" w:sz="0" w:space="0" w:color="auto" w:frame="1"/>
          <w:lang w:eastAsia="en-GB"/>
        </w:rPr>
        <w:t>3</w:t>
      </w:r>
      <w:r w:rsidRPr="001854AD">
        <w:rPr>
          <w:rFonts w:ascii="Arial" w:eastAsia="Times New Roman" w:hAnsi="Arial" w:cs="Arial"/>
          <w:bdr w:val="none" w:sz="0" w:space="0" w:color="auto" w:frame="1"/>
          <w:lang w:eastAsia="en-GB"/>
        </w:rPr>
        <w:t>​</w:t>
      </w:r>
      <w:r w:rsidRPr="001854AD">
        <w:rPr>
          <w:rFonts w:eastAsia="Times New Roman" w:cs="Times New Roman"/>
          <w:i/>
          <w:iCs/>
          <w:bdr w:val="none" w:sz="0" w:space="0" w:color="auto" w:frame="1"/>
          <w:lang w:eastAsia="en-GB"/>
        </w:rPr>
        <w:t>OPEFFit</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β</w:t>
      </w:r>
      <w:r w:rsidRPr="001854AD">
        <w:rPr>
          <w:rFonts w:eastAsia="Times New Roman" w:cs="Times New Roman"/>
          <w:bdr w:val="none" w:sz="0" w:space="0" w:color="auto" w:frame="1"/>
          <w:lang w:eastAsia="en-GB"/>
        </w:rPr>
        <w:t>4</w:t>
      </w:r>
      <w:r w:rsidRPr="001854AD">
        <w:rPr>
          <w:rFonts w:ascii="Arial" w:eastAsia="Times New Roman" w:hAnsi="Arial" w:cs="Arial"/>
          <w:bdr w:val="none" w:sz="0" w:space="0" w:color="auto" w:frame="1"/>
          <w:lang w:eastAsia="en-GB"/>
        </w:rPr>
        <w:t>​</w:t>
      </w:r>
      <w:r w:rsidRPr="001854AD">
        <w:rPr>
          <w:rFonts w:eastAsia="Times New Roman" w:cs="Times New Roman"/>
          <w:i/>
          <w:iCs/>
          <w:bdr w:val="none" w:sz="0" w:space="0" w:color="auto" w:frame="1"/>
          <w:lang w:eastAsia="en-GB"/>
        </w:rPr>
        <w:t>COMIDit</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β</w:t>
      </w:r>
      <w:r w:rsidRPr="001854AD">
        <w:rPr>
          <w:rFonts w:eastAsia="Times New Roman" w:cs="Times New Roman"/>
          <w:bdr w:val="none" w:sz="0" w:space="0" w:color="auto" w:frame="1"/>
          <w:lang w:eastAsia="en-GB"/>
        </w:rPr>
        <w:t>5</w:t>
      </w:r>
      <w:r w:rsidRPr="001854AD">
        <w:rPr>
          <w:rFonts w:ascii="Arial" w:eastAsia="Times New Roman" w:hAnsi="Arial" w:cs="Arial"/>
          <w:bdr w:val="none" w:sz="0" w:space="0" w:color="auto" w:frame="1"/>
          <w:lang w:eastAsia="en-GB"/>
        </w:rPr>
        <w:t>​</w:t>
      </w:r>
      <w:r w:rsidRPr="001854AD">
        <w:rPr>
          <w:rFonts w:eastAsia="Times New Roman" w:cs="Times New Roman"/>
          <w:i/>
          <w:iCs/>
          <w:bdr w:val="none" w:sz="0" w:space="0" w:color="auto" w:frame="1"/>
          <w:lang w:eastAsia="en-GB"/>
        </w:rPr>
        <w:t>LnGDPPCt</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μi</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λt</w:t>
      </w:r>
      <w:r w:rsidRPr="001854AD">
        <w:rPr>
          <w:rFonts w:ascii="Arial" w:eastAsia="Times New Roman" w:hAnsi="Arial" w:cs="Arial"/>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εit</w:t>
      </w:r>
      <w:r w:rsidRPr="001854AD">
        <w:rPr>
          <w:rFonts w:ascii="Arial" w:eastAsia="Times New Roman" w:hAnsi="Arial" w:cs="Arial"/>
          <w:bdr w:val="none" w:sz="0" w:space="0" w:color="auto" w:frame="1"/>
          <w:lang w:eastAsia="en-GB"/>
        </w:rPr>
        <w:t>​​</w:t>
      </w:r>
    </w:p>
    <w:p w14:paraId="6F4D8B26" w14:textId="77777777" w:rsidR="001854AD" w:rsidRPr="001854AD" w:rsidRDefault="001854AD" w:rsidP="001854AD"/>
    <w:p w14:paraId="7156F46B" w14:textId="69A0784A" w:rsidR="001854AD" w:rsidRPr="001854AD" w:rsidRDefault="001854AD" w:rsidP="001854AD">
      <w:pPr>
        <w:jc w:val="both"/>
        <w:rPr>
          <w:rFonts w:cs="Segoe UI"/>
          <w:shd w:val="clear" w:color="auto" w:fill="FFFFFF"/>
        </w:rPr>
      </w:pPr>
      <w:r w:rsidRPr="001854AD">
        <w:rPr>
          <w:rFonts w:cs="Segoe UI"/>
          <w:shd w:val="clear" w:color="auto" w:fill="FFFFFF"/>
        </w:rPr>
        <w:t xml:space="preserve">where </w:t>
      </w:r>
      <w:proofErr w:type="spellStart"/>
      <w:r w:rsidRPr="001854AD">
        <w:rPr>
          <w:rStyle w:val="mord"/>
          <w:i/>
          <w:iCs/>
          <w:bdr w:val="none" w:sz="0" w:space="0" w:color="auto" w:frame="1"/>
        </w:rPr>
        <w:t>i</w:t>
      </w:r>
      <w:proofErr w:type="spellEnd"/>
      <w:r w:rsidRPr="001854AD">
        <w:rPr>
          <w:rStyle w:val="mrel"/>
          <w:bdr w:val="none" w:sz="0" w:space="0" w:color="auto" w:frame="1"/>
        </w:rPr>
        <w:t>=</w:t>
      </w:r>
      <w:proofErr w:type="gramStart"/>
      <w:r w:rsidRPr="001854AD">
        <w:rPr>
          <w:rStyle w:val="mord"/>
          <w:bdr w:val="none" w:sz="0" w:space="0" w:color="auto" w:frame="1"/>
        </w:rPr>
        <w:t>1</w:t>
      </w:r>
      <w:r w:rsidRPr="001854AD">
        <w:rPr>
          <w:rStyle w:val="mpunct"/>
          <w:bdr w:val="none" w:sz="0" w:space="0" w:color="auto" w:frame="1"/>
        </w:rPr>
        <w:t>,</w:t>
      </w:r>
      <w:r w:rsidRPr="001854AD">
        <w:rPr>
          <w:rStyle w:val="minner"/>
          <w:bdr w:val="none" w:sz="0" w:space="0" w:color="auto" w:frame="1"/>
        </w:rPr>
        <w:t>…</w:t>
      </w:r>
      <w:proofErr w:type="gramEnd"/>
      <w:r w:rsidRPr="001854AD">
        <w:rPr>
          <w:rStyle w:val="mpunct"/>
          <w:bdr w:val="none" w:sz="0" w:space="0" w:color="auto" w:frame="1"/>
        </w:rPr>
        <w:t>,</w:t>
      </w:r>
      <w:r w:rsidRPr="001854AD">
        <w:rPr>
          <w:rStyle w:val="mord"/>
          <w:bdr w:val="none" w:sz="0" w:space="0" w:color="auto" w:frame="1"/>
        </w:rPr>
        <w:t>10</w:t>
      </w:r>
      <w:r w:rsidRPr="001854AD">
        <w:rPr>
          <w:rFonts w:cs="Segoe UI"/>
          <w:shd w:val="clear" w:color="auto" w:fill="FFFFFF"/>
        </w:rPr>
        <w:t xml:space="preserve"> banks, </w:t>
      </w:r>
      <w:r w:rsidRPr="001854AD">
        <w:rPr>
          <w:rStyle w:val="mord"/>
          <w:i/>
          <w:iCs/>
          <w:bdr w:val="none" w:sz="0" w:space="0" w:color="auto" w:frame="1"/>
        </w:rPr>
        <w:t>t</w:t>
      </w:r>
      <w:r w:rsidRPr="001854AD">
        <w:rPr>
          <w:rStyle w:val="mrel"/>
          <w:bdr w:val="none" w:sz="0" w:space="0" w:color="auto" w:frame="1"/>
        </w:rPr>
        <w:t>=</w:t>
      </w:r>
      <w:proofErr w:type="gramStart"/>
      <w:r w:rsidRPr="001854AD">
        <w:rPr>
          <w:rStyle w:val="mord"/>
          <w:bdr w:val="none" w:sz="0" w:space="0" w:color="auto" w:frame="1"/>
        </w:rPr>
        <w:t>2009</w:t>
      </w:r>
      <w:r w:rsidRPr="001854AD">
        <w:rPr>
          <w:rStyle w:val="mpunct"/>
          <w:bdr w:val="none" w:sz="0" w:space="0" w:color="auto" w:frame="1"/>
        </w:rPr>
        <w:t>,</w:t>
      </w:r>
      <w:r w:rsidRPr="001854AD">
        <w:rPr>
          <w:rStyle w:val="minner"/>
          <w:bdr w:val="none" w:sz="0" w:space="0" w:color="auto" w:frame="1"/>
        </w:rPr>
        <w:t>…</w:t>
      </w:r>
      <w:proofErr w:type="gramEnd"/>
      <w:r w:rsidRPr="001854AD">
        <w:rPr>
          <w:rStyle w:val="mpunct"/>
          <w:bdr w:val="none" w:sz="0" w:space="0" w:color="auto" w:frame="1"/>
        </w:rPr>
        <w:t>,</w:t>
      </w:r>
      <w:r w:rsidRPr="001854AD">
        <w:rPr>
          <w:rStyle w:val="mord"/>
          <w:bdr w:val="none" w:sz="0" w:space="0" w:color="auto" w:frame="1"/>
        </w:rPr>
        <w:t>2024</w:t>
      </w:r>
      <w:r w:rsidRPr="001854AD">
        <w:rPr>
          <w:rFonts w:cs="Segoe UI"/>
          <w:shd w:val="clear" w:color="auto" w:fill="FFFFFF"/>
        </w:rPr>
        <w:t xml:space="preserve">, </w:t>
      </w:r>
      <w:proofErr w:type="spellStart"/>
      <w:r w:rsidRPr="001854AD">
        <w:rPr>
          <w:rStyle w:val="mord"/>
          <w:i/>
          <w:iCs/>
          <w:bdr w:val="none" w:sz="0" w:space="0" w:color="auto" w:frame="1"/>
        </w:rPr>
        <w:t>μi</w:t>
      </w:r>
      <w:proofErr w:type="spellEnd"/>
      <w:r w:rsidRPr="001854AD">
        <w:rPr>
          <w:rStyle w:val="vlist-s"/>
          <w:rFonts w:ascii="Arial" w:hAnsi="Arial" w:cs="Arial"/>
          <w:bdr w:val="none" w:sz="0" w:space="0" w:color="auto" w:frame="1"/>
        </w:rPr>
        <w:t>​</w:t>
      </w:r>
      <w:r w:rsidRPr="001854AD">
        <w:rPr>
          <w:rFonts w:cs="Segoe UI"/>
          <w:shd w:val="clear" w:color="auto" w:fill="FFFFFF"/>
        </w:rPr>
        <w:t xml:space="preserve"> denotes bank-fixed effects, </w:t>
      </w:r>
      <w:proofErr w:type="spellStart"/>
      <w:r w:rsidRPr="001854AD">
        <w:rPr>
          <w:rStyle w:val="mord"/>
          <w:i/>
          <w:iCs/>
          <w:bdr w:val="none" w:sz="0" w:space="0" w:color="auto" w:frame="1"/>
        </w:rPr>
        <w:t>λt</w:t>
      </w:r>
      <w:proofErr w:type="spellEnd"/>
      <w:r w:rsidRPr="001854AD">
        <w:rPr>
          <w:rStyle w:val="vlist-s"/>
          <w:rFonts w:ascii="Arial" w:hAnsi="Arial" w:cs="Arial"/>
          <w:bdr w:val="none" w:sz="0" w:space="0" w:color="auto" w:frame="1"/>
        </w:rPr>
        <w:t>​</w:t>
      </w:r>
      <w:r w:rsidRPr="001854AD">
        <w:rPr>
          <w:rFonts w:cs="Segoe UI"/>
          <w:shd w:val="clear" w:color="auto" w:fill="FFFFFF"/>
        </w:rPr>
        <w:t xml:space="preserve"> represents year dummies, and </w:t>
      </w:r>
      <w:proofErr w:type="spellStart"/>
      <w:r w:rsidRPr="001854AD">
        <w:rPr>
          <w:rStyle w:val="mord"/>
          <w:i/>
          <w:iCs/>
          <w:bdr w:val="none" w:sz="0" w:space="0" w:color="auto" w:frame="1"/>
        </w:rPr>
        <w:t>εit</w:t>
      </w:r>
      <w:proofErr w:type="spellEnd"/>
      <w:r w:rsidRPr="001854AD">
        <w:rPr>
          <w:rStyle w:val="vlist-s"/>
          <w:rFonts w:ascii="Arial" w:hAnsi="Arial" w:cs="Arial"/>
          <w:bdr w:val="none" w:sz="0" w:space="0" w:color="auto" w:frame="1"/>
        </w:rPr>
        <w:t>​</w:t>
      </w:r>
      <w:r w:rsidRPr="001854AD">
        <w:rPr>
          <w:rFonts w:cs="Segoe UI"/>
          <w:shd w:val="clear" w:color="auto" w:fill="FFFFFF"/>
        </w:rPr>
        <w:t xml:space="preserve"> is the idiosyncratic error term. Standard errors are cluster-robust at bank level to correct for heteroskedasticity and serial correlation (Arellano, 1987).</w:t>
      </w:r>
    </w:p>
    <w:p w14:paraId="0C852ED0" w14:textId="77777777" w:rsidR="001854AD" w:rsidRPr="001854AD" w:rsidRDefault="001854AD" w:rsidP="001854AD">
      <w:pPr>
        <w:rPr>
          <w:rFonts w:cs="Segoe UI"/>
          <w:shd w:val="clear" w:color="auto" w:fill="FFFFFF"/>
        </w:rPr>
      </w:pPr>
    </w:p>
    <w:p w14:paraId="5F4910A7" w14:textId="77777777" w:rsidR="001854AD" w:rsidRPr="001854AD" w:rsidRDefault="001854AD" w:rsidP="001854AD">
      <w:r w:rsidRPr="001854AD">
        <w:t>3.5 Estimator selection and endogeneity mitigation</w:t>
      </w:r>
    </w:p>
    <w:p w14:paraId="1110BCCC" w14:textId="77777777" w:rsidR="001854AD" w:rsidRPr="001854AD" w:rsidRDefault="001854AD" w:rsidP="001854AD">
      <w:pPr>
        <w:jc w:val="both"/>
      </w:pPr>
      <w:r w:rsidRPr="001854AD">
        <w:t>Fixed-effects and random-effects estimators are compared via the Hausman (1978) specification test. Under the null, random-effects is efficient and consistent; under the alternative, fixed-effects yields consistent estimates when unobserved bank-effects correlate with regressors. The risk-management tenet is lagged one period to attenuate reverse causality from rising non-performing loans to capital depletion. Variance-inflation factors never exceed 4, ruling out multicollinearity.</w:t>
      </w:r>
    </w:p>
    <w:p w14:paraId="61A20886" w14:textId="77777777" w:rsidR="001854AD" w:rsidRPr="001854AD" w:rsidRDefault="001854AD" w:rsidP="001854AD"/>
    <w:p w14:paraId="4A27A7B0" w14:textId="6D5143C7" w:rsidR="001854AD" w:rsidRPr="001854AD" w:rsidRDefault="001854AD" w:rsidP="001854AD">
      <w:r w:rsidRPr="001854AD">
        <w:t>3.6 Dynamic specification and instrumentation</w:t>
      </w:r>
    </w:p>
    <w:p w14:paraId="7A2049F4" w14:textId="6E58F303" w:rsidR="001854AD" w:rsidRPr="001854AD" w:rsidRDefault="001854AD" w:rsidP="001854AD">
      <w:pPr>
        <w:jc w:val="both"/>
      </w:pPr>
      <w:r w:rsidRPr="001854AD">
        <w:t>A dynamic version includes lagged NPLR to account for serial persistence:</w:t>
      </w:r>
    </w:p>
    <w:p w14:paraId="11D45ABF" w14:textId="77777777" w:rsidR="001854AD" w:rsidRPr="001854AD" w:rsidRDefault="001854AD" w:rsidP="001854AD">
      <w:pPr>
        <w:rPr>
          <w:rStyle w:val="mbin"/>
          <w:spacing w:val="8"/>
          <w:sz w:val="25"/>
          <w:szCs w:val="25"/>
          <w:bdr w:val="none" w:sz="0" w:space="0" w:color="auto" w:frame="1"/>
        </w:rPr>
      </w:pPr>
    </w:p>
    <w:p w14:paraId="705D02D3" w14:textId="77777777" w:rsidR="001854AD" w:rsidRPr="001854AD" w:rsidRDefault="001854AD" w:rsidP="001854AD">
      <w:pPr>
        <w:ind w:right="-30"/>
        <w:jc w:val="center"/>
        <w:rPr>
          <w:rFonts w:eastAsia="Times New Roman" w:cs="Times New Roman"/>
          <w:bdr w:val="none" w:sz="0" w:space="0" w:color="auto" w:frame="1"/>
          <w:lang w:eastAsia="en-GB"/>
        </w:rPr>
      </w:pPr>
      <w:proofErr w:type="spellStart"/>
      <w:r w:rsidRPr="001854AD">
        <w:rPr>
          <w:rFonts w:eastAsia="Times New Roman" w:cs="Times New Roman"/>
          <w:i/>
          <w:iCs/>
          <w:bdr w:val="none" w:sz="0" w:space="0" w:color="auto" w:frame="1"/>
          <w:lang w:eastAsia="en-GB"/>
        </w:rPr>
        <w:t>NPLR</w:t>
      </w:r>
      <w:r w:rsidRPr="001854AD">
        <w:rPr>
          <w:rFonts w:eastAsia="Times New Roman" w:cs="Times New Roman"/>
          <w:i/>
          <w:iCs/>
          <w:sz w:val="17"/>
          <w:szCs w:val="17"/>
          <w:bdr w:val="none" w:sz="0" w:space="0" w:color="auto" w:frame="1"/>
          <w:lang w:eastAsia="en-GB"/>
        </w:rPr>
        <w:t>it</w:t>
      </w:r>
      <w:proofErr w:type="spellEnd"/>
      <w:r w:rsidRPr="001854AD">
        <w:rPr>
          <w:rFonts w:ascii="Arial" w:eastAsia="Times New Roman" w:hAnsi="Arial" w:cs="Arial"/>
          <w:sz w:val="2"/>
          <w:szCs w:val="2"/>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α</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ρ</w:t>
      </w:r>
      <w:proofErr w:type="gramStart"/>
      <w:r w:rsidRPr="001854AD">
        <w:rPr>
          <w:rFonts w:eastAsia="Times New Roman" w:cs="Times New Roman"/>
          <w:i/>
          <w:iCs/>
          <w:bdr w:val="none" w:sz="0" w:space="0" w:color="auto" w:frame="1"/>
          <w:lang w:eastAsia="en-GB"/>
        </w:rPr>
        <w:t>NPLR</w:t>
      </w:r>
      <w:r w:rsidRPr="001854AD">
        <w:rPr>
          <w:rFonts w:eastAsia="Times New Roman" w:cs="Times New Roman"/>
          <w:i/>
          <w:iCs/>
          <w:sz w:val="17"/>
          <w:szCs w:val="17"/>
          <w:bdr w:val="none" w:sz="0" w:space="0" w:color="auto" w:frame="1"/>
          <w:lang w:eastAsia="en-GB"/>
        </w:rPr>
        <w:t>i</w:t>
      </w:r>
      <w:r w:rsidRPr="001854AD">
        <w:rPr>
          <w:rFonts w:eastAsia="Times New Roman" w:cs="Times New Roman"/>
          <w:sz w:val="17"/>
          <w:szCs w:val="17"/>
          <w:bdr w:val="none" w:sz="0" w:space="0" w:color="auto" w:frame="1"/>
          <w:lang w:eastAsia="en-GB"/>
        </w:rPr>
        <w:t>,</w:t>
      </w:r>
      <w:r w:rsidRPr="001854AD">
        <w:rPr>
          <w:rFonts w:eastAsia="Times New Roman" w:cs="Times New Roman"/>
          <w:i/>
          <w:iCs/>
          <w:sz w:val="17"/>
          <w:szCs w:val="17"/>
          <w:bdr w:val="none" w:sz="0" w:space="0" w:color="auto" w:frame="1"/>
          <w:lang w:eastAsia="en-GB"/>
        </w:rPr>
        <w:t>t</w:t>
      </w:r>
      <w:proofErr w:type="gramEnd"/>
      <w:r w:rsidRPr="001854AD">
        <w:rPr>
          <w:rFonts w:eastAsia="Times New Roman" w:cs="Times New Roman"/>
          <w:sz w:val="17"/>
          <w:szCs w:val="17"/>
          <w:bdr w:val="none" w:sz="0" w:space="0" w:color="auto" w:frame="1"/>
          <w:lang w:eastAsia="en-GB"/>
        </w:rPr>
        <w:t>−1</w:t>
      </w:r>
      <w:r w:rsidRPr="001854AD">
        <w:rPr>
          <w:rFonts w:ascii="Arial" w:eastAsia="Times New Roman" w:hAnsi="Arial" w:cs="Arial"/>
          <w:sz w:val="2"/>
          <w:szCs w:val="2"/>
          <w:bdr w:val="none" w:sz="0" w:space="0" w:color="auto" w:frame="1"/>
          <w:lang w:eastAsia="en-GB"/>
        </w:rPr>
        <w:t>​</w:t>
      </w:r>
      <w:r w:rsidRPr="001854AD">
        <w:rPr>
          <w:rFonts w:eastAsia="Times New Roman" w:cs="Times New Roman"/>
          <w:bdr w:val="none" w:sz="0" w:space="0" w:color="auto" w:frame="1"/>
          <w:lang w:eastAsia="en-GB"/>
        </w:rPr>
        <w:t>+</w:t>
      </w:r>
      <w:r w:rsidRPr="001854AD">
        <w:rPr>
          <w:rFonts w:eastAsia="Times New Roman" w:cs="Times New Roman"/>
          <w:i/>
          <w:iCs/>
          <w:bdr w:val="none" w:sz="0" w:space="0" w:color="auto" w:frame="1"/>
          <w:lang w:eastAsia="en-GB"/>
        </w:rPr>
        <w:t>β</w:t>
      </w:r>
      <w:r w:rsidRPr="001854AD">
        <w:rPr>
          <w:rFonts w:eastAsia="Times New Roman" w:cs="Times New Roman"/>
          <w:sz w:val="17"/>
          <w:szCs w:val="17"/>
          <w:bdr w:val="none" w:sz="0" w:space="0" w:color="auto" w:frame="1"/>
          <w:lang w:eastAsia="en-GB"/>
        </w:rPr>
        <w:t>′</w:t>
      </w:r>
      <w:proofErr w:type="gramStart"/>
      <w:r w:rsidRPr="001854AD">
        <w:rPr>
          <w:rFonts w:eastAsia="Times New Roman" w:cs="Times New Roman"/>
          <w:i/>
          <w:iCs/>
          <w:bdr w:val="none" w:sz="0" w:space="0" w:color="auto" w:frame="1"/>
          <w:lang w:eastAsia="en-GB"/>
        </w:rPr>
        <w:t>X</w:t>
      </w:r>
      <w:r w:rsidRPr="001854AD">
        <w:rPr>
          <w:rFonts w:eastAsia="Times New Roman" w:cs="Times New Roman"/>
          <w:i/>
          <w:iCs/>
          <w:sz w:val="17"/>
          <w:szCs w:val="17"/>
          <w:bdr w:val="none" w:sz="0" w:space="0" w:color="auto" w:frame="1"/>
          <w:lang w:eastAsia="en-GB"/>
        </w:rPr>
        <w:t>i</w:t>
      </w:r>
      <w:r w:rsidRPr="001854AD">
        <w:rPr>
          <w:rFonts w:eastAsia="Times New Roman" w:cs="Times New Roman"/>
          <w:sz w:val="17"/>
          <w:szCs w:val="17"/>
          <w:bdr w:val="none" w:sz="0" w:space="0" w:color="auto" w:frame="1"/>
          <w:lang w:eastAsia="en-GB"/>
        </w:rPr>
        <w:t>,</w:t>
      </w:r>
      <w:r w:rsidRPr="001854AD">
        <w:rPr>
          <w:rFonts w:eastAsia="Times New Roman" w:cs="Times New Roman"/>
          <w:i/>
          <w:iCs/>
          <w:sz w:val="17"/>
          <w:szCs w:val="17"/>
          <w:bdr w:val="none" w:sz="0" w:space="0" w:color="auto" w:frame="1"/>
          <w:lang w:eastAsia="en-GB"/>
        </w:rPr>
        <w:t>t</w:t>
      </w:r>
      <w:proofErr w:type="gramEnd"/>
      <w:r w:rsidRPr="001854AD">
        <w:rPr>
          <w:rFonts w:eastAsia="Times New Roman" w:cs="Times New Roman"/>
          <w:sz w:val="17"/>
          <w:szCs w:val="17"/>
          <w:bdr w:val="none" w:sz="0" w:space="0" w:color="auto" w:frame="1"/>
          <w:lang w:eastAsia="en-GB"/>
        </w:rPr>
        <w:t>−1</w:t>
      </w:r>
      <w:r w:rsidRPr="001854AD">
        <w:rPr>
          <w:rFonts w:ascii="Arial" w:eastAsia="Times New Roman" w:hAnsi="Arial" w:cs="Arial"/>
          <w:sz w:val="2"/>
          <w:szCs w:val="2"/>
          <w:bdr w:val="none" w:sz="0" w:space="0" w:color="auto" w:frame="1"/>
          <w:lang w:eastAsia="en-GB"/>
        </w:rPr>
        <w:t>​</w:t>
      </w:r>
      <w:r w:rsidRPr="001854AD">
        <w:rPr>
          <w:rFonts w:eastAsia="Times New Roman" w:cs="Times New Roman"/>
          <w:bdr w:val="none" w:sz="0" w:space="0" w:color="auto" w:frame="1"/>
          <w:lang w:eastAsia="en-GB"/>
        </w:rPr>
        <w:t>+</w:t>
      </w:r>
      <w:proofErr w:type="spellStart"/>
      <w:r w:rsidRPr="001854AD">
        <w:rPr>
          <w:rFonts w:eastAsia="Times New Roman" w:cs="Times New Roman"/>
          <w:i/>
          <w:iCs/>
          <w:bdr w:val="none" w:sz="0" w:space="0" w:color="auto" w:frame="1"/>
          <w:lang w:eastAsia="en-GB"/>
        </w:rPr>
        <w:t>μ</w:t>
      </w:r>
      <w:r w:rsidRPr="001854AD">
        <w:rPr>
          <w:rFonts w:eastAsia="Times New Roman" w:cs="Times New Roman"/>
          <w:i/>
          <w:iCs/>
          <w:sz w:val="17"/>
          <w:szCs w:val="17"/>
          <w:bdr w:val="none" w:sz="0" w:space="0" w:color="auto" w:frame="1"/>
          <w:lang w:eastAsia="en-GB"/>
        </w:rPr>
        <w:t>i</w:t>
      </w:r>
      <w:proofErr w:type="spellEnd"/>
      <w:r w:rsidRPr="001854AD">
        <w:rPr>
          <w:rFonts w:ascii="Arial" w:eastAsia="Times New Roman" w:hAnsi="Arial" w:cs="Arial"/>
          <w:sz w:val="2"/>
          <w:szCs w:val="2"/>
          <w:bdr w:val="none" w:sz="0" w:space="0" w:color="auto" w:frame="1"/>
          <w:lang w:eastAsia="en-GB"/>
        </w:rPr>
        <w:t>​</w:t>
      </w:r>
      <w:r w:rsidRPr="001854AD">
        <w:rPr>
          <w:rFonts w:eastAsia="Times New Roman" w:cs="Times New Roman"/>
          <w:bdr w:val="none" w:sz="0" w:space="0" w:color="auto" w:frame="1"/>
          <w:lang w:eastAsia="en-GB"/>
        </w:rPr>
        <w:t>+</w:t>
      </w:r>
      <w:proofErr w:type="spellStart"/>
      <w:r w:rsidRPr="001854AD">
        <w:rPr>
          <w:rFonts w:eastAsia="Times New Roman" w:cs="Times New Roman"/>
          <w:i/>
          <w:iCs/>
          <w:bdr w:val="none" w:sz="0" w:space="0" w:color="auto" w:frame="1"/>
          <w:lang w:eastAsia="en-GB"/>
        </w:rPr>
        <w:t>λ</w:t>
      </w:r>
      <w:r w:rsidRPr="001854AD">
        <w:rPr>
          <w:rFonts w:eastAsia="Times New Roman" w:cs="Times New Roman"/>
          <w:i/>
          <w:iCs/>
          <w:sz w:val="17"/>
          <w:szCs w:val="17"/>
          <w:bdr w:val="none" w:sz="0" w:space="0" w:color="auto" w:frame="1"/>
          <w:lang w:eastAsia="en-GB"/>
        </w:rPr>
        <w:t>t</w:t>
      </w:r>
      <w:proofErr w:type="spellEnd"/>
      <w:r w:rsidRPr="001854AD">
        <w:rPr>
          <w:rFonts w:ascii="Arial" w:eastAsia="Times New Roman" w:hAnsi="Arial" w:cs="Arial"/>
          <w:sz w:val="2"/>
          <w:szCs w:val="2"/>
          <w:bdr w:val="none" w:sz="0" w:space="0" w:color="auto" w:frame="1"/>
          <w:lang w:eastAsia="en-GB"/>
        </w:rPr>
        <w:t>​</w:t>
      </w:r>
      <w:r w:rsidRPr="001854AD">
        <w:rPr>
          <w:rFonts w:eastAsia="Times New Roman" w:cs="Times New Roman"/>
          <w:bdr w:val="none" w:sz="0" w:space="0" w:color="auto" w:frame="1"/>
          <w:lang w:eastAsia="en-GB"/>
        </w:rPr>
        <w:t>+</w:t>
      </w:r>
      <w:proofErr w:type="spellStart"/>
      <w:r w:rsidRPr="001854AD">
        <w:rPr>
          <w:rFonts w:eastAsia="Times New Roman" w:cs="Times New Roman"/>
          <w:i/>
          <w:iCs/>
          <w:bdr w:val="none" w:sz="0" w:space="0" w:color="auto" w:frame="1"/>
          <w:lang w:eastAsia="en-GB"/>
        </w:rPr>
        <w:t>ε</w:t>
      </w:r>
      <w:r w:rsidRPr="001854AD">
        <w:rPr>
          <w:rFonts w:eastAsia="Times New Roman" w:cs="Times New Roman"/>
          <w:i/>
          <w:iCs/>
          <w:sz w:val="17"/>
          <w:szCs w:val="17"/>
          <w:bdr w:val="none" w:sz="0" w:space="0" w:color="auto" w:frame="1"/>
          <w:lang w:eastAsia="en-GB"/>
        </w:rPr>
        <w:t>it</w:t>
      </w:r>
      <w:proofErr w:type="spellEnd"/>
      <w:r w:rsidRPr="001854AD">
        <w:rPr>
          <w:rFonts w:ascii="Arial" w:eastAsia="Times New Roman" w:hAnsi="Arial" w:cs="Arial"/>
          <w:sz w:val="2"/>
          <w:szCs w:val="2"/>
          <w:bdr w:val="none" w:sz="0" w:space="0" w:color="auto" w:frame="1"/>
          <w:lang w:eastAsia="en-GB"/>
        </w:rPr>
        <w:t>​</w:t>
      </w:r>
    </w:p>
    <w:p w14:paraId="077544DE" w14:textId="77777777" w:rsidR="001854AD" w:rsidRPr="001854AD" w:rsidRDefault="001854AD" w:rsidP="001854AD"/>
    <w:p w14:paraId="1F834286" w14:textId="77777777" w:rsidR="001854AD" w:rsidRPr="001854AD" w:rsidRDefault="001854AD" w:rsidP="001854AD">
      <w:pPr>
        <w:jc w:val="both"/>
      </w:pPr>
      <w:r w:rsidRPr="001854AD">
        <w:t xml:space="preserve">Arellano-Bond difference GMM employs lagged levels of governance tenets as instruments. The Hansen over-identification test and </w:t>
      </w:r>
      <w:proofErr w:type="gramStart"/>
      <w:r w:rsidRPr="001854AD">
        <w:t>AR(</w:t>
      </w:r>
      <w:proofErr w:type="gramEnd"/>
      <w:r w:rsidRPr="001854AD">
        <w:t>2) test validate instrument exogeneity and absence of second-order serial correlation.</w:t>
      </w:r>
    </w:p>
    <w:p w14:paraId="0FB66931" w14:textId="77777777" w:rsidR="001854AD" w:rsidRPr="001854AD" w:rsidRDefault="001854AD" w:rsidP="001854AD"/>
    <w:p w14:paraId="099BDF75" w14:textId="700F22C9" w:rsidR="001854AD" w:rsidRPr="001854AD" w:rsidRDefault="001854AD" w:rsidP="001854AD">
      <w:r w:rsidRPr="001854AD">
        <w:t>3.7 Regime-shift analysis</w:t>
      </w:r>
    </w:p>
    <w:p w14:paraId="43462AE6" w14:textId="77777777" w:rsidR="001854AD" w:rsidRPr="001854AD" w:rsidRDefault="001854AD" w:rsidP="001854AD"/>
    <w:p w14:paraId="3BD837A3" w14:textId="63EE2D21" w:rsidR="001854AD" w:rsidRPr="001854AD" w:rsidRDefault="001854AD" w:rsidP="001854AD">
      <w:pPr>
        <w:jc w:val="both"/>
      </w:pPr>
      <w:r w:rsidRPr="001854AD">
        <w:t>The panel is split into voluntary-code era (2009–2014) and mandatory-code era (2015–2024) to test whether governance elasticity intensified after regulatory hardening. A Chow test confirms structural break validity.</w:t>
      </w:r>
    </w:p>
    <w:p w14:paraId="738B7C78" w14:textId="77777777" w:rsidR="001854AD" w:rsidRPr="001854AD" w:rsidRDefault="001854AD" w:rsidP="001854AD"/>
    <w:p w14:paraId="70DB4187" w14:textId="75E88036" w:rsidR="001854AD" w:rsidRPr="001854AD" w:rsidRDefault="001854AD" w:rsidP="001854AD">
      <w:r w:rsidRPr="001854AD">
        <w:t>3.8 Robustness diagnostics</w:t>
      </w:r>
    </w:p>
    <w:p w14:paraId="266DC5AA" w14:textId="77777777" w:rsidR="001854AD" w:rsidRPr="001854AD" w:rsidRDefault="001854AD" w:rsidP="001854AD">
      <w:pPr>
        <w:jc w:val="both"/>
      </w:pPr>
      <w:r w:rsidRPr="001854AD">
        <w:t>(</w:t>
      </w:r>
      <w:proofErr w:type="spellStart"/>
      <w:r w:rsidRPr="001854AD">
        <w:t>i</w:t>
      </w:r>
      <w:proofErr w:type="spellEnd"/>
      <w:r w:rsidRPr="001854AD">
        <w:t>) Alternative NPL definitions (90-day past-due vs IFRS-9 Stage-3) verify that governance ranking is not an artefact of accounting classification.</w:t>
      </w:r>
    </w:p>
    <w:p w14:paraId="5C44DAB4" w14:textId="77777777" w:rsidR="001854AD" w:rsidRPr="001854AD" w:rsidRDefault="001854AD" w:rsidP="001854AD">
      <w:pPr>
        <w:jc w:val="both"/>
      </w:pPr>
      <w:r w:rsidRPr="001854AD">
        <w:t xml:space="preserve">(ii) </w:t>
      </w:r>
      <w:proofErr w:type="spellStart"/>
      <w:r w:rsidRPr="001854AD">
        <w:t>Winsorisation</w:t>
      </w:r>
      <w:proofErr w:type="spellEnd"/>
      <w:r w:rsidRPr="001854AD">
        <w:t xml:space="preserve"> at the 1st and 99th percentiles guards against outlier influence.</w:t>
      </w:r>
    </w:p>
    <w:p w14:paraId="4469D228" w14:textId="58872453" w:rsidR="001854AD" w:rsidRPr="001854AD" w:rsidRDefault="001854AD" w:rsidP="001854AD">
      <w:pPr>
        <w:jc w:val="both"/>
      </w:pPr>
      <w:r w:rsidRPr="001854AD">
        <w:t>(iii) A placebo test randomly permutes governance indices across banks; coefficients collapse to zero, reinforcing causal interpretation.</w:t>
      </w:r>
    </w:p>
    <w:p w14:paraId="58DEDFD2" w14:textId="77777777" w:rsidR="001854AD" w:rsidRPr="001854AD" w:rsidRDefault="001854AD" w:rsidP="001854AD"/>
    <w:p w14:paraId="3FBA0861" w14:textId="77777777" w:rsidR="001854AD" w:rsidRPr="001854AD" w:rsidRDefault="001854AD" w:rsidP="001854AD">
      <w:pPr>
        <w:numPr>
          <w:ilvl w:val="0"/>
          <w:numId w:val="5"/>
        </w:numPr>
        <w:textAlignment w:val="baseline"/>
        <w:rPr>
          <w:rFonts w:eastAsia="Times New Roman" w:cs="Segoe UI"/>
          <w:lang w:eastAsia="en-GB"/>
        </w:rPr>
      </w:pPr>
      <w:r w:rsidRPr="001854AD">
        <w:rPr>
          <w:rFonts w:eastAsia="Times New Roman" w:cs="Segoe UI"/>
          <w:lang w:eastAsia="en-GB"/>
        </w:rPr>
        <w:t>Results</w:t>
      </w:r>
    </w:p>
    <w:p w14:paraId="47AD4374" w14:textId="77777777" w:rsidR="001854AD" w:rsidRPr="001854AD" w:rsidRDefault="001854AD" w:rsidP="001854AD">
      <w:pPr>
        <w:textAlignment w:val="baseline"/>
        <w:rPr>
          <w:rFonts w:eastAsia="Times New Roman" w:cs="Segoe UI"/>
          <w:lang w:eastAsia="en-GB"/>
        </w:rPr>
      </w:pPr>
    </w:p>
    <w:p w14:paraId="204F6A62" w14:textId="77777777" w:rsidR="001854AD" w:rsidRPr="001854AD" w:rsidRDefault="001854AD" w:rsidP="001854AD">
      <w:pPr>
        <w:textAlignment w:val="baseline"/>
        <w:rPr>
          <w:rFonts w:eastAsia="Times New Roman" w:cs="Segoe UI"/>
          <w:lang w:eastAsia="en-GB"/>
        </w:rPr>
      </w:pPr>
      <w:r w:rsidRPr="001854AD">
        <w:rPr>
          <w:rFonts w:eastAsia="Times New Roman" w:cs="Segoe UI"/>
          <w:lang w:eastAsia="en-GB"/>
        </w:rPr>
        <w:t>4.1 Descriptive statistics</w:t>
      </w:r>
      <w:r w:rsidRPr="001854AD">
        <w:rPr>
          <w:rFonts w:eastAsia="Times New Roman" w:cs="Segoe UI"/>
          <w:lang w:eastAsia="en-GB"/>
        </w:rPr>
        <w:br/>
      </w:r>
    </w:p>
    <w:p w14:paraId="5EE05677" w14:textId="5D01921E" w:rsidR="001854AD" w:rsidRPr="001854AD" w:rsidRDefault="001854AD" w:rsidP="001854AD">
      <w:pPr>
        <w:textAlignment w:val="baseline"/>
        <w:rPr>
          <w:rFonts w:eastAsia="Times New Roman" w:cs="Segoe UI"/>
          <w:lang w:eastAsia="en-GB"/>
        </w:rPr>
      </w:pPr>
      <w:r w:rsidRPr="001854AD">
        <w:rPr>
          <w:rFonts w:eastAsia="Times New Roman" w:cs="Segoe UI"/>
          <w:lang w:eastAsia="en-GB"/>
        </w:rPr>
        <w:t>Mean NPLR equals 5.8 % with standard deviation 4.2 %. Mean TCAR is 18.7 %, well above the 10 % regulatory minimum. CGDI improved from 42 % in 2009 to 76 % in 2024, while OPEFF averaged 58 %. Pairwise correlations among governance tenets remain below 0.45, mitigating multicollinearity concerns.</w:t>
      </w:r>
    </w:p>
    <w:p w14:paraId="1C1FCD1E" w14:textId="77777777" w:rsidR="001854AD" w:rsidRPr="001854AD" w:rsidRDefault="001854AD" w:rsidP="001854AD">
      <w:pPr>
        <w:textAlignment w:val="baseline"/>
        <w:rPr>
          <w:rFonts w:eastAsia="Times New Roman" w:cs="Segoe UI"/>
          <w:lang w:eastAsia="en-GB"/>
        </w:rPr>
      </w:pPr>
    </w:p>
    <w:p w14:paraId="63CF1F1E" w14:textId="77777777"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t>4.2 Full-sample baseline estimates</w:t>
      </w:r>
    </w:p>
    <w:p w14:paraId="5F61FC47" w14:textId="6D5BA412"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t>Column (1) of Table 2 presents fixed-effects estimates. The internal-control tenet enters negatively and significantly at the 1 % level (coefficient = –0.531; t = –4.96). The transparency tenet and compliance tenet are statistically insignificant, while the risk-management tenet carries the expected negative sign but remains negligible (coefficient = –0.125; t = –0.69). The Hausman test (χ² = 1.85; p = 0.87) favours fixed-effects over random-effects.</w:t>
      </w:r>
    </w:p>
    <w:p w14:paraId="0413C5A4" w14:textId="40DF3FEB" w:rsidR="001854AD" w:rsidRPr="001854AD" w:rsidRDefault="001854AD" w:rsidP="001854AD">
      <w:pPr>
        <w:textAlignment w:val="baseline"/>
        <w:rPr>
          <w:rFonts w:eastAsia="Times New Roman" w:cs="Segoe UI"/>
          <w:lang w:eastAsia="en-GB"/>
        </w:rPr>
      </w:pPr>
    </w:p>
    <w:p w14:paraId="00EFF2BA" w14:textId="77777777" w:rsidR="001854AD" w:rsidRPr="001854AD" w:rsidRDefault="001854AD" w:rsidP="001854AD">
      <w:pPr>
        <w:textAlignment w:val="baseline"/>
        <w:rPr>
          <w:rFonts w:cs="Segoe UI"/>
          <w:shd w:val="clear" w:color="auto" w:fill="FFFFFF"/>
        </w:rPr>
      </w:pPr>
      <w:r w:rsidRPr="001854AD">
        <w:rPr>
          <w:rFonts w:cs="Segoe UI"/>
          <w:shd w:val="clear" w:color="auto" w:fill="FFFFFF"/>
        </w:rPr>
        <w:t>Table 2</w:t>
      </w:r>
    </w:p>
    <w:p w14:paraId="341174F4" w14:textId="103F843E" w:rsidR="001854AD" w:rsidRPr="001854AD" w:rsidRDefault="001854AD" w:rsidP="001854AD">
      <w:pPr>
        <w:textAlignment w:val="baseline"/>
        <w:rPr>
          <w:rFonts w:cs="Segoe UI"/>
          <w:shd w:val="clear" w:color="auto" w:fill="FFFFFF"/>
        </w:rPr>
      </w:pPr>
      <w:r w:rsidRPr="001854AD">
        <w:rPr>
          <w:rFonts w:cs="Segoe UI"/>
          <w:shd w:val="clear" w:color="auto" w:fill="FFFFFF"/>
        </w:rPr>
        <w:t>Baseline and Regime-Split Fixed-Effects Estimates</w:t>
      </w:r>
    </w:p>
    <w:p w14:paraId="7CDA33BE" w14:textId="77777777" w:rsidR="001854AD" w:rsidRPr="001854AD" w:rsidRDefault="001854AD" w:rsidP="001854AD">
      <w:pPr>
        <w:textAlignment w:val="baseline"/>
        <w:rPr>
          <w:rFonts w:eastAsia="Times New Roman" w:cs="Segoe UI"/>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3"/>
        <w:gridCol w:w="2331"/>
        <w:gridCol w:w="2325"/>
        <w:gridCol w:w="2091"/>
      </w:tblGrid>
      <w:tr w:rsidR="001854AD" w:rsidRPr="001854AD" w14:paraId="270ACE6B" w14:textId="77777777" w:rsidTr="001854AD">
        <w:tc>
          <w:tcPr>
            <w:tcW w:w="2263" w:type="dxa"/>
            <w:tcMar>
              <w:top w:w="150" w:type="dxa"/>
              <w:left w:w="150" w:type="dxa"/>
              <w:bottom w:w="150" w:type="dxa"/>
              <w:right w:w="150" w:type="dxa"/>
            </w:tcMar>
            <w:vAlign w:val="bottom"/>
            <w:hideMark/>
          </w:tcPr>
          <w:p w14:paraId="753F704E" w14:textId="4A4DA5D0" w:rsidR="001854AD" w:rsidRPr="001854AD" w:rsidRDefault="001854AD" w:rsidP="001854AD">
            <w:pPr>
              <w:rPr>
                <w:rFonts w:eastAsia="Times New Roman" w:cs="Segoe UI"/>
                <w:spacing w:val="8"/>
                <w:sz w:val="21"/>
                <w:szCs w:val="21"/>
                <w:lang w:eastAsia="en-GB"/>
              </w:rPr>
            </w:pPr>
          </w:p>
        </w:tc>
        <w:tc>
          <w:tcPr>
            <w:tcW w:w="2331" w:type="dxa"/>
            <w:tcMar>
              <w:top w:w="150" w:type="dxa"/>
              <w:left w:w="150" w:type="dxa"/>
              <w:bottom w:w="150" w:type="dxa"/>
              <w:right w:w="150" w:type="dxa"/>
            </w:tcMar>
            <w:vAlign w:val="bottom"/>
            <w:hideMark/>
          </w:tcPr>
          <w:p w14:paraId="1DC4511B" w14:textId="0E0DA77B"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b/>
                <w:bCs/>
                <w:spacing w:val="8"/>
                <w:sz w:val="21"/>
                <w:szCs w:val="21"/>
                <w:lang w:eastAsia="en-GB"/>
              </w:rPr>
              <w:t>Full sample 2009–2024</w:t>
            </w:r>
          </w:p>
        </w:tc>
        <w:tc>
          <w:tcPr>
            <w:tcW w:w="0" w:type="auto"/>
            <w:tcMar>
              <w:top w:w="150" w:type="dxa"/>
              <w:left w:w="150" w:type="dxa"/>
              <w:bottom w:w="150" w:type="dxa"/>
              <w:right w:w="150" w:type="dxa"/>
            </w:tcMar>
            <w:vAlign w:val="bottom"/>
            <w:hideMark/>
          </w:tcPr>
          <w:p w14:paraId="0F683A86" w14:textId="550928B6"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b/>
                <w:bCs/>
                <w:spacing w:val="8"/>
                <w:sz w:val="21"/>
                <w:szCs w:val="21"/>
                <w:lang w:eastAsia="en-GB"/>
              </w:rPr>
              <w:t>2009–2014</w:t>
            </w:r>
          </w:p>
        </w:tc>
        <w:tc>
          <w:tcPr>
            <w:tcW w:w="0" w:type="auto"/>
            <w:tcMar>
              <w:top w:w="150" w:type="dxa"/>
              <w:left w:w="150" w:type="dxa"/>
              <w:bottom w:w="150" w:type="dxa"/>
              <w:right w:w="150" w:type="dxa"/>
            </w:tcMar>
            <w:vAlign w:val="bottom"/>
            <w:hideMark/>
          </w:tcPr>
          <w:p w14:paraId="2C99E59F" w14:textId="5B6BAAF4"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b/>
                <w:bCs/>
                <w:spacing w:val="8"/>
                <w:sz w:val="21"/>
                <w:szCs w:val="21"/>
                <w:lang w:eastAsia="en-GB"/>
              </w:rPr>
              <w:t>2015–2024</w:t>
            </w:r>
          </w:p>
        </w:tc>
      </w:tr>
      <w:tr w:rsidR="001854AD" w:rsidRPr="001854AD" w14:paraId="5C489107" w14:textId="77777777" w:rsidTr="001854AD">
        <w:tc>
          <w:tcPr>
            <w:tcW w:w="2263" w:type="dxa"/>
            <w:tcMar>
              <w:top w:w="150" w:type="dxa"/>
              <w:left w:w="150" w:type="dxa"/>
              <w:bottom w:w="150" w:type="dxa"/>
              <w:right w:w="150" w:type="dxa"/>
            </w:tcMar>
            <w:vAlign w:val="bottom"/>
          </w:tcPr>
          <w:p w14:paraId="693DF89F" w14:textId="1FDF04B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TCAR (t-1)</w:t>
            </w:r>
          </w:p>
        </w:tc>
        <w:tc>
          <w:tcPr>
            <w:tcW w:w="2331" w:type="dxa"/>
            <w:tcMar>
              <w:top w:w="150" w:type="dxa"/>
              <w:left w:w="150" w:type="dxa"/>
              <w:bottom w:w="150" w:type="dxa"/>
              <w:right w:w="150" w:type="dxa"/>
            </w:tcMar>
            <w:vAlign w:val="bottom"/>
          </w:tcPr>
          <w:p w14:paraId="4B548559" w14:textId="3BF1CEA2"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–0.125</w:t>
            </w:r>
          </w:p>
          <w:p w14:paraId="0977E6A6" w14:textId="3CDED314"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(0.182)</w:t>
            </w:r>
          </w:p>
        </w:tc>
        <w:tc>
          <w:tcPr>
            <w:tcW w:w="0" w:type="auto"/>
            <w:tcMar>
              <w:top w:w="150" w:type="dxa"/>
              <w:left w:w="150" w:type="dxa"/>
              <w:bottom w:w="150" w:type="dxa"/>
              <w:right w:w="150" w:type="dxa"/>
            </w:tcMar>
            <w:vAlign w:val="bottom"/>
          </w:tcPr>
          <w:p w14:paraId="1EC4E1AF" w14:textId="4690FBEF"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–0.207</w:t>
            </w:r>
          </w:p>
          <w:p w14:paraId="57D81D95" w14:textId="1CFFDCC3"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(0.168)</w:t>
            </w:r>
          </w:p>
        </w:tc>
        <w:tc>
          <w:tcPr>
            <w:tcW w:w="0" w:type="auto"/>
            <w:tcMar>
              <w:top w:w="150" w:type="dxa"/>
              <w:left w:w="150" w:type="dxa"/>
              <w:bottom w:w="150" w:type="dxa"/>
              <w:right w:w="150" w:type="dxa"/>
            </w:tcMar>
            <w:vAlign w:val="bottom"/>
          </w:tcPr>
          <w:p w14:paraId="38C8E685" w14:textId="431DECEC"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–0.040</w:t>
            </w:r>
          </w:p>
          <w:p w14:paraId="18F3CE93" w14:textId="04C94782"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(0.173)</w:t>
            </w:r>
          </w:p>
        </w:tc>
      </w:tr>
      <w:tr w:rsidR="001854AD" w:rsidRPr="001854AD" w14:paraId="4E48ADDC" w14:textId="77777777" w:rsidTr="001854AD">
        <w:tc>
          <w:tcPr>
            <w:tcW w:w="2263" w:type="dxa"/>
            <w:tcMar>
              <w:top w:w="150" w:type="dxa"/>
              <w:left w:w="150" w:type="dxa"/>
              <w:bottom w:w="150" w:type="dxa"/>
              <w:right w:w="150" w:type="dxa"/>
            </w:tcMar>
            <w:vAlign w:val="bottom"/>
            <w:hideMark/>
          </w:tcPr>
          <w:p w14:paraId="649DA78D"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CGDI</w:t>
            </w:r>
          </w:p>
        </w:tc>
        <w:tc>
          <w:tcPr>
            <w:tcW w:w="2331" w:type="dxa"/>
            <w:tcMar>
              <w:top w:w="150" w:type="dxa"/>
              <w:left w:w="150" w:type="dxa"/>
              <w:bottom w:w="150" w:type="dxa"/>
              <w:right w:w="150" w:type="dxa"/>
            </w:tcMar>
            <w:vAlign w:val="bottom"/>
            <w:hideMark/>
          </w:tcPr>
          <w:p w14:paraId="2027056C" w14:textId="6E16DF31"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–0.055</w:t>
            </w:r>
          </w:p>
          <w:p w14:paraId="0F31AD68" w14:textId="048C946E"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(0.055)</w:t>
            </w:r>
          </w:p>
        </w:tc>
        <w:tc>
          <w:tcPr>
            <w:tcW w:w="0" w:type="auto"/>
            <w:tcMar>
              <w:top w:w="150" w:type="dxa"/>
              <w:left w:w="150" w:type="dxa"/>
              <w:bottom w:w="150" w:type="dxa"/>
              <w:right w:w="150" w:type="dxa"/>
            </w:tcMar>
            <w:vAlign w:val="bottom"/>
            <w:hideMark/>
          </w:tcPr>
          <w:p w14:paraId="23E6E5CE" w14:textId="7E7D433F"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0.088</w:t>
            </w:r>
          </w:p>
          <w:p w14:paraId="7FD638CF" w14:textId="0212BCF0"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(0.061)</w:t>
            </w:r>
          </w:p>
        </w:tc>
        <w:tc>
          <w:tcPr>
            <w:tcW w:w="0" w:type="auto"/>
            <w:tcMar>
              <w:top w:w="150" w:type="dxa"/>
              <w:left w:w="150" w:type="dxa"/>
              <w:bottom w:w="150" w:type="dxa"/>
              <w:right w:w="150" w:type="dxa"/>
            </w:tcMar>
            <w:vAlign w:val="bottom"/>
            <w:hideMark/>
          </w:tcPr>
          <w:p w14:paraId="56DC9B31" w14:textId="2689D009"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–0.361***</w:t>
            </w:r>
          </w:p>
          <w:p w14:paraId="584E48B8" w14:textId="0E40612C"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(0.067)</w:t>
            </w:r>
          </w:p>
        </w:tc>
      </w:tr>
      <w:tr w:rsidR="001854AD" w:rsidRPr="001854AD" w14:paraId="27E7EF95" w14:textId="77777777" w:rsidTr="001854AD">
        <w:tc>
          <w:tcPr>
            <w:tcW w:w="2263" w:type="dxa"/>
            <w:tcMar>
              <w:top w:w="150" w:type="dxa"/>
              <w:left w:w="150" w:type="dxa"/>
              <w:bottom w:w="150" w:type="dxa"/>
              <w:right w:w="150" w:type="dxa"/>
            </w:tcMar>
            <w:vAlign w:val="bottom"/>
            <w:hideMark/>
          </w:tcPr>
          <w:p w14:paraId="5542A3CB"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OPEFF</w:t>
            </w:r>
          </w:p>
        </w:tc>
        <w:tc>
          <w:tcPr>
            <w:tcW w:w="2331" w:type="dxa"/>
            <w:tcMar>
              <w:top w:w="150" w:type="dxa"/>
              <w:left w:w="150" w:type="dxa"/>
              <w:bottom w:w="150" w:type="dxa"/>
              <w:right w:w="150" w:type="dxa"/>
            </w:tcMar>
            <w:vAlign w:val="bottom"/>
            <w:hideMark/>
          </w:tcPr>
          <w:p w14:paraId="08B6A593" w14:textId="0FFE9E66"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–0.531***</w:t>
            </w:r>
          </w:p>
          <w:p w14:paraId="78927889" w14:textId="1407C253"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(0.107)</w:t>
            </w:r>
          </w:p>
        </w:tc>
        <w:tc>
          <w:tcPr>
            <w:tcW w:w="0" w:type="auto"/>
            <w:tcMar>
              <w:top w:w="150" w:type="dxa"/>
              <w:left w:w="150" w:type="dxa"/>
              <w:bottom w:w="150" w:type="dxa"/>
              <w:right w:w="150" w:type="dxa"/>
            </w:tcMar>
            <w:vAlign w:val="bottom"/>
            <w:hideMark/>
          </w:tcPr>
          <w:p w14:paraId="793ABFF3" w14:textId="360F5A3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3.356***</w:t>
            </w:r>
          </w:p>
          <w:p w14:paraId="26271F26" w14:textId="6C0AE68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(1.224)</w:t>
            </w:r>
          </w:p>
        </w:tc>
        <w:tc>
          <w:tcPr>
            <w:tcW w:w="0" w:type="auto"/>
            <w:tcMar>
              <w:top w:w="150" w:type="dxa"/>
              <w:left w:w="150" w:type="dxa"/>
              <w:bottom w:w="150" w:type="dxa"/>
              <w:right w:w="150" w:type="dxa"/>
            </w:tcMar>
            <w:vAlign w:val="bottom"/>
            <w:hideMark/>
          </w:tcPr>
          <w:p w14:paraId="28883831" w14:textId="0604BB70"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–0.254***</w:t>
            </w:r>
          </w:p>
          <w:p w14:paraId="45E2C68D" w14:textId="683A8835"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(0.066)</w:t>
            </w:r>
          </w:p>
        </w:tc>
      </w:tr>
      <w:tr w:rsidR="001854AD" w:rsidRPr="001854AD" w14:paraId="31D735AE" w14:textId="77777777" w:rsidTr="001854AD">
        <w:tc>
          <w:tcPr>
            <w:tcW w:w="2263" w:type="dxa"/>
            <w:tcMar>
              <w:top w:w="150" w:type="dxa"/>
              <w:left w:w="150" w:type="dxa"/>
              <w:bottom w:w="150" w:type="dxa"/>
              <w:right w:w="150" w:type="dxa"/>
            </w:tcMar>
            <w:vAlign w:val="bottom"/>
            <w:hideMark/>
          </w:tcPr>
          <w:p w14:paraId="07DEF13D"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COMID</w:t>
            </w:r>
          </w:p>
        </w:tc>
        <w:tc>
          <w:tcPr>
            <w:tcW w:w="2331" w:type="dxa"/>
            <w:tcMar>
              <w:top w:w="150" w:type="dxa"/>
              <w:left w:w="150" w:type="dxa"/>
              <w:bottom w:w="150" w:type="dxa"/>
              <w:right w:w="150" w:type="dxa"/>
            </w:tcMar>
            <w:vAlign w:val="bottom"/>
            <w:hideMark/>
          </w:tcPr>
          <w:p w14:paraId="68DD05B1" w14:textId="7E9767CA"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–0.333</w:t>
            </w:r>
          </w:p>
          <w:p w14:paraId="0ED956ED" w14:textId="61FAAD73"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(0.209)</w:t>
            </w:r>
          </w:p>
        </w:tc>
        <w:tc>
          <w:tcPr>
            <w:tcW w:w="0" w:type="auto"/>
            <w:tcMar>
              <w:top w:w="150" w:type="dxa"/>
              <w:left w:w="150" w:type="dxa"/>
              <w:bottom w:w="150" w:type="dxa"/>
              <w:right w:w="150" w:type="dxa"/>
            </w:tcMar>
            <w:vAlign w:val="bottom"/>
            <w:hideMark/>
          </w:tcPr>
          <w:p w14:paraId="6278A7D7" w14:textId="1175A1C1"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–3.750***</w:t>
            </w:r>
          </w:p>
          <w:p w14:paraId="42E88A8E" w14:textId="5DE2D7AB"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(1.479)</w:t>
            </w:r>
          </w:p>
        </w:tc>
        <w:tc>
          <w:tcPr>
            <w:tcW w:w="0" w:type="auto"/>
            <w:tcMar>
              <w:top w:w="150" w:type="dxa"/>
              <w:left w:w="150" w:type="dxa"/>
              <w:bottom w:w="150" w:type="dxa"/>
              <w:right w:w="150" w:type="dxa"/>
            </w:tcMar>
            <w:vAlign w:val="bottom"/>
            <w:hideMark/>
          </w:tcPr>
          <w:p w14:paraId="18198349" w14:textId="68CB15D8"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–0.016</w:t>
            </w:r>
          </w:p>
          <w:p w14:paraId="6E1835DC" w14:textId="0CE0689A"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(0.141)</w:t>
            </w:r>
          </w:p>
        </w:tc>
      </w:tr>
      <w:tr w:rsidR="001854AD" w:rsidRPr="001854AD" w14:paraId="0790294E" w14:textId="77777777" w:rsidTr="001854AD">
        <w:tc>
          <w:tcPr>
            <w:tcW w:w="2263" w:type="dxa"/>
            <w:tcMar>
              <w:top w:w="150" w:type="dxa"/>
              <w:left w:w="150" w:type="dxa"/>
              <w:bottom w:w="150" w:type="dxa"/>
              <w:right w:w="150" w:type="dxa"/>
            </w:tcMar>
            <w:vAlign w:val="bottom"/>
            <w:hideMark/>
          </w:tcPr>
          <w:p w14:paraId="28331853" w14:textId="77777777" w:rsidR="001854AD" w:rsidRPr="001854AD" w:rsidRDefault="001854AD" w:rsidP="001854AD">
            <w:pPr>
              <w:rPr>
                <w:rFonts w:eastAsia="Times New Roman" w:cs="Segoe UI"/>
                <w:spacing w:val="8"/>
                <w:sz w:val="21"/>
                <w:szCs w:val="21"/>
                <w:lang w:eastAsia="en-GB"/>
              </w:rPr>
            </w:pPr>
            <w:proofErr w:type="spellStart"/>
            <w:r w:rsidRPr="001854AD">
              <w:rPr>
                <w:rFonts w:eastAsia="Times New Roman" w:cs="Segoe UI"/>
                <w:spacing w:val="8"/>
                <w:sz w:val="21"/>
                <w:szCs w:val="21"/>
                <w:lang w:eastAsia="en-GB"/>
              </w:rPr>
              <w:t>LnGDPPC</w:t>
            </w:r>
            <w:proofErr w:type="spellEnd"/>
          </w:p>
        </w:tc>
        <w:tc>
          <w:tcPr>
            <w:tcW w:w="2331" w:type="dxa"/>
            <w:tcMar>
              <w:top w:w="150" w:type="dxa"/>
              <w:left w:w="150" w:type="dxa"/>
              <w:bottom w:w="150" w:type="dxa"/>
              <w:right w:w="150" w:type="dxa"/>
            </w:tcMar>
            <w:vAlign w:val="bottom"/>
            <w:hideMark/>
          </w:tcPr>
          <w:p w14:paraId="120FF342" w14:textId="5211EA2A"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–8.692***</w:t>
            </w:r>
          </w:p>
          <w:p w14:paraId="4B38DFE6" w14:textId="02304D3E"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(1.995)</w:t>
            </w:r>
          </w:p>
        </w:tc>
        <w:tc>
          <w:tcPr>
            <w:tcW w:w="0" w:type="auto"/>
            <w:tcMar>
              <w:top w:w="150" w:type="dxa"/>
              <w:left w:w="150" w:type="dxa"/>
              <w:bottom w:w="150" w:type="dxa"/>
              <w:right w:w="150" w:type="dxa"/>
            </w:tcMar>
            <w:vAlign w:val="bottom"/>
            <w:hideMark/>
          </w:tcPr>
          <w:p w14:paraId="2B555C79" w14:textId="1451404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–51.411***</w:t>
            </w:r>
          </w:p>
          <w:p w14:paraId="5FF259C9" w14:textId="49CBD273"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(10.654)</w:t>
            </w:r>
          </w:p>
        </w:tc>
        <w:tc>
          <w:tcPr>
            <w:tcW w:w="0" w:type="auto"/>
            <w:tcMar>
              <w:top w:w="150" w:type="dxa"/>
              <w:left w:w="150" w:type="dxa"/>
              <w:bottom w:w="150" w:type="dxa"/>
              <w:right w:w="150" w:type="dxa"/>
            </w:tcMar>
            <w:vAlign w:val="bottom"/>
            <w:hideMark/>
          </w:tcPr>
          <w:p w14:paraId="75CDE261" w14:textId="0C1B904E"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–0.995</w:t>
            </w:r>
          </w:p>
          <w:p w14:paraId="6F6B6F0D" w14:textId="25CE48DC"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(1.098)</w:t>
            </w:r>
          </w:p>
        </w:tc>
      </w:tr>
      <w:tr w:rsidR="001854AD" w:rsidRPr="001854AD" w14:paraId="0365BE87" w14:textId="77777777" w:rsidTr="001854AD">
        <w:tc>
          <w:tcPr>
            <w:tcW w:w="2263" w:type="dxa"/>
            <w:tcMar>
              <w:top w:w="150" w:type="dxa"/>
              <w:left w:w="150" w:type="dxa"/>
              <w:bottom w:w="150" w:type="dxa"/>
              <w:right w:w="150" w:type="dxa"/>
            </w:tcMar>
            <w:vAlign w:val="bottom"/>
            <w:hideMark/>
          </w:tcPr>
          <w:p w14:paraId="408D583F"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Constant</w:t>
            </w:r>
          </w:p>
        </w:tc>
        <w:tc>
          <w:tcPr>
            <w:tcW w:w="2331" w:type="dxa"/>
            <w:tcMar>
              <w:top w:w="150" w:type="dxa"/>
              <w:left w:w="150" w:type="dxa"/>
              <w:bottom w:w="150" w:type="dxa"/>
              <w:right w:w="150" w:type="dxa"/>
            </w:tcMar>
            <w:vAlign w:val="bottom"/>
            <w:hideMark/>
          </w:tcPr>
          <w:p w14:paraId="0CF7E459" w14:textId="187BAFC5"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219.429***</w:t>
            </w:r>
          </w:p>
          <w:p w14:paraId="097F4A99" w14:textId="08F3D325"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(26.374)</w:t>
            </w:r>
          </w:p>
        </w:tc>
        <w:tc>
          <w:tcPr>
            <w:tcW w:w="0" w:type="auto"/>
            <w:tcMar>
              <w:top w:w="150" w:type="dxa"/>
              <w:left w:w="150" w:type="dxa"/>
              <w:bottom w:w="150" w:type="dxa"/>
              <w:right w:w="150" w:type="dxa"/>
            </w:tcMar>
            <w:vAlign w:val="bottom"/>
            <w:hideMark/>
          </w:tcPr>
          <w:p w14:paraId="735D7DA9"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841.599*** (118.384)</w:t>
            </w:r>
          </w:p>
        </w:tc>
        <w:tc>
          <w:tcPr>
            <w:tcW w:w="0" w:type="auto"/>
            <w:tcMar>
              <w:top w:w="150" w:type="dxa"/>
              <w:left w:w="150" w:type="dxa"/>
              <w:bottom w:w="150" w:type="dxa"/>
              <w:right w:w="150" w:type="dxa"/>
            </w:tcMar>
            <w:vAlign w:val="bottom"/>
            <w:hideMark/>
          </w:tcPr>
          <w:p w14:paraId="64AAB16E"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77.997*** (16.043)</w:t>
            </w:r>
          </w:p>
        </w:tc>
      </w:tr>
      <w:tr w:rsidR="001854AD" w:rsidRPr="001854AD" w14:paraId="6C6B5610" w14:textId="77777777" w:rsidTr="001854AD">
        <w:tc>
          <w:tcPr>
            <w:tcW w:w="2263" w:type="dxa"/>
            <w:tcMar>
              <w:top w:w="150" w:type="dxa"/>
              <w:left w:w="150" w:type="dxa"/>
              <w:bottom w:w="150" w:type="dxa"/>
              <w:right w:w="150" w:type="dxa"/>
            </w:tcMar>
            <w:vAlign w:val="bottom"/>
            <w:hideMark/>
          </w:tcPr>
          <w:p w14:paraId="714AF44B"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Bank fixed effects</w:t>
            </w:r>
          </w:p>
        </w:tc>
        <w:tc>
          <w:tcPr>
            <w:tcW w:w="2331" w:type="dxa"/>
            <w:tcMar>
              <w:top w:w="150" w:type="dxa"/>
              <w:left w:w="150" w:type="dxa"/>
              <w:bottom w:w="150" w:type="dxa"/>
              <w:right w:w="150" w:type="dxa"/>
            </w:tcMar>
            <w:vAlign w:val="bottom"/>
            <w:hideMark/>
          </w:tcPr>
          <w:p w14:paraId="638AC460"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Yes</w:t>
            </w:r>
          </w:p>
        </w:tc>
        <w:tc>
          <w:tcPr>
            <w:tcW w:w="0" w:type="auto"/>
            <w:tcMar>
              <w:top w:w="150" w:type="dxa"/>
              <w:left w:w="150" w:type="dxa"/>
              <w:bottom w:w="150" w:type="dxa"/>
              <w:right w:w="150" w:type="dxa"/>
            </w:tcMar>
            <w:vAlign w:val="bottom"/>
            <w:hideMark/>
          </w:tcPr>
          <w:p w14:paraId="5D9C7CB3"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Yes</w:t>
            </w:r>
          </w:p>
        </w:tc>
        <w:tc>
          <w:tcPr>
            <w:tcW w:w="0" w:type="auto"/>
            <w:tcMar>
              <w:top w:w="150" w:type="dxa"/>
              <w:left w:w="150" w:type="dxa"/>
              <w:bottom w:w="150" w:type="dxa"/>
              <w:right w:w="150" w:type="dxa"/>
            </w:tcMar>
            <w:vAlign w:val="bottom"/>
            <w:hideMark/>
          </w:tcPr>
          <w:p w14:paraId="5768D976"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Yes</w:t>
            </w:r>
          </w:p>
        </w:tc>
      </w:tr>
      <w:tr w:rsidR="001854AD" w:rsidRPr="001854AD" w14:paraId="51206301" w14:textId="77777777" w:rsidTr="001854AD">
        <w:tc>
          <w:tcPr>
            <w:tcW w:w="2263" w:type="dxa"/>
            <w:tcMar>
              <w:top w:w="150" w:type="dxa"/>
              <w:left w:w="150" w:type="dxa"/>
              <w:bottom w:w="150" w:type="dxa"/>
              <w:right w:w="150" w:type="dxa"/>
            </w:tcMar>
            <w:vAlign w:val="bottom"/>
            <w:hideMark/>
          </w:tcPr>
          <w:p w14:paraId="6CD1879D"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Year dummies</w:t>
            </w:r>
          </w:p>
        </w:tc>
        <w:tc>
          <w:tcPr>
            <w:tcW w:w="2331" w:type="dxa"/>
            <w:tcMar>
              <w:top w:w="150" w:type="dxa"/>
              <w:left w:w="150" w:type="dxa"/>
              <w:bottom w:w="150" w:type="dxa"/>
              <w:right w:w="150" w:type="dxa"/>
            </w:tcMar>
            <w:vAlign w:val="bottom"/>
            <w:hideMark/>
          </w:tcPr>
          <w:p w14:paraId="3D4C9024"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Yes</w:t>
            </w:r>
          </w:p>
        </w:tc>
        <w:tc>
          <w:tcPr>
            <w:tcW w:w="0" w:type="auto"/>
            <w:tcMar>
              <w:top w:w="150" w:type="dxa"/>
              <w:left w:w="150" w:type="dxa"/>
              <w:bottom w:w="150" w:type="dxa"/>
              <w:right w:w="150" w:type="dxa"/>
            </w:tcMar>
            <w:vAlign w:val="bottom"/>
            <w:hideMark/>
          </w:tcPr>
          <w:p w14:paraId="3D428387"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Yes</w:t>
            </w:r>
          </w:p>
        </w:tc>
        <w:tc>
          <w:tcPr>
            <w:tcW w:w="0" w:type="auto"/>
            <w:tcMar>
              <w:top w:w="150" w:type="dxa"/>
              <w:left w:w="150" w:type="dxa"/>
              <w:bottom w:w="150" w:type="dxa"/>
              <w:right w:w="150" w:type="dxa"/>
            </w:tcMar>
            <w:vAlign w:val="bottom"/>
            <w:hideMark/>
          </w:tcPr>
          <w:p w14:paraId="3BBCB2B3"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Yes</w:t>
            </w:r>
          </w:p>
        </w:tc>
      </w:tr>
      <w:tr w:rsidR="001854AD" w:rsidRPr="001854AD" w14:paraId="71B1BF5E" w14:textId="77777777" w:rsidTr="001854AD">
        <w:tc>
          <w:tcPr>
            <w:tcW w:w="2263" w:type="dxa"/>
            <w:tcMar>
              <w:top w:w="150" w:type="dxa"/>
              <w:left w:w="150" w:type="dxa"/>
              <w:bottom w:w="150" w:type="dxa"/>
              <w:right w:w="150" w:type="dxa"/>
            </w:tcMar>
            <w:vAlign w:val="bottom"/>
            <w:hideMark/>
          </w:tcPr>
          <w:p w14:paraId="6282FF5E"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Observations</w:t>
            </w:r>
          </w:p>
        </w:tc>
        <w:tc>
          <w:tcPr>
            <w:tcW w:w="2331" w:type="dxa"/>
            <w:tcMar>
              <w:top w:w="150" w:type="dxa"/>
              <w:left w:w="150" w:type="dxa"/>
              <w:bottom w:w="150" w:type="dxa"/>
              <w:right w:w="150" w:type="dxa"/>
            </w:tcMar>
            <w:vAlign w:val="bottom"/>
            <w:hideMark/>
          </w:tcPr>
          <w:p w14:paraId="568BA977"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160</w:t>
            </w:r>
          </w:p>
        </w:tc>
        <w:tc>
          <w:tcPr>
            <w:tcW w:w="0" w:type="auto"/>
            <w:tcMar>
              <w:top w:w="150" w:type="dxa"/>
              <w:left w:w="150" w:type="dxa"/>
              <w:bottom w:w="150" w:type="dxa"/>
              <w:right w:w="150" w:type="dxa"/>
            </w:tcMar>
            <w:vAlign w:val="bottom"/>
            <w:hideMark/>
          </w:tcPr>
          <w:p w14:paraId="46F11EC9"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60</w:t>
            </w:r>
          </w:p>
        </w:tc>
        <w:tc>
          <w:tcPr>
            <w:tcW w:w="0" w:type="auto"/>
            <w:tcMar>
              <w:top w:w="150" w:type="dxa"/>
              <w:left w:w="150" w:type="dxa"/>
              <w:bottom w:w="150" w:type="dxa"/>
              <w:right w:w="150" w:type="dxa"/>
            </w:tcMar>
            <w:vAlign w:val="bottom"/>
            <w:hideMark/>
          </w:tcPr>
          <w:p w14:paraId="2B36D5B8"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100</w:t>
            </w:r>
          </w:p>
        </w:tc>
      </w:tr>
      <w:tr w:rsidR="001854AD" w:rsidRPr="001854AD" w14:paraId="6CF64916" w14:textId="77777777" w:rsidTr="001854AD">
        <w:tc>
          <w:tcPr>
            <w:tcW w:w="2263" w:type="dxa"/>
            <w:tcMar>
              <w:top w:w="150" w:type="dxa"/>
              <w:left w:w="150" w:type="dxa"/>
              <w:bottom w:w="150" w:type="dxa"/>
              <w:right w:w="150" w:type="dxa"/>
            </w:tcMar>
            <w:vAlign w:val="bottom"/>
            <w:hideMark/>
          </w:tcPr>
          <w:p w14:paraId="4B077CF2"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R² (within)</w:t>
            </w:r>
          </w:p>
        </w:tc>
        <w:tc>
          <w:tcPr>
            <w:tcW w:w="2331" w:type="dxa"/>
            <w:tcMar>
              <w:top w:w="150" w:type="dxa"/>
              <w:left w:w="150" w:type="dxa"/>
              <w:bottom w:w="150" w:type="dxa"/>
              <w:right w:w="150" w:type="dxa"/>
            </w:tcMar>
            <w:vAlign w:val="bottom"/>
            <w:hideMark/>
          </w:tcPr>
          <w:p w14:paraId="79513D3B"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0.586</w:t>
            </w:r>
          </w:p>
        </w:tc>
        <w:tc>
          <w:tcPr>
            <w:tcW w:w="0" w:type="auto"/>
            <w:tcMar>
              <w:top w:w="150" w:type="dxa"/>
              <w:left w:w="150" w:type="dxa"/>
              <w:bottom w:w="150" w:type="dxa"/>
              <w:right w:w="150" w:type="dxa"/>
            </w:tcMar>
            <w:vAlign w:val="bottom"/>
            <w:hideMark/>
          </w:tcPr>
          <w:p w14:paraId="3CA70129"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0.921</w:t>
            </w:r>
          </w:p>
        </w:tc>
        <w:tc>
          <w:tcPr>
            <w:tcW w:w="0" w:type="auto"/>
            <w:tcMar>
              <w:top w:w="150" w:type="dxa"/>
              <w:left w:w="150" w:type="dxa"/>
              <w:bottom w:w="150" w:type="dxa"/>
              <w:right w:w="150" w:type="dxa"/>
            </w:tcMar>
            <w:vAlign w:val="bottom"/>
            <w:hideMark/>
          </w:tcPr>
          <w:p w14:paraId="6DE45DFB" w14:textId="7777777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0.466</w:t>
            </w:r>
          </w:p>
        </w:tc>
      </w:tr>
      <w:tr w:rsidR="001854AD" w:rsidRPr="001854AD" w14:paraId="5A0F9284" w14:textId="77777777" w:rsidTr="001854AD">
        <w:tc>
          <w:tcPr>
            <w:tcW w:w="2263" w:type="dxa"/>
            <w:tcMar>
              <w:top w:w="150" w:type="dxa"/>
              <w:left w:w="150" w:type="dxa"/>
              <w:bottom w:w="150" w:type="dxa"/>
              <w:right w:w="150" w:type="dxa"/>
            </w:tcMar>
            <w:vAlign w:val="bottom"/>
            <w:hideMark/>
          </w:tcPr>
          <w:p w14:paraId="3F5EC834" w14:textId="77777777" w:rsidR="001854AD" w:rsidRPr="001854AD" w:rsidRDefault="001854AD" w:rsidP="001854AD">
            <w:pPr>
              <w:rPr>
                <w:rFonts w:eastAsia="Times New Roman" w:cs="Segoe UI"/>
                <w:spacing w:val="8"/>
                <w:sz w:val="21"/>
                <w:szCs w:val="21"/>
                <w:lang w:eastAsia="en-GB"/>
              </w:rPr>
            </w:pPr>
            <w:r w:rsidRPr="001854AD">
              <w:rPr>
                <w:rFonts w:eastAsia="Times New Roman" w:cs="Segoe UI"/>
                <w:spacing w:val="8"/>
                <w:sz w:val="21"/>
                <w:szCs w:val="21"/>
                <w:lang w:eastAsia="en-GB"/>
              </w:rPr>
              <w:t>Hausman χ²[p]</w:t>
            </w:r>
          </w:p>
        </w:tc>
        <w:tc>
          <w:tcPr>
            <w:tcW w:w="2331" w:type="dxa"/>
            <w:tcMar>
              <w:top w:w="150" w:type="dxa"/>
              <w:left w:w="150" w:type="dxa"/>
              <w:bottom w:w="150" w:type="dxa"/>
              <w:right w:w="150" w:type="dxa"/>
            </w:tcMar>
            <w:vAlign w:val="bottom"/>
            <w:hideMark/>
          </w:tcPr>
          <w:p w14:paraId="279E9018" w14:textId="5C12CB3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1.85</w:t>
            </w:r>
          </w:p>
          <w:p w14:paraId="32334C6E" w14:textId="7672A7DC"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[0.87]</w:t>
            </w:r>
          </w:p>
        </w:tc>
        <w:tc>
          <w:tcPr>
            <w:tcW w:w="0" w:type="auto"/>
            <w:tcMar>
              <w:top w:w="150" w:type="dxa"/>
              <w:left w:w="150" w:type="dxa"/>
              <w:bottom w:w="150" w:type="dxa"/>
              <w:right w:w="150" w:type="dxa"/>
            </w:tcMar>
            <w:vAlign w:val="bottom"/>
            <w:hideMark/>
          </w:tcPr>
          <w:p w14:paraId="7AD710A3" w14:textId="580AF51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16.71</w:t>
            </w:r>
          </w:p>
          <w:p w14:paraId="7507F41F" w14:textId="090AB539"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[0.01]</w:t>
            </w:r>
          </w:p>
        </w:tc>
        <w:tc>
          <w:tcPr>
            <w:tcW w:w="0" w:type="auto"/>
            <w:tcMar>
              <w:top w:w="150" w:type="dxa"/>
              <w:left w:w="150" w:type="dxa"/>
              <w:bottom w:w="150" w:type="dxa"/>
              <w:right w:w="150" w:type="dxa"/>
            </w:tcMar>
            <w:vAlign w:val="bottom"/>
            <w:hideMark/>
          </w:tcPr>
          <w:p w14:paraId="302FFC60" w14:textId="376953B7"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1.64</w:t>
            </w:r>
          </w:p>
          <w:p w14:paraId="4D2D3323" w14:textId="27A6419D" w:rsidR="001854AD" w:rsidRPr="001854AD" w:rsidRDefault="001854AD" w:rsidP="001854AD">
            <w:pPr>
              <w:jc w:val="center"/>
              <w:rPr>
                <w:rFonts w:eastAsia="Times New Roman" w:cs="Segoe UI"/>
                <w:spacing w:val="8"/>
                <w:sz w:val="21"/>
                <w:szCs w:val="21"/>
                <w:lang w:eastAsia="en-GB"/>
              </w:rPr>
            </w:pPr>
            <w:r w:rsidRPr="001854AD">
              <w:rPr>
                <w:rFonts w:eastAsia="Times New Roman" w:cs="Segoe UI"/>
                <w:spacing w:val="8"/>
                <w:sz w:val="21"/>
                <w:szCs w:val="21"/>
                <w:lang w:eastAsia="en-GB"/>
              </w:rPr>
              <w:t>[0.90]</w:t>
            </w:r>
          </w:p>
        </w:tc>
      </w:tr>
    </w:tbl>
    <w:p w14:paraId="7D3EA1E8" w14:textId="77777777" w:rsidR="001854AD" w:rsidRPr="001854AD" w:rsidRDefault="001854AD" w:rsidP="001854AD">
      <w:pPr>
        <w:textAlignment w:val="baseline"/>
        <w:rPr>
          <w:rFonts w:eastAsia="Times New Roman" w:cs="Segoe UI"/>
          <w:lang w:eastAsia="en-GB"/>
        </w:rPr>
      </w:pPr>
    </w:p>
    <w:p w14:paraId="42565DEB" w14:textId="77777777" w:rsidR="001854AD" w:rsidRPr="001854AD" w:rsidRDefault="001854AD" w:rsidP="001854AD">
      <w:pPr>
        <w:textAlignment w:val="baseline"/>
        <w:rPr>
          <w:rFonts w:eastAsia="Times New Roman" w:cs="Segoe UI"/>
          <w:lang w:eastAsia="en-GB"/>
        </w:rPr>
      </w:pPr>
    </w:p>
    <w:p w14:paraId="084B4420" w14:textId="77777777" w:rsidR="001854AD" w:rsidRPr="001854AD" w:rsidRDefault="001854AD" w:rsidP="001854AD">
      <w:pPr>
        <w:textAlignment w:val="baseline"/>
        <w:rPr>
          <w:rFonts w:eastAsia="Times New Roman" w:cs="Segoe UI"/>
          <w:lang w:eastAsia="en-GB"/>
        </w:rPr>
      </w:pPr>
    </w:p>
    <w:p w14:paraId="17FB8F53" w14:textId="77777777"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t>4.3 Regime-shift estimates</w:t>
      </w:r>
    </w:p>
    <w:p w14:paraId="4D1822F5" w14:textId="28B62265" w:rsidR="001854AD" w:rsidRPr="001854AD" w:rsidRDefault="001854AD" w:rsidP="001854AD">
      <w:pPr>
        <w:jc w:val="both"/>
        <w:textAlignment w:val="baseline"/>
        <w:rPr>
          <w:rFonts w:eastAsia="Times New Roman" w:cs="Segoe UI"/>
          <w:lang w:eastAsia="en-GB"/>
        </w:rPr>
      </w:pPr>
      <w:r w:rsidRPr="001854AD">
        <w:rPr>
          <w:rFonts w:eastAsia="Times New Roman" w:cs="Segoe UI"/>
          <w:lang w:eastAsia="en-GB"/>
        </w:rPr>
        <w:t>Columns (2)</w:t>
      </w:r>
      <w:proofErr w:type="gramStart"/>
      <w:r w:rsidRPr="001854AD">
        <w:rPr>
          <w:rFonts w:eastAsia="Times New Roman" w:cs="Segoe UI"/>
          <w:lang w:eastAsia="en-GB"/>
        </w:rPr>
        <w:t>–(</w:t>
      </w:r>
      <w:proofErr w:type="gramEnd"/>
      <w:r w:rsidRPr="001854AD">
        <w:rPr>
          <w:rFonts w:eastAsia="Times New Roman" w:cs="Segoe UI"/>
          <w:lang w:eastAsia="en-GB"/>
        </w:rPr>
        <w:t>3) reveal governance-tenet regime dependence. During 2009–2014, none of the tenets achieves significance; post-2015, the internal-control tenet and transparency tenet are negative and significant at the 1 % level, while the risk-management tenet and compliance tenet remain insignificant. The Chow test confirms structural break (F = 12.4; p &lt; 0.01).</w:t>
      </w:r>
    </w:p>
    <w:p w14:paraId="45477300" w14:textId="77777777" w:rsidR="001854AD" w:rsidRPr="001854AD" w:rsidRDefault="001854AD" w:rsidP="001854AD"/>
    <w:p w14:paraId="7EB9293D" w14:textId="77777777" w:rsidR="001854AD" w:rsidRPr="001854AD" w:rsidRDefault="001854AD" w:rsidP="001854AD">
      <w:r w:rsidRPr="001854AD">
        <w:t>4.4 Dynamic GMM robustness</w:t>
      </w:r>
    </w:p>
    <w:p w14:paraId="20701222" w14:textId="77777777" w:rsidR="001854AD" w:rsidRPr="001854AD" w:rsidRDefault="001854AD" w:rsidP="001854AD">
      <w:pPr>
        <w:jc w:val="both"/>
      </w:pPr>
      <w:r w:rsidRPr="001854AD">
        <w:t xml:space="preserve">Table 3 presents Arellano-Bond estimates. The lagged dependent variable is positive and significant, evidencing persistence. The internal-control tenet and transparency tenet </w:t>
      </w:r>
      <w:r w:rsidRPr="001854AD">
        <w:lastRenderedPageBreak/>
        <w:t xml:space="preserve">coefficients remain qualitatively unchanged. The Hansen test (p = 0.27) and </w:t>
      </w:r>
      <w:proofErr w:type="gramStart"/>
      <w:r w:rsidRPr="001854AD">
        <w:t>AR(</w:t>
      </w:r>
      <w:proofErr w:type="gramEnd"/>
      <w:r w:rsidRPr="001854AD">
        <w:t>2) test (p = 0.41) validate instrument exogeneity and absence of second-order serial correlation.</w:t>
      </w:r>
    </w:p>
    <w:p w14:paraId="215CE64C" w14:textId="77777777" w:rsidR="001854AD" w:rsidRPr="001854AD" w:rsidRDefault="001854AD" w:rsidP="001854AD"/>
    <w:p w14:paraId="595B584D" w14:textId="1F343E46" w:rsidR="001854AD" w:rsidRPr="001854AD" w:rsidRDefault="001854AD" w:rsidP="001854AD">
      <w:r w:rsidRPr="001854AD">
        <w:t>Table 3: Arellano-Bond Dynamic GMM Estimates (Full Sample)</w:t>
      </w:r>
    </w:p>
    <w:p w14:paraId="52810B33" w14:textId="77777777" w:rsidR="001854AD" w:rsidRPr="001854AD" w:rsidRDefault="001854AD" w:rsidP="001854A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52"/>
        <w:gridCol w:w="1506"/>
        <w:gridCol w:w="1079"/>
        <w:gridCol w:w="1515"/>
      </w:tblGrid>
      <w:tr w:rsidR="001854AD" w:rsidRPr="001854AD" w14:paraId="1C8660DF" w14:textId="77777777" w:rsidTr="001854AD">
        <w:trPr>
          <w:jc w:val="center"/>
        </w:trPr>
        <w:tc>
          <w:tcPr>
            <w:tcW w:w="0" w:type="auto"/>
            <w:tcMar>
              <w:top w:w="150" w:type="dxa"/>
              <w:left w:w="150" w:type="dxa"/>
              <w:bottom w:w="150" w:type="dxa"/>
              <w:right w:w="150" w:type="dxa"/>
            </w:tcMar>
            <w:vAlign w:val="bottom"/>
            <w:hideMark/>
          </w:tcPr>
          <w:p w14:paraId="2BE58E3A" w14:textId="4DD80630" w:rsidR="001854AD" w:rsidRPr="001854AD" w:rsidRDefault="001854AD" w:rsidP="001854AD">
            <w:pPr>
              <w:rPr>
                <w:rFonts w:eastAsia="Times New Roman" w:cs="Segoe UI"/>
                <w:spacing w:val="8"/>
                <w:sz w:val="22"/>
                <w:szCs w:val="22"/>
                <w:lang w:eastAsia="en-GB"/>
              </w:rPr>
            </w:pPr>
          </w:p>
        </w:tc>
        <w:tc>
          <w:tcPr>
            <w:tcW w:w="0" w:type="auto"/>
            <w:tcMar>
              <w:top w:w="150" w:type="dxa"/>
              <w:left w:w="150" w:type="dxa"/>
              <w:bottom w:w="150" w:type="dxa"/>
              <w:right w:w="150" w:type="dxa"/>
            </w:tcMar>
            <w:vAlign w:val="bottom"/>
            <w:hideMark/>
          </w:tcPr>
          <w:p w14:paraId="208E2422" w14:textId="4A8306BF" w:rsidR="001854AD" w:rsidRPr="001854AD" w:rsidRDefault="001854AD" w:rsidP="001854AD">
            <w:pPr>
              <w:rPr>
                <w:rFonts w:eastAsia="Times New Roman" w:cs="Segoe UI"/>
                <w:spacing w:val="8"/>
                <w:sz w:val="22"/>
                <w:szCs w:val="22"/>
                <w:lang w:eastAsia="en-GB"/>
              </w:rPr>
            </w:pPr>
            <w:r w:rsidRPr="001854AD">
              <w:rPr>
                <w:rFonts w:eastAsia="Times New Roman" w:cs="Segoe UI"/>
                <w:b/>
                <w:bCs/>
                <w:spacing w:val="8"/>
                <w:sz w:val="22"/>
                <w:szCs w:val="22"/>
                <w:lang w:eastAsia="en-GB"/>
              </w:rPr>
              <w:t>Coefficient</w:t>
            </w:r>
          </w:p>
        </w:tc>
        <w:tc>
          <w:tcPr>
            <w:tcW w:w="0" w:type="auto"/>
            <w:tcMar>
              <w:top w:w="150" w:type="dxa"/>
              <w:left w:w="150" w:type="dxa"/>
              <w:bottom w:w="150" w:type="dxa"/>
              <w:right w:w="150" w:type="dxa"/>
            </w:tcMar>
            <w:vAlign w:val="bottom"/>
            <w:hideMark/>
          </w:tcPr>
          <w:p w14:paraId="080CF6C2" w14:textId="515A004A" w:rsidR="001854AD" w:rsidRPr="001854AD" w:rsidRDefault="001854AD" w:rsidP="001854AD">
            <w:pPr>
              <w:rPr>
                <w:rFonts w:eastAsia="Times New Roman" w:cs="Segoe UI"/>
                <w:spacing w:val="8"/>
                <w:sz w:val="22"/>
                <w:szCs w:val="22"/>
                <w:lang w:eastAsia="en-GB"/>
              </w:rPr>
            </w:pPr>
            <w:r w:rsidRPr="001854AD">
              <w:rPr>
                <w:rFonts w:eastAsia="Times New Roman" w:cs="Segoe UI"/>
                <w:b/>
                <w:bCs/>
                <w:spacing w:val="8"/>
                <w:sz w:val="22"/>
                <w:szCs w:val="22"/>
                <w:lang w:eastAsia="en-GB"/>
              </w:rPr>
              <w:t>z-value</w:t>
            </w:r>
          </w:p>
        </w:tc>
        <w:tc>
          <w:tcPr>
            <w:tcW w:w="0" w:type="auto"/>
            <w:tcMar>
              <w:top w:w="150" w:type="dxa"/>
              <w:left w:w="150" w:type="dxa"/>
              <w:bottom w:w="150" w:type="dxa"/>
              <w:right w:w="150" w:type="dxa"/>
            </w:tcMar>
            <w:vAlign w:val="bottom"/>
            <w:hideMark/>
          </w:tcPr>
          <w:p w14:paraId="7463321C" w14:textId="11C55C38" w:rsidR="001854AD" w:rsidRPr="001854AD" w:rsidRDefault="001854AD" w:rsidP="001854AD">
            <w:pPr>
              <w:rPr>
                <w:rFonts w:eastAsia="Times New Roman" w:cs="Segoe UI"/>
                <w:spacing w:val="8"/>
                <w:sz w:val="22"/>
                <w:szCs w:val="22"/>
                <w:lang w:eastAsia="en-GB"/>
              </w:rPr>
            </w:pPr>
            <w:r w:rsidRPr="001854AD">
              <w:rPr>
                <w:rFonts w:eastAsia="Times New Roman" w:cs="Segoe UI"/>
                <w:b/>
                <w:bCs/>
                <w:spacing w:val="8"/>
                <w:sz w:val="22"/>
                <w:szCs w:val="22"/>
                <w:lang w:eastAsia="en-GB"/>
              </w:rPr>
              <w:t xml:space="preserve">Robust </w:t>
            </w:r>
            <w:proofErr w:type="spellStart"/>
            <w:r w:rsidRPr="001854AD">
              <w:rPr>
                <w:rFonts w:eastAsia="Times New Roman" w:cs="Segoe UI"/>
                <w:b/>
                <w:bCs/>
                <w:spacing w:val="8"/>
                <w:sz w:val="22"/>
                <w:szCs w:val="22"/>
                <w:lang w:eastAsia="en-GB"/>
              </w:rPr>
              <w:t>s.e.</w:t>
            </w:r>
            <w:proofErr w:type="spellEnd"/>
          </w:p>
        </w:tc>
      </w:tr>
      <w:tr w:rsidR="001854AD" w:rsidRPr="001854AD" w14:paraId="6790B6BA" w14:textId="77777777" w:rsidTr="001854AD">
        <w:trPr>
          <w:jc w:val="center"/>
        </w:trPr>
        <w:tc>
          <w:tcPr>
            <w:tcW w:w="0" w:type="auto"/>
            <w:tcMar>
              <w:top w:w="150" w:type="dxa"/>
              <w:left w:w="150" w:type="dxa"/>
              <w:bottom w:w="150" w:type="dxa"/>
              <w:right w:w="150" w:type="dxa"/>
            </w:tcMar>
            <w:vAlign w:val="bottom"/>
          </w:tcPr>
          <w:p w14:paraId="04D32236" w14:textId="73722CD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L.NPLR</w:t>
            </w:r>
          </w:p>
        </w:tc>
        <w:tc>
          <w:tcPr>
            <w:tcW w:w="0" w:type="auto"/>
            <w:tcMar>
              <w:top w:w="150" w:type="dxa"/>
              <w:left w:w="150" w:type="dxa"/>
              <w:bottom w:w="150" w:type="dxa"/>
              <w:right w:w="150" w:type="dxa"/>
            </w:tcMar>
            <w:vAlign w:val="bottom"/>
          </w:tcPr>
          <w:p w14:paraId="32D43188" w14:textId="5F29C6C5"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0.312***</w:t>
            </w:r>
          </w:p>
        </w:tc>
        <w:tc>
          <w:tcPr>
            <w:tcW w:w="0" w:type="auto"/>
            <w:tcMar>
              <w:top w:w="150" w:type="dxa"/>
              <w:left w:w="150" w:type="dxa"/>
              <w:bottom w:w="150" w:type="dxa"/>
              <w:right w:w="150" w:type="dxa"/>
            </w:tcMar>
            <w:vAlign w:val="bottom"/>
          </w:tcPr>
          <w:p w14:paraId="117D05ED" w14:textId="2C7B8ACC"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4.21</w:t>
            </w:r>
          </w:p>
        </w:tc>
        <w:tc>
          <w:tcPr>
            <w:tcW w:w="0" w:type="auto"/>
            <w:tcMar>
              <w:top w:w="150" w:type="dxa"/>
              <w:left w:w="150" w:type="dxa"/>
              <w:bottom w:w="150" w:type="dxa"/>
              <w:right w:w="150" w:type="dxa"/>
            </w:tcMar>
            <w:vAlign w:val="bottom"/>
          </w:tcPr>
          <w:p w14:paraId="04590E92" w14:textId="1247AC89"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0.074</w:t>
            </w:r>
          </w:p>
        </w:tc>
      </w:tr>
      <w:tr w:rsidR="001854AD" w:rsidRPr="001854AD" w14:paraId="196E7FA3" w14:textId="77777777" w:rsidTr="001854AD">
        <w:trPr>
          <w:jc w:val="center"/>
        </w:trPr>
        <w:tc>
          <w:tcPr>
            <w:tcW w:w="0" w:type="auto"/>
            <w:tcMar>
              <w:top w:w="150" w:type="dxa"/>
              <w:left w:w="150" w:type="dxa"/>
              <w:bottom w:w="150" w:type="dxa"/>
              <w:right w:w="150" w:type="dxa"/>
            </w:tcMar>
            <w:vAlign w:val="bottom"/>
            <w:hideMark/>
          </w:tcPr>
          <w:p w14:paraId="6A3F18DC"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TCAR (t-1)</w:t>
            </w:r>
          </w:p>
        </w:tc>
        <w:tc>
          <w:tcPr>
            <w:tcW w:w="0" w:type="auto"/>
            <w:tcMar>
              <w:top w:w="150" w:type="dxa"/>
              <w:left w:w="150" w:type="dxa"/>
              <w:bottom w:w="150" w:type="dxa"/>
              <w:right w:w="150" w:type="dxa"/>
            </w:tcMar>
            <w:vAlign w:val="bottom"/>
            <w:hideMark/>
          </w:tcPr>
          <w:p w14:paraId="11A9A590"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–0.098</w:t>
            </w:r>
          </w:p>
        </w:tc>
        <w:tc>
          <w:tcPr>
            <w:tcW w:w="0" w:type="auto"/>
            <w:tcMar>
              <w:top w:w="150" w:type="dxa"/>
              <w:left w:w="150" w:type="dxa"/>
              <w:bottom w:w="150" w:type="dxa"/>
              <w:right w:w="150" w:type="dxa"/>
            </w:tcMar>
            <w:vAlign w:val="bottom"/>
            <w:hideMark/>
          </w:tcPr>
          <w:p w14:paraId="34413F88"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–0.59</w:t>
            </w:r>
          </w:p>
        </w:tc>
        <w:tc>
          <w:tcPr>
            <w:tcW w:w="0" w:type="auto"/>
            <w:tcMar>
              <w:top w:w="150" w:type="dxa"/>
              <w:left w:w="150" w:type="dxa"/>
              <w:bottom w:w="150" w:type="dxa"/>
              <w:right w:w="150" w:type="dxa"/>
            </w:tcMar>
            <w:vAlign w:val="bottom"/>
            <w:hideMark/>
          </w:tcPr>
          <w:p w14:paraId="462F236A"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0.166</w:t>
            </w:r>
          </w:p>
        </w:tc>
      </w:tr>
      <w:tr w:rsidR="001854AD" w:rsidRPr="001854AD" w14:paraId="6652F721" w14:textId="77777777" w:rsidTr="001854AD">
        <w:trPr>
          <w:jc w:val="center"/>
        </w:trPr>
        <w:tc>
          <w:tcPr>
            <w:tcW w:w="0" w:type="auto"/>
            <w:tcMar>
              <w:top w:w="150" w:type="dxa"/>
              <w:left w:w="150" w:type="dxa"/>
              <w:bottom w:w="150" w:type="dxa"/>
              <w:right w:w="150" w:type="dxa"/>
            </w:tcMar>
            <w:vAlign w:val="bottom"/>
            <w:hideMark/>
          </w:tcPr>
          <w:p w14:paraId="3F2359CB"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CGDI</w:t>
            </w:r>
          </w:p>
        </w:tc>
        <w:tc>
          <w:tcPr>
            <w:tcW w:w="0" w:type="auto"/>
            <w:tcMar>
              <w:top w:w="150" w:type="dxa"/>
              <w:left w:w="150" w:type="dxa"/>
              <w:bottom w:w="150" w:type="dxa"/>
              <w:right w:w="150" w:type="dxa"/>
            </w:tcMar>
            <w:vAlign w:val="bottom"/>
            <w:hideMark/>
          </w:tcPr>
          <w:p w14:paraId="4A38A8D2"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–0.289***</w:t>
            </w:r>
          </w:p>
        </w:tc>
        <w:tc>
          <w:tcPr>
            <w:tcW w:w="0" w:type="auto"/>
            <w:tcMar>
              <w:top w:w="150" w:type="dxa"/>
              <w:left w:w="150" w:type="dxa"/>
              <w:bottom w:w="150" w:type="dxa"/>
              <w:right w:w="150" w:type="dxa"/>
            </w:tcMar>
            <w:vAlign w:val="bottom"/>
            <w:hideMark/>
          </w:tcPr>
          <w:p w14:paraId="7AB16597"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–3.45</w:t>
            </w:r>
          </w:p>
        </w:tc>
        <w:tc>
          <w:tcPr>
            <w:tcW w:w="0" w:type="auto"/>
            <w:tcMar>
              <w:top w:w="150" w:type="dxa"/>
              <w:left w:w="150" w:type="dxa"/>
              <w:bottom w:w="150" w:type="dxa"/>
              <w:right w:w="150" w:type="dxa"/>
            </w:tcMar>
            <w:vAlign w:val="bottom"/>
            <w:hideMark/>
          </w:tcPr>
          <w:p w14:paraId="029341E1"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0.084</w:t>
            </w:r>
          </w:p>
        </w:tc>
      </w:tr>
      <w:tr w:rsidR="001854AD" w:rsidRPr="001854AD" w14:paraId="18186B60" w14:textId="77777777" w:rsidTr="001854AD">
        <w:trPr>
          <w:jc w:val="center"/>
        </w:trPr>
        <w:tc>
          <w:tcPr>
            <w:tcW w:w="0" w:type="auto"/>
            <w:tcMar>
              <w:top w:w="150" w:type="dxa"/>
              <w:left w:w="150" w:type="dxa"/>
              <w:bottom w:w="150" w:type="dxa"/>
              <w:right w:w="150" w:type="dxa"/>
            </w:tcMar>
            <w:vAlign w:val="bottom"/>
            <w:hideMark/>
          </w:tcPr>
          <w:p w14:paraId="17DF9525"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OPEFF</w:t>
            </w:r>
          </w:p>
        </w:tc>
        <w:tc>
          <w:tcPr>
            <w:tcW w:w="0" w:type="auto"/>
            <w:tcMar>
              <w:top w:w="150" w:type="dxa"/>
              <w:left w:w="150" w:type="dxa"/>
              <w:bottom w:w="150" w:type="dxa"/>
              <w:right w:w="150" w:type="dxa"/>
            </w:tcMar>
            <w:vAlign w:val="bottom"/>
            <w:hideMark/>
          </w:tcPr>
          <w:p w14:paraId="776962FC"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–0.476***</w:t>
            </w:r>
          </w:p>
        </w:tc>
        <w:tc>
          <w:tcPr>
            <w:tcW w:w="0" w:type="auto"/>
            <w:tcMar>
              <w:top w:w="150" w:type="dxa"/>
              <w:left w:w="150" w:type="dxa"/>
              <w:bottom w:w="150" w:type="dxa"/>
              <w:right w:w="150" w:type="dxa"/>
            </w:tcMar>
            <w:vAlign w:val="bottom"/>
            <w:hideMark/>
          </w:tcPr>
          <w:p w14:paraId="210766B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–4.02</w:t>
            </w:r>
          </w:p>
        </w:tc>
        <w:tc>
          <w:tcPr>
            <w:tcW w:w="0" w:type="auto"/>
            <w:tcMar>
              <w:top w:w="150" w:type="dxa"/>
              <w:left w:w="150" w:type="dxa"/>
              <w:bottom w:w="150" w:type="dxa"/>
              <w:right w:w="150" w:type="dxa"/>
            </w:tcMar>
            <w:vAlign w:val="bottom"/>
            <w:hideMark/>
          </w:tcPr>
          <w:p w14:paraId="33FD50FB"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0.118</w:t>
            </w:r>
          </w:p>
        </w:tc>
      </w:tr>
      <w:tr w:rsidR="001854AD" w:rsidRPr="001854AD" w14:paraId="1FE6ED16" w14:textId="77777777" w:rsidTr="001854AD">
        <w:trPr>
          <w:jc w:val="center"/>
        </w:trPr>
        <w:tc>
          <w:tcPr>
            <w:tcW w:w="0" w:type="auto"/>
            <w:tcMar>
              <w:top w:w="150" w:type="dxa"/>
              <w:left w:w="150" w:type="dxa"/>
              <w:bottom w:w="150" w:type="dxa"/>
              <w:right w:w="150" w:type="dxa"/>
            </w:tcMar>
            <w:vAlign w:val="bottom"/>
            <w:hideMark/>
          </w:tcPr>
          <w:p w14:paraId="7BDC1292"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COMID</w:t>
            </w:r>
          </w:p>
        </w:tc>
        <w:tc>
          <w:tcPr>
            <w:tcW w:w="0" w:type="auto"/>
            <w:tcMar>
              <w:top w:w="150" w:type="dxa"/>
              <w:left w:w="150" w:type="dxa"/>
              <w:bottom w:w="150" w:type="dxa"/>
              <w:right w:w="150" w:type="dxa"/>
            </w:tcMar>
            <w:vAlign w:val="bottom"/>
            <w:hideMark/>
          </w:tcPr>
          <w:p w14:paraId="44C15CE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–0.045</w:t>
            </w:r>
          </w:p>
        </w:tc>
        <w:tc>
          <w:tcPr>
            <w:tcW w:w="0" w:type="auto"/>
            <w:tcMar>
              <w:top w:w="150" w:type="dxa"/>
              <w:left w:w="150" w:type="dxa"/>
              <w:bottom w:w="150" w:type="dxa"/>
              <w:right w:w="150" w:type="dxa"/>
            </w:tcMar>
            <w:vAlign w:val="bottom"/>
            <w:hideMark/>
          </w:tcPr>
          <w:p w14:paraId="4916F3E5"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–0.27</w:t>
            </w:r>
          </w:p>
        </w:tc>
        <w:tc>
          <w:tcPr>
            <w:tcW w:w="0" w:type="auto"/>
            <w:tcMar>
              <w:top w:w="150" w:type="dxa"/>
              <w:left w:w="150" w:type="dxa"/>
              <w:bottom w:w="150" w:type="dxa"/>
              <w:right w:w="150" w:type="dxa"/>
            </w:tcMar>
            <w:vAlign w:val="bottom"/>
            <w:hideMark/>
          </w:tcPr>
          <w:p w14:paraId="10978571"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0.167</w:t>
            </w:r>
          </w:p>
        </w:tc>
      </w:tr>
      <w:tr w:rsidR="001854AD" w:rsidRPr="001854AD" w14:paraId="69B07CEB" w14:textId="77777777" w:rsidTr="001854AD">
        <w:trPr>
          <w:jc w:val="center"/>
        </w:trPr>
        <w:tc>
          <w:tcPr>
            <w:tcW w:w="0" w:type="auto"/>
            <w:tcMar>
              <w:top w:w="150" w:type="dxa"/>
              <w:left w:w="150" w:type="dxa"/>
              <w:bottom w:w="150" w:type="dxa"/>
              <w:right w:w="150" w:type="dxa"/>
            </w:tcMar>
            <w:vAlign w:val="bottom"/>
            <w:hideMark/>
          </w:tcPr>
          <w:p w14:paraId="79221ED5" w14:textId="77777777" w:rsidR="001854AD" w:rsidRPr="001854AD" w:rsidRDefault="001854AD" w:rsidP="001854AD">
            <w:pPr>
              <w:rPr>
                <w:rFonts w:eastAsia="Times New Roman" w:cs="Segoe UI"/>
                <w:spacing w:val="8"/>
                <w:sz w:val="22"/>
                <w:szCs w:val="22"/>
                <w:lang w:eastAsia="en-GB"/>
              </w:rPr>
            </w:pPr>
            <w:proofErr w:type="spellStart"/>
            <w:r w:rsidRPr="001854AD">
              <w:rPr>
                <w:rFonts w:eastAsia="Times New Roman" w:cs="Segoe UI"/>
                <w:spacing w:val="8"/>
                <w:sz w:val="22"/>
                <w:szCs w:val="22"/>
                <w:lang w:eastAsia="en-GB"/>
              </w:rPr>
              <w:t>LnGDPPC</w:t>
            </w:r>
            <w:proofErr w:type="spellEnd"/>
          </w:p>
        </w:tc>
        <w:tc>
          <w:tcPr>
            <w:tcW w:w="0" w:type="auto"/>
            <w:tcMar>
              <w:top w:w="150" w:type="dxa"/>
              <w:left w:w="150" w:type="dxa"/>
              <w:bottom w:w="150" w:type="dxa"/>
              <w:right w:w="150" w:type="dxa"/>
            </w:tcMar>
            <w:vAlign w:val="bottom"/>
            <w:hideMark/>
          </w:tcPr>
          <w:p w14:paraId="2D05DA46"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–6.511***</w:t>
            </w:r>
          </w:p>
        </w:tc>
        <w:tc>
          <w:tcPr>
            <w:tcW w:w="0" w:type="auto"/>
            <w:tcMar>
              <w:top w:w="150" w:type="dxa"/>
              <w:left w:w="150" w:type="dxa"/>
              <w:bottom w:w="150" w:type="dxa"/>
              <w:right w:w="150" w:type="dxa"/>
            </w:tcMar>
            <w:vAlign w:val="bottom"/>
            <w:hideMark/>
          </w:tcPr>
          <w:p w14:paraId="549383DF"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–3.18</w:t>
            </w:r>
          </w:p>
        </w:tc>
        <w:tc>
          <w:tcPr>
            <w:tcW w:w="0" w:type="auto"/>
            <w:tcMar>
              <w:top w:w="150" w:type="dxa"/>
              <w:left w:w="150" w:type="dxa"/>
              <w:bottom w:w="150" w:type="dxa"/>
              <w:right w:w="150" w:type="dxa"/>
            </w:tcMar>
            <w:vAlign w:val="bottom"/>
            <w:hideMark/>
          </w:tcPr>
          <w:p w14:paraId="3A36F70D"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2.049</w:t>
            </w:r>
          </w:p>
        </w:tc>
      </w:tr>
      <w:tr w:rsidR="001854AD" w:rsidRPr="001854AD" w14:paraId="647E18AD" w14:textId="77777777" w:rsidTr="001854AD">
        <w:trPr>
          <w:jc w:val="center"/>
        </w:trPr>
        <w:tc>
          <w:tcPr>
            <w:tcW w:w="0" w:type="auto"/>
            <w:tcMar>
              <w:top w:w="150" w:type="dxa"/>
              <w:left w:w="150" w:type="dxa"/>
              <w:bottom w:w="150" w:type="dxa"/>
              <w:right w:w="150" w:type="dxa"/>
            </w:tcMar>
            <w:vAlign w:val="bottom"/>
            <w:hideMark/>
          </w:tcPr>
          <w:p w14:paraId="32B5435A"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Constant</w:t>
            </w:r>
          </w:p>
        </w:tc>
        <w:tc>
          <w:tcPr>
            <w:tcW w:w="0" w:type="auto"/>
            <w:tcMar>
              <w:top w:w="150" w:type="dxa"/>
              <w:left w:w="150" w:type="dxa"/>
              <w:bottom w:w="150" w:type="dxa"/>
              <w:right w:w="150" w:type="dxa"/>
            </w:tcMar>
            <w:vAlign w:val="bottom"/>
            <w:hideMark/>
          </w:tcPr>
          <w:p w14:paraId="6EE59076"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182.300***</w:t>
            </w:r>
          </w:p>
        </w:tc>
        <w:tc>
          <w:tcPr>
            <w:tcW w:w="0" w:type="auto"/>
            <w:tcMar>
              <w:top w:w="150" w:type="dxa"/>
              <w:left w:w="150" w:type="dxa"/>
              <w:bottom w:w="150" w:type="dxa"/>
              <w:right w:w="150" w:type="dxa"/>
            </w:tcMar>
            <w:vAlign w:val="bottom"/>
            <w:hideMark/>
          </w:tcPr>
          <w:p w14:paraId="77E3E49E"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5.02</w:t>
            </w:r>
          </w:p>
        </w:tc>
        <w:tc>
          <w:tcPr>
            <w:tcW w:w="0" w:type="auto"/>
            <w:tcMar>
              <w:top w:w="150" w:type="dxa"/>
              <w:left w:w="150" w:type="dxa"/>
              <w:bottom w:w="150" w:type="dxa"/>
              <w:right w:w="150" w:type="dxa"/>
            </w:tcMar>
            <w:vAlign w:val="bottom"/>
            <w:hideMark/>
          </w:tcPr>
          <w:p w14:paraId="7CC674DC"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36.311</w:t>
            </w:r>
          </w:p>
        </w:tc>
      </w:tr>
      <w:tr w:rsidR="001854AD" w:rsidRPr="001854AD" w14:paraId="44C4504D" w14:textId="77777777" w:rsidTr="001854AD">
        <w:trPr>
          <w:jc w:val="center"/>
        </w:trPr>
        <w:tc>
          <w:tcPr>
            <w:tcW w:w="0" w:type="auto"/>
            <w:tcMar>
              <w:top w:w="150" w:type="dxa"/>
              <w:left w:w="150" w:type="dxa"/>
              <w:bottom w:w="150" w:type="dxa"/>
              <w:right w:w="150" w:type="dxa"/>
            </w:tcMar>
            <w:vAlign w:val="bottom"/>
            <w:hideMark/>
          </w:tcPr>
          <w:p w14:paraId="54858F52"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Hansen p-value</w:t>
            </w:r>
          </w:p>
        </w:tc>
        <w:tc>
          <w:tcPr>
            <w:tcW w:w="0" w:type="auto"/>
            <w:tcMar>
              <w:top w:w="150" w:type="dxa"/>
              <w:left w:w="150" w:type="dxa"/>
              <w:bottom w:w="150" w:type="dxa"/>
              <w:right w:w="150" w:type="dxa"/>
            </w:tcMar>
            <w:vAlign w:val="bottom"/>
            <w:hideMark/>
          </w:tcPr>
          <w:p w14:paraId="22D81AE7"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0.27</w:t>
            </w:r>
          </w:p>
        </w:tc>
        <w:tc>
          <w:tcPr>
            <w:tcW w:w="0" w:type="auto"/>
            <w:tcMar>
              <w:top w:w="150" w:type="dxa"/>
              <w:left w:w="150" w:type="dxa"/>
              <w:bottom w:w="150" w:type="dxa"/>
              <w:right w:w="150" w:type="dxa"/>
            </w:tcMar>
            <w:vAlign w:val="bottom"/>
            <w:hideMark/>
          </w:tcPr>
          <w:p w14:paraId="578CC8CA" w14:textId="77777777" w:rsidR="001854AD" w:rsidRPr="001854AD" w:rsidRDefault="001854AD" w:rsidP="001854AD">
            <w:pPr>
              <w:rPr>
                <w:rFonts w:eastAsia="Times New Roman" w:cs="Segoe UI"/>
                <w:spacing w:val="8"/>
                <w:sz w:val="22"/>
                <w:szCs w:val="22"/>
                <w:lang w:eastAsia="en-GB"/>
              </w:rPr>
            </w:pPr>
          </w:p>
        </w:tc>
        <w:tc>
          <w:tcPr>
            <w:tcW w:w="0" w:type="auto"/>
            <w:tcMar>
              <w:top w:w="150" w:type="dxa"/>
              <w:left w:w="150" w:type="dxa"/>
              <w:bottom w:w="150" w:type="dxa"/>
              <w:right w:w="150" w:type="dxa"/>
            </w:tcMar>
            <w:vAlign w:val="bottom"/>
            <w:hideMark/>
          </w:tcPr>
          <w:p w14:paraId="4EFFC20D" w14:textId="77777777" w:rsidR="001854AD" w:rsidRPr="001854AD" w:rsidRDefault="001854AD" w:rsidP="001854AD">
            <w:pPr>
              <w:rPr>
                <w:rFonts w:eastAsia="Times New Roman" w:cs="Times New Roman"/>
                <w:sz w:val="22"/>
                <w:szCs w:val="22"/>
                <w:lang w:eastAsia="en-GB"/>
              </w:rPr>
            </w:pPr>
          </w:p>
        </w:tc>
      </w:tr>
      <w:tr w:rsidR="001854AD" w:rsidRPr="001854AD" w14:paraId="74B10227" w14:textId="77777777" w:rsidTr="001854AD">
        <w:trPr>
          <w:jc w:val="center"/>
        </w:trPr>
        <w:tc>
          <w:tcPr>
            <w:tcW w:w="0" w:type="auto"/>
            <w:tcMar>
              <w:top w:w="150" w:type="dxa"/>
              <w:left w:w="150" w:type="dxa"/>
              <w:bottom w:w="150" w:type="dxa"/>
              <w:right w:w="150" w:type="dxa"/>
            </w:tcMar>
            <w:vAlign w:val="bottom"/>
            <w:hideMark/>
          </w:tcPr>
          <w:p w14:paraId="3A49832C" w14:textId="77777777" w:rsidR="001854AD" w:rsidRPr="001854AD" w:rsidRDefault="001854AD" w:rsidP="001854AD">
            <w:pPr>
              <w:rPr>
                <w:rFonts w:eastAsia="Times New Roman" w:cs="Segoe UI"/>
                <w:spacing w:val="8"/>
                <w:sz w:val="22"/>
                <w:szCs w:val="22"/>
                <w:lang w:eastAsia="en-GB"/>
              </w:rPr>
            </w:pPr>
            <w:proofErr w:type="gramStart"/>
            <w:r w:rsidRPr="001854AD">
              <w:rPr>
                <w:rFonts w:eastAsia="Times New Roman" w:cs="Segoe UI"/>
                <w:spacing w:val="8"/>
                <w:sz w:val="22"/>
                <w:szCs w:val="22"/>
                <w:lang w:eastAsia="en-GB"/>
              </w:rPr>
              <w:t>AR(</w:t>
            </w:r>
            <w:proofErr w:type="gramEnd"/>
            <w:r w:rsidRPr="001854AD">
              <w:rPr>
                <w:rFonts w:eastAsia="Times New Roman" w:cs="Segoe UI"/>
                <w:spacing w:val="8"/>
                <w:sz w:val="22"/>
                <w:szCs w:val="22"/>
                <w:lang w:eastAsia="en-GB"/>
              </w:rPr>
              <w:t>2) p-value</w:t>
            </w:r>
          </w:p>
        </w:tc>
        <w:tc>
          <w:tcPr>
            <w:tcW w:w="0" w:type="auto"/>
            <w:tcMar>
              <w:top w:w="150" w:type="dxa"/>
              <w:left w:w="150" w:type="dxa"/>
              <w:bottom w:w="150" w:type="dxa"/>
              <w:right w:w="150" w:type="dxa"/>
            </w:tcMar>
            <w:vAlign w:val="bottom"/>
            <w:hideMark/>
          </w:tcPr>
          <w:p w14:paraId="313A09B9"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0.41</w:t>
            </w:r>
          </w:p>
        </w:tc>
        <w:tc>
          <w:tcPr>
            <w:tcW w:w="0" w:type="auto"/>
            <w:tcMar>
              <w:top w:w="150" w:type="dxa"/>
              <w:left w:w="150" w:type="dxa"/>
              <w:bottom w:w="150" w:type="dxa"/>
              <w:right w:w="150" w:type="dxa"/>
            </w:tcMar>
            <w:vAlign w:val="bottom"/>
            <w:hideMark/>
          </w:tcPr>
          <w:p w14:paraId="1A93D6C6" w14:textId="77777777" w:rsidR="001854AD" w:rsidRPr="001854AD" w:rsidRDefault="001854AD" w:rsidP="001854AD">
            <w:pPr>
              <w:rPr>
                <w:rFonts w:eastAsia="Times New Roman" w:cs="Segoe UI"/>
                <w:spacing w:val="8"/>
                <w:sz w:val="22"/>
                <w:szCs w:val="22"/>
                <w:lang w:eastAsia="en-GB"/>
              </w:rPr>
            </w:pPr>
          </w:p>
        </w:tc>
        <w:tc>
          <w:tcPr>
            <w:tcW w:w="0" w:type="auto"/>
            <w:tcMar>
              <w:top w:w="150" w:type="dxa"/>
              <w:left w:w="150" w:type="dxa"/>
              <w:bottom w:w="150" w:type="dxa"/>
              <w:right w:w="150" w:type="dxa"/>
            </w:tcMar>
            <w:vAlign w:val="bottom"/>
            <w:hideMark/>
          </w:tcPr>
          <w:p w14:paraId="34A3383B" w14:textId="77777777" w:rsidR="001854AD" w:rsidRPr="001854AD" w:rsidRDefault="001854AD" w:rsidP="001854AD">
            <w:pPr>
              <w:rPr>
                <w:rFonts w:eastAsia="Times New Roman" w:cs="Times New Roman"/>
                <w:sz w:val="22"/>
                <w:szCs w:val="22"/>
                <w:lang w:eastAsia="en-GB"/>
              </w:rPr>
            </w:pPr>
          </w:p>
        </w:tc>
      </w:tr>
      <w:tr w:rsidR="001854AD" w:rsidRPr="001854AD" w14:paraId="20FE6EE7" w14:textId="77777777" w:rsidTr="001854AD">
        <w:trPr>
          <w:jc w:val="center"/>
        </w:trPr>
        <w:tc>
          <w:tcPr>
            <w:tcW w:w="0" w:type="auto"/>
            <w:tcMar>
              <w:top w:w="150" w:type="dxa"/>
              <w:left w:w="150" w:type="dxa"/>
              <w:bottom w:w="150" w:type="dxa"/>
              <w:right w:w="150" w:type="dxa"/>
            </w:tcMar>
            <w:vAlign w:val="bottom"/>
            <w:hideMark/>
          </w:tcPr>
          <w:p w14:paraId="45AC8063"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Observations</w:t>
            </w:r>
          </w:p>
        </w:tc>
        <w:tc>
          <w:tcPr>
            <w:tcW w:w="0" w:type="auto"/>
            <w:tcMar>
              <w:top w:w="150" w:type="dxa"/>
              <w:left w:w="150" w:type="dxa"/>
              <w:bottom w:w="150" w:type="dxa"/>
              <w:right w:w="150" w:type="dxa"/>
            </w:tcMar>
            <w:vAlign w:val="bottom"/>
            <w:hideMark/>
          </w:tcPr>
          <w:p w14:paraId="05C6374D"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150</w:t>
            </w:r>
          </w:p>
        </w:tc>
        <w:tc>
          <w:tcPr>
            <w:tcW w:w="0" w:type="auto"/>
            <w:tcMar>
              <w:top w:w="150" w:type="dxa"/>
              <w:left w:w="150" w:type="dxa"/>
              <w:bottom w:w="150" w:type="dxa"/>
              <w:right w:w="150" w:type="dxa"/>
            </w:tcMar>
            <w:vAlign w:val="bottom"/>
            <w:hideMark/>
          </w:tcPr>
          <w:p w14:paraId="20443694" w14:textId="77777777" w:rsidR="001854AD" w:rsidRPr="001854AD" w:rsidRDefault="001854AD" w:rsidP="001854AD">
            <w:pPr>
              <w:rPr>
                <w:rFonts w:eastAsia="Times New Roman" w:cs="Segoe UI"/>
                <w:spacing w:val="8"/>
                <w:sz w:val="22"/>
                <w:szCs w:val="22"/>
                <w:lang w:eastAsia="en-GB"/>
              </w:rPr>
            </w:pPr>
          </w:p>
        </w:tc>
        <w:tc>
          <w:tcPr>
            <w:tcW w:w="0" w:type="auto"/>
            <w:tcMar>
              <w:top w:w="150" w:type="dxa"/>
              <w:left w:w="150" w:type="dxa"/>
              <w:bottom w:w="150" w:type="dxa"/>
              <w:right w:w="150" w:type="dxa"/>
            </w:tcMar>
            <w:vAlign w:val="bottom"/>
            <w:hideMark/>
          </w:tcPr>
          <w:p w14:paraId="73EE88AE" w14:textId="77777777" w:rsidR="001854AD" w:rsidRPr="001854AD" w:rsidRDefault="001854AD" w:rsidP="001854AD">
            <w:pPr>
              <w:rPr>
                <w:rFonts w:eastAsia="Times New Roman" w:cs="Times New Roman"/>
                <w:sz w:val="22"/>
                <w:szCs w:val="22"/>
                <w:lang w:eastAsia="en-GB"/>
              </w:rPr>
            </w:pPr>
          </w:p>
        </w:tc>
      </w:tr>
      <w:tr w:rsidR="001854AD" w:rsidRPr="001854AD" w14:paraId="5CEC68C3" w14:textId="77777777" w:rsidTr="001854AD">
        <w:trPr>
          <w:jc w:val="center"/>
        </w:trPr>
        <w:tc>
          <w:tcPr>
            <w:tcW w:w="0" w:type="auto"/>
            <w:tcMar>
              <w:top w:w="150" w:type="dxa"/>
              <w:left w:w="150" w:type="dxa"/>
              <w:bottom w:w="150" w:type="dxa"/>
              <w:right w:w="150" w:type="dxa"/>
            </w:tcMar>
            <w:vAlign w:val="bottom"/>
            <w:hideMark/>
          </w:tcPr>
          <w:p w14:paraId="5BF158C7"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Number of banks</w:t>
            </w:r>
          </w:p>
        </w:tc>
        <w:tc>
          <w:tcPr>
            <w:tcW w:w="0" w:type="auto"/>
            <w:tcMar>
              <w:top w:w="150" w:type="dxa"/>
              <w:left w:w="150" w:type="dxa"/>
              <w:bottom w:w="150" w:type="dxa"/>
              <w:right w:w="150" w:type="dxa"/>
            </w:tcMar>
            <w:vAlign w:val="bottom"/>
            <w:hideMark/>
          </w:tcPr>
          <w:p w14:paraId="54E7A15C" w14:textId="77777777" w:rsidR="001854AD" w:rsidRPr="001854AD" w:rsidRDefault="001854AD" w:rsidP="001854AD">
            <w:pPr>
              <w:rPr>
                <w:rFonts w:eastAsia="Times New Roman" w:cs="Segoe UI"/>
                <w:spacing w:val="8"/>
                <w:sz w:val="22"/>
                <w:szCs w:val="22"/>
                <w:lang w:eastAsia="en-GB"/>
              </w:rPr>
            </w:pPr>
            <w:r w:rsidRPr="001854AD">
              <w:rPr>
                <w:rFonts w:eastAsia="Times New Roman" w:cs="Segoe UI"/>
                <w:spacing w:val="8"/>
                <w:sz w:val="22"/>
                <w:szCs w:val="22"/>
                <w:lang w:eastAsia="en-GB"/>
              </w:rPr>
              <w:t>10</w:t>
            </w:r>
          </w:p>
        </w:tc>
        <w:tc>
          <w:tcPr>
            <w:tcW w:w="0" w:type="auto"/>
            <w:vAlign w:val="center"/>
            <w:hideMark/>
          </w:tcPr>
          <w:p w14:paraId="552622CF" w14:textId="77777777" w:rsidR="001854AD" w:rsidRPr="001854AD" w:rsidRDefault="001854AD" w:rsidP="001854AD">
            <w:pPr>
              <w:rPr>
                <w:rFonts w:eastAsia="Times New Roman" w:cs="Times New Roman"/>
                <w:sz w:val="22"/>
                <w:szCs w:val="22"/>
                <w:lang w:eastAsia="en-GB"/>
              </w:rPr>
            </w:pPr>
          </w:p>
        </w:tc>
        <w:tc>
          <w:tcPr>
            <w:tcW w:w="0" w:type="auto"/>
            <w:vAlign w:val="center"/>
            <w:hideMark/>
          </w:tcPr>
          <w:p w14:paraId="3312379E" w14:textId="77777777" w:rsidR="001854AD" w:rsidRPr="001854AD" w:rsidRDefault="001854AD" w:rsidP="001854AD">
            <w:pPr>
              <w:rPr>
                <w:rFonts w:eastAsia="Times New Roman" w:cs="Times New Roman"/>
                <w:sz w:val="22"/>
                <w:szCs w:val="22"/>
                <w:lang w:eastAsia="en-GB"/>
              </w:rPr>
            </w:pPr>
          </w:p>
        </w:tc>
      </w:tr>
    </w:tbl>
    <w:p w14:paraId="0C8141A6" w14:textId="77777777" w:rsidR="001854AD" w:rsidRPr="001854AD" w:rsidRDefault="001854AD" w:rsidP="001854AD"/>
    <w:p w14:paraId="48C03E77" w14:textId="77777777" w:rsidR="001854AD" w:rsidRPr="001854AD" w:rsidRDefault="001854AD" w:rsidP="001854AD"/>
    <w:p w14:paraId="06745754" w14:textId="6FB22C5D" w:rsidR="001854AD" w:rsidRPr="001854AD" w:rsidRDefault="001854AD" w:rsidP="001854AD">
      <w:r w:rsidRPr="001854AD">
        <w:t>4.5 Economic magnitude</w:t>
      </w:r>
    </w:p>
    <w:p w14:paraId="3846F51A" w14:textId="77777777" w:rsidR="001854AD" w:rsidRPr="001854AD" w:rsidRDefault="001854AD" w:rsidP="001854AD">
      <w:pPr>
        <w:jc w:val="both"/>
      </w:pPr>
      <w:r w:rsidRPr="001854AD">
        <w:t>A one-standard-deviation increase in the internal-control tenet (≈ 9 points) reduces NPLR by 48 basis points in the full sample and by 23 basis points post-2015, translating into annual provisioning savings of approximately USD 290 million across the ten systemically important banks.</w:t>
      </w:r>
    </w:p>
    <w:p w14:paraId="67E20FB2" w14:textId="77777777" w:rsidR="001854AD" w:rsidRPr="001854AD" w:rsidRDefault="001854AD" w:rsidP="001854AD"/>
    <w:p w14:paraId="3BDD27BD" w14:textId="621E4B3C" w:rsidR="001854AD" w:rsidRPr="001854AD" w:rsidRDefault="001854AD" w:rsidP="001854AD">
      <w:r w:rsidRPr="001854AD">
        <w:t xml:space="preserve">Table </w:t>
      </w:r>
      <w:proofErr w:type="gramStart"/>
      <w:r w:rsidRPr="001854AD">
        <w:t>4 :</w:t>
      </w:r>
      <w:proofErr w:type="gramEnd"/>
      <w:r w:rsidRPr="001854AD">
        <w:t xml:space="preserve"> Economic Magnitude of Governance-Tenet Effects</w:t>
      </w:r>
    </w:p>
    <w:p w14:paraId="7298F75D" w14:textId="77777777" w:rsidR="001854AD" w:rsidRPr="001854AD" w:rsidRDefault="001854AD" w:rsidP="001854A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36"/>
        <w:gridCol w:w="991"/>
        <w:gridCol w:w="2132"/>
        <w:gridCol w:w="1990"/>
        <w:gridCol w:w="2861"/>
      </w:tblGrid>
      <w:tr w:rsidR="001854AD" w:rsidRPr="001854AD" w14:paraId="20897F16" w14:textId="77777777" w:rsidTr="001854AD">
        <w:trPr>
          <w:tblHeader/>
        </w:trPr>
        <w:tc>
          <w:tcPr>
            <w:tcW w:w="0" w:type="auto"/>
            <w:tcMar>
              <w:top w:w="150" w:type="dxa"/>
              <w:left w:w="150" w:type="dxa"/>
              <w:bottom w:w="150" w:type="dxa"/>
              <w:right w:w="150" w:type="dxa"/>
            </w:tcMar>
            <w:vAlign w:val="bottom"/>
            <w:hideMark/>
          </w:tcPr>
          <w:p w14:paraId="187AD7DC" w14:textId="77777777" w:rsidR="001854AD" w:rsidRPr="001854AD" w:rsidRDefault="001854AD" w:rsidP="001854AD">
            <w:pPr>
              <w:jc w:val="center"/>
              <w:rPr>
                <w:rFonts w:eastAsia="Times New Roman" w:cs="Segoe UI"/>
                <w:b/>
                <w:bCs/>
                <w:spacing w:val="8"/>
                <w:sz w:val="22"/>
                <w:szCs w:val="22"/>
                <w:lang w:eastAsia="en-GB"/>
              </w:rPr>
            </w:pPr>
            <w:r w:rsidRPr="001854AD">
              <w:rPr>
                <w:rFonts w:eastAsia="Times New Roman" w:cs="Segoe UI"/>
                <w:b/>
                <w:bCs/>
                <w:spacing w:val="8"/>
                <w:sz w:val="22"/>
                <w:szCs w:val="22"/>
                <w:lang w:eastAsia="en-GB"/>
              </w:rPr>
              <w:t>Tenet</w:t>
            </w:r>
          </w:p>
        </w:tc>
        <w:tc>
          <w:tcPr>
            <w:tcW w:w="0" w:type="auto"/>
            <w:tcMar>
              <w:top w:w="150" w:type="dxa"/>
              <w:left w:w="150" w:type="dxa"/>
              <w:bottom w:w="150" w:type="dxa"/>
              <w:right w:w="150" w:type="dxa"/>
            </w:tcMar>
            <w:vAlign w:val="bottom"/>
            <w:hideMark/>
          </w:tcPr>
          <w:p w14:paraId="3BB7CE57" w14:textId="77777777" w:rsidR="001854AD" w:rsidRPr="001854AD" w:rsidRDefault="001854AD" w:rsidP="001854AD">
            <w:pPr>
              <w:jc w:val="center"/>
              <w:rPr>
                <w:rFonts w:eastAsia="Times New Roman" w:cs="Segoe UI"/>
                <w:b/>
                <w:bCs/>
                <w:spacing w:val="8"/>
                <w:sz w:val="22"/>
                <w:szCs w:val="22"/>
                <w:lang w:eastAsia="en-GB"/>
              </w:rPr>
            </w:pPr>
            <w:r w:rsidRPr="001854AD">
              <w:rPr>
                <w:rFonts w:eastAsia="Times New Roman" w:cs="Segoe UI"/>
                <w:b/>
                <w:bCs/>
                <w:spacing w:val="8"/>
                <w:sz w:val="22"/>
                <w:szCs w:val="22"/>
                <w:lang w:eastAsia="en-GB"/>
              </w:rPr>
              <w:t>Std. dev.</w:t>
            </w:r>
          </w:p>
        </w:tc>
        <w:tc>
          <w:tcPr>
            <w:tcW w:w="0" w:type="auto"/>
            <w:tcMar>
              <w:top w:w="150" w:type="dxa"/>
              <w:left w:w="150" w:type="dxa"/>
              <w:bottom w:w="150" w:type="dxa"/>
              <w:right w:w="150" w:type="dxa"/>
            </w:tcMar>
            <w:vAlign w:val="bottom"/>
            <w:hideMark/>
          </w:tcPr>
          <w:p w14:paraId="1573BB05" w14:textId="77777777" w:rsidR="001854AD" w:rsidRPr="001854AD" w:rsidRDefault="001854AD" w:rsidP="001854AD">
            <w:pPr>
              <w:jc w:val="center"/>
              <w:rPr>
                <w:rFonts w:eastAsia="Times New Roman" w:cs="Segoe UI"/>
                <w:b/>
                <w:bCs/>
                <w:spacing w:val="8"/>
                <w:sz w:val="22"/>
                <w:szCs w:val="22"/>
                <w:lang w:eastAsia="en-GB"/>
              </w:rPr>
            </w:pPr>
            <w:r w:rsidRPr="001854AD">
              <w:rPr>
                <w:rFonts w:eastAsia="Times New Roman" w:cs="Segoe UI"/>
                <w:b/>
                <w:bCs/>
                <w:spacing w:val="8"/>
                <w:sz w:val="22"/>
                <w:szCs w:val="22"/>
                <w:lang w:eastAsia="en-GB"/>
              </w:rPr>
              <w:t>Full-sample FE ΔNPLR (bps)</w:t>
            </w:r>
          </w:p>
        </w:tc>
        <w:tc>
          <w:tcPr>
            <w:tcW w:w="0" w:type="auto"/>
            <w:tcMar>
              <w:top w:w="150" w:type="dxa"/>
              <w:left w:w="150" w:type="dxa"/>
              <w:bottom w:w="150" w:type="dxa"/>
              <w:right w:w="150" w:type="dxa"/>
            </w:tcMar>
            <w:vAlign w:val="bottom"/>
            <w:hideMark/>
          </w:tcPr>
          <w:p w14:paraId="13DA7960" w14:textId="77777777" w:rsidR="001854AD" w:rsidRPr="001854AD" w:rsidRDefault="001854AD" w:rsidP="001854AD">
            <w:pPr>
              <w:jc w:val="center"/>
              <w:rPr>
                <w:rFonts w:eastAsia="Times New Roman" w:cs="Segoe UI"/>
                <w:b/>
                <w:bCs/>
                <w:spacing w:val="8"/>
                <w:sz w:val="22"/>
                <w:szCs w:val="22"/>
                <w:lang w:eastAsia="en-GB"/>
              </w:rPr>
            </w:pPr>
            <w:r w:rsidRPr="001854AD">
              <w:rPr>
                <w:rFonts w:eastAsia="Times New Roman" w:cs="Segoe UI"/>
                <w:b/>
                <w:bCs/>
                <w:spacing w:val="8"/>
                <w:sz w:val="22"/>
                <w:szCs w:val="22"/>
                <w:lang w:eastAsia="en-GB"/>
              </w:rPr>
              <w:t>Post-2015 FE ΔNPLR (bps)</w:t>
            </w:r>
          </w:p>
        </w:tc>
        <w:tc>
          <w:tcPr>
            <w:tcW w:w="0" w:type="auto"/>
            <w:tcMar>
              <w:top w:w="150" w:type="dxa"/>
              <w:left w:w="150" w:type="dxa"/>
              <w:bottom w:w="150" w:type="dxa"/>
              <w:right w:w="150" w:type="dxa"/>
            </w:tcMar>
            <w:vAlign w:val="bottom"/>
            <w:hideMark/>
          </w:tcPr>
          <w:p w14:paraId="3F6F0116" w14:textId="77777777" w:rsidR="001854AD" w:rsidRPr="001854AD" w:rsidRDefault="001854AD" w:rsidP="001854AD">
            <w:pPr>
              <w:jc w:val="center"/>
              <w:rPr>
                <w:rFonts w:eastAsia="Times New Roman" w:cs="Segoe UI"/>
                <w:b/>
                <w:bCs/>
                <w:spacing w:val="8"/>
                <w:sz w:val="22"/>
                <w:szCs w:val="22"/>
                <w:lang w:eastAsia="en-GB"/>
              </w:rPr>
            </w:pPr>
            <w:r w:rsidRPr="001854AD">
              <w:rPr>
                <w:rFonts w:eastAsia="Times New Roman" w:cs="Segoe UI"/>
                <w:b/>
                <w:bCs/>
                <w:spacing w:val="8"/>
                <w:sz w:val="22"/>
                <w:szCs w:val="22"/>
                <w:lang w:eastAsia="en-GB"/>
              </w:rPr>
              <w:t>Annual provisioning savings (USD m)</w:t>
            </w:r>
          </w:p>
        </w:tc>
      </w:tr>
      <w:tr w:rsidR="001854AD" w:rsidRPr="001854AD" w14:paraId="3E295753" w14:textId="77777777" w:rsidTr="001854AD">
        <w:tc>
          <w:tcPr>
            <w:tcW w:w="0" w:type="auto"/>
            <w:tcMar>
              <w:top w:w="150" w:type="dxa"/>
              <w:left w:w="150" w:type="dxa"/>
              <w:bottom w:w="150" w:type="dxa"/>
              <w:right w:w="150" w:type="dxa"/>
            </w:tcMar>
            <w:vAlign w:val="bottom"/>
            <w:hideMark/>
          </w:tcPr>
          <w:p w14:paraId="55DD3D84"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OPEFF</w:t>
            </w:r>
          </w:p>
        </w:tc>
        <w:tc>
          <w:tcPr>
            <w:tcW w:w="0" w:type="auto"/>
            <w:tcMar>
              <w:top w:w="150" w:type="dxa"/>
              <w:left w:w="150" w:type="dxa"/>
              <w:bottom w:w="150" w:type="dxa"/>
              <w:right w:w="150" w:type="dxa"/>
            </w:tcMar>
            <w:vAlign w:val="bottom"/>
            <w:hideMark/>
          </w:tcPr>
          <w:p w14:paraId="238DD895"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9.0</w:t>
            </w:r>
          </w:p>
        </w:tc>
        <w:tc>
          <w:tcPr>
            <w:tcW w:w="0" w:type="auto"/>
            <w:tcMar>
              <w:top w:w="150" w:type="dxa"/>
              <w:left w:w="150" w:type="dxa"/>
              <w:bottom w:w="150" w:type="dxa"/>
              <w:right w:w="150" w:type="dxa"/>
            </w:tcMar>
            <w:vAlign w:val="bottom"/>
            <w:hideMark/>
          </w:tcPr>
          <w:p w14:paraId="13BA87A0"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–48</w:t>
            </w:r>
          </w:p>
        </w:tc>
        <w:tc>
          <w:tcPr>
            <w:tcW w:w="0" w:type="auto"/>
            <w:tcMar>
              <w:top w:w="150" w:type="dxa"/>
              <w:left w:w="150" w:type="dxa"/>
              <w:bottom w:w="150" w:type="dxa"/>
              <w:right w:w="150" w:type="dxa"/>
            </w:tcMar>
            <w:vAlign w:val="bottom"/>
            <w:hideMark/>
          </w:tcPr>
          <w:p w14:paraId="75F1C124"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–23</w:t>
            </w:r>
          </w:p>
        </w:tc>
        <w:tc>
          <w:tcPr>
            <w:tcW w:w="0" w:type="auto"/>
            <w:tcMar>
              <w:top w:w="150" w:type="dxa"/>
              <w:left w:w="150" w:type="dxa"/>
              <w:bottom w:w="150" w:type="dxa"/>
              <w:right w:w="150" w:type="dxa"/>
            </w:tcMar>
            <w:vAlign w:val="bottom"/>
            <w:hideMark/>
          </w:tcPr>
          <w:p w14:paraId="568B6EDF"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290</w:t>
            </w:r>
          </w:p>
        </w:tc>
      </w:tr>
      <w:tr w:rsidR="001854AD" w:rsidRPr="001854AD" w14:paraId="3BBA223B" w14:textId="77777777" w:rsidTr="001854AD">
        <w:tc>
          <w:tcPr>
            <w:tcW w:w="0" w:type="auto"/>
            <w:tcMar>
              <w:top w:w="150" w:type="dxa"/>
              <w:left w:w="150" w:type="dxa"/>
              <w:bottom w:w="150" w:type="dxa"/>
              <w:right w:w="150" w:type="dxa"/>
            </w:tcMar>
            <w:vAlign w:val="bottom"/>
            <w:hideMark/>
          </w:tcPr>
          <w:p w14:paraId="5307DDB9"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CGDI</w:t>
            </w:r>
          </w:p>
        </w:tc>
        <w:tc>
          <w:tcPr>
            <w:tcW w:w="0" w:type="auto"/>
            <w:tcMar>
              <w:top w:w="150" w:type="dxa"/>
              <w:left w:w="150" w:type="dxa"/>
              <w:bottom w:w="150" w:type="dxa"/>
              <w:right w:w="150" w:type="dxa"/>
            </w:tcMar>
            <w:vAlign w:val="bottom"/>
            <w:hideMark/>
          </w:tcPr>
          <w:p w14:paraId="6FD1E27D"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12.5</w:t>
            </w:r>
          </w:p>
        </w:tc>
        <w:tc>
          <w:tcPr>
            <w:tcW w:w="0" w:type="auto"/>
            <w:tcMar>
              <w:top w:w="150" w:type="dxa"/>
              <w:left w:w="150" w:type="dxa"/>
              <w:bottom w:w="150" w:type="dxa"/>
              <w:right w:w="150" w:type="dxa"/>
            </w:tcMar>
            <w:vAlign w:val="bottom"/>
            <w:hideMark/>
          </w:tcPr>
          <w:p w14:paraId="61EABEE8"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–7</w:t>
            </w:r>
          </w:p>
        </w:tc>
        <w:tc>
          <w:tcPr>
            <w:tcW w:w="0" w:type="auto"/>
            <w:tcMar>
              <w:top w:w="150" w:type="dxa"/>
              <w:left w:w="150" w:type="dxa"/>
              <w:bottom w:w="150" w:type="dxa"/>
              <w:right w:w="150" w:type="dxa"/>
            </w:tcMar>
            <w:vAlign w:val="bottom"/>
            <w:hideMark/>
          </w:tcPr>
          <w:p w14:paraId="05AAC0E6"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–45</w:t>
            </w:r>
          </w:p>
        </w:tc>
        <w:tc>
          <w:tcPr>
            <w:tcW w:w="0" w:type="auto"/>
            <w:tcMar>
              <w:top w:w="150" w:type="dxa"/>
              <w:left w:w="150" w:type="dxa"/>
              <w:bottom w:w="150" w:type="dxa"/>
              <w:right w:w="150" w:type="dxa"/>
            </w:tcMar>
            <w:vAlign w:val="bottom"/>
            <w:hideMark/>
          </w:tcPr>
          <w:p w14:paraId="02B6D947"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220</w:t>
            </w:r>
          </w:p>
        </w:tc>
      </w:tr>
      <w:tr w:rsidR="001854AD" w:rsidRPr="001854AD" w14:paraId="46D81C91" w14:textId="77777777" w:rsidTr="001854AD">
        <w:tc>
          <w:tcPr>
            <w:tcW w:w="0" w:type="auto"/>
            <w:tcMar>
              <w:top w:w="150" w:type="dxa"/>
              <w:left w:w="150" w:type="dxa"/>
              <w:bottom w:w="150" w:type="dxa"/>
              <w:right w:w="150" w:type="dxa"/>
            </w:tcMar>
            <w:vAlign w:val="bottom"/>
            <w:hideMark/>
          </w:tcPr>
          <w:p w14:paraId="6EBFF611"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TCAR</w:t>
            </w:r>
          </w:p>
        </w:tc>
        <w:tc>
          <w:tcPr>
            <w:tcW w:w="0" w:type="auto"/>
            <w:tcMar>
              <w:top w:w="150" w:type="dxa"/>
              <w:left w:w="150" w:type="dxa"/>
              <w:bottom w:w="150" w:type="dxa"/>
              <w:right w:w="150" w:type="dxa"/>
            </w:tcMar>
            <w:vAlign w:val="bottom"/>
            <w:hideMark/>
          </w:tcPr>
          <w:p w14:paraId="554FE9B4"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3.2</w:t>
            </w:r>
          </w:p>
        </w:tc>
        <w:tc>
          <w:tcPr>
            <w:tcW w:w="0" w:type="auto"/>
            <w:tcMar>
              <w:top w:w="150" w:type="dxa"/>
              <w:left w:w="150" w:type="dxa"/>
              <w:bottom w:w="150" w:type="dxa"/>
              <w:right w:w="150" w:type="dxa"/>
            </w:tcMar>
            <w:vAlign w:val="bottom"/>
            <w:hideMark/>
          </w:tcPr>
          <w:p w14:paraId="75C57E12"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–4</w:t>
            </w:r>
          </w:p>
        </w:tc>
        <w:tc>
          <w:tcPr>
            <w:tcW w:w="0" w:type="auto"/>
            <w:tcMar>
              <w:top w:w="150" w:type="dxa"/>
              <w:left w:w="150" w:type="dxa"/>
              <w:bottom w:w="150" w:type="dxa"/>
              <w:right w:w="150" w:type="dxa"/>
            </w:tcMar>
            <w:vAlign w:val="bottom"/>
            <w:hideMark/>
          </w:tcPr>
          <w:p w14:paraId="34827705"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–1</w:t>
            </w:r>
          </w:p>
        </w:tc>
        <w:tc>
          <w:tcPr>
            <w:tcW w:w="0" w:type="auto"/>
            <w:tcMar>
              <w:top w:w="150" w:type="dxa"/>
              <w:left w:w="150" w:type="dxa"/>
              <w:bottom w:w="150" w:type="dxa"/>
              <w:right w:w="150" w:type="dxa"/>
            </w:tcMar>
            <w:vAlign w:val="bottom"/>
            <w:hideMark/>
          </w:tcPr>
          <w:p w14:paraId="0C1CC5AC"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5</w:t>
            </w:r>
          </w:p>
        </w:tc>
      </w:tr>
      <w:tr w:rsidR="001854AD" w:rsidRPr="001854AD" w14:paraId="55AE5E91" w14:textId="77777777" w:rsidTr="001854AD">
        <w:tc>
          <w:tcPr>
            <w:tcW w:w="0" w:type="auto"/>
            <w:tcMar>
              <w:top w:w="150" w:type="dxa"/>
              <w:left w:w="150" w:type="dxa"/>
              <w:bottom w:w="150" w:type="dxa"/>
              <w:right w:w="150" w:type="dxa"/>
            </w:tcMar>
            <w:vAlign w:val="bottom"/>
            <w:hideMark/>
          </w:tcPr>
          <w:p w14:paraId="6BCCD2A5"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lastRenderedPageBreak/>
              <w:t>COMID</w:t>
            </w:r>
          </w:p>
        </w:tc>
        <w:tc>
          <w:tcPr>
            <w:tcW w:w="0" w:type="auto"/>
            <w:tcMar>
              <w:top w:w="150" w:type="dxa"/>
              <w:left w:w="150" w:type="dxa"/>
              <w:bottom w:w="150" w:type="dxa"/>
              <w:right w:w="150" w:type="dxa"/>
            </w:tcMar>
            <w:vAlign w:val="bottom"/>
            <w:hideMark/>
          </w:tcPr>
          <w:p w14:paraId="2BB9FA54"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8.5</w:t>
            </w:r>
          </w:p>
        </w:tc>
        <w:tc>
          <w:tcPr>
            <w:tcW w:w="0" w:type="auto"/>
            <w:tcMar>
              <w:top w:w="150" w:type="dxa"/>
              <w:left w:w="150" w:type="dxa"/>
              <w:bottom w:w="150" w:type="dxa"/>
              <w:right w:w="150" w:type="dxa"/>
            </w:tcMar>
            <w:vAlign w:val="bottom"/>
            <w:hideMark/>
          </w:tcPr>
          <w:p w14:paraId="18C5420F"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–28*</w:t>
            </w:r>
          </w:p>
        </w:tc>
        <w:tc>
          <w:tcPr>
            <w:tcW w:w="0" w:type="auto"/>
            <w:tcMar>
              <w:top w:w="150" w:type="dxa"/>
              <w:left w:w="150" w:type="dxa"/>
              <w:bottom w:w="150" w:type="dxa"/>
              <w:right w:w="150" w:type="dxa"/>
            </w:tcMar>
            <w:vAlign w:val="bottom"/>
            <w:hideMark/>
          </w:tcPr>
          <w:p w14:paraId="6283EF3F"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–1</w:t>
            </w:r>
          </w:p>
        </w:tc>
        <w:tc>
          <w:tcPr>
            <w:tcW w:w="0" w:type="auto"/>
            <w:tcMar>
              <w:top w:w="150" w:type="dxa"/>
              <w:left w:w="150" w:type="dxa"/>
              <w:bottom w:w="150" w:type="dxa"/>
              <w:right w:w="150" w:type="dxa"/>
            </w:tcMar>
            <w:vAlign w:val="bottom"/>
            <w:hideMark/>
          </w:tcPr>
          <w:p w14:paraId="7A7E2DC2" w14:textId="77777777" w:rsidR="001854AD" w:rsidRPr="001854AD" w:rsidRDefault="001854AD" w:rsidP="001854AD">
            <w:pPr>
              <w:jc w:val="center"/>
              <w:rPr>
                <w:rFonts w:eastAsia="Times New Roman" w:cs="Segoe UI"/>
                <w:spacing w:val="8"/>
                <w:sz w:val="22"/>
                <w:szCs w:val="22"/>
                <w:lang w:eastAsia="en-GB"/>
              </w:rPr>
            </w:pPr>
            <w:r w:rsidRPr="001854AD">
              <w:rPr>
                <w:rFonts w:eastAsia="Times New Roman" w:cs="Segoe UI"/>
                <w:spacing w:val="8"/>
                <w:sz w:val="22"/>
                <w:szCs w:val="22"/>
                <w:lang w:eastAsia="en-GB"/>
              </w:rPr>
              <w:t>10</w:t>
            </w:r>
          </w:p>
        </w:tc>
      </w:tr>
    </w:tbl>
    <w:p w14:paraId="3AA5D000" w14:textId="77777777" w:rsidR="001854AD" w:rsidRPr="001854AD" w:rsidRDefault="001854AD" w:rsidP="001854AD"/>
    <w:p w14:paraId="7E86267F" w14:textId="77777777" w:rsidR="001854AD" w:rsidRPr="001854AD" w:rsidRDefault="001854AD" w:rsidP="001854AD"/>
    <w:p w14:paraId="1535BA25" w14:textId="03FBA47D" w:rsidR="001854AD" w:rsidRPr="001854AD" w:rsidRDefault="001854AD" w:rsidP="001854AD">
      <w:r w:rsidRPr="001854AD">
        <w:t>Discussion</w:t>
      </w:r>
    </w:p>
    <w:p w14:paraId="14B8A229" w14:textId="4932CCCC" w:rsidR="001854AD" w:rsidRPr="001854AD" w:rsidRDefault="001854AD" w:rsidP="001854AD">
      <w:pPr>
        <w:jc w:val="both"/>
      </w:pPr>
      <w:r w:rsidRPr="001854AD">
        <w:t xml:space="preserve">The dominance of the internal-control tenet validates Corporate-Governance Tenet Theory’s proposition that culture trumps capital. The insignificance of the risk-management tenet corroborates Barth, Lin, Ma, </w:t>
      </w:r>
      <w:proofErr w:type="spellStart"/>
      <w:r w:rsidRPr="001854AD">
        <w:t>Seade</w:t>
      </w:r>
      <w:proofErr w:type="spellEnd"/>
      <w:r w:rsidRPr="001854AD">
        <w:t>, and Song (2013) who find that governed capital rather than capital level influences risk outcomes. The post-2015 significance of the transparency tenet evidences the enforceability channel: mandatory disclosure converts transparency from a cheap-talk signal into a disciplinary mechanism. The persistent insignificance of the compliance tenet suggests that current compliance metrics capture box-ticking rather than behavioural compliance.</w:t>
      </w:r>
    </w:p>
    <w:p w14:paraId="182C5467" w14:textId="77777777" w:rsidR="001854AD" w:rsidRPr="001854AD" w:rsidRDefault="001854AD" w:rsidP="001854AD"/>
    <w:p w14:paraId="6BF23153" w14:textId="77777777" w:rsidR="001854AD" w:rsidRPr="001854AD" w:rsidRDefault="001854AD" w:rsidP="001854AD">
      <w:pPr>
        <w:jc w:val="both"/>
      </w:pPr>
      <w:r w:rsidRPr="001854AD">
        <w:t>Policy implications centre on embedding operational-efficiency benchmarks into Pillar-2 supervisory guidance, hard-wiring disclosure items into legally enforceable rules, and replacing mechanical compliance scores with conduct-weighted governance metrics. Boards should link executive remuneration to sustained improvements in internal-control culture and transparency rather than to short-term return-on-equity.</w:t>
      </w:r>
    </w:p>
    <w:p w14:paraId="01D02369" w14:textId="77777777" w:rsidR="001854AD" w:rsidRPr="001854AD" w:rsidRDefault="001854AD" w:rsidP="001854AD"/>
    <w:p w14:paraId="455B21A2" w14:textId="66811A05" w:rsidR="001854AD" w:rsidRPr="001854AD" w:rsidRDefault="001854AD" w:rsidP="001854AD">
      <w:r w:rsidRPr="001854AD">
        <w:t>Conclusion</w:t>
      </w:r>
    </w:p>
    <w:p w14:paraId="4CC7F563" w14:textId="77777777" w:rsidR="001854AD" w:rsidRPr="001854AD" w:rsidRDefault="001854AD" w:rsidP="001854AD"/>
    <w:p w14:paraId="54260DA8" w14:textId="117B9320" w:rsidR="001854AD" w:rsidRPr="001854AD" w:rsidRDefault="001854AD" w:rsidP="001854AD">
      <w:pPr>
        <w:jc w:val="both"/>
      </w:pPr>
      <w:r w:rsidRPr="001854AD">
        <w:t>Fifteen years of panel evidence from Nigeria’s systemically important banks demonstrates that behavioural governance tenets significantly reduce non-performing-loan ratios. Internal-control culture delivers the largest marginal payoff, while transparency becomes effective only under mandatory disclosure regimes. Capital adequacy and mechanical compliance exhibit no standalone credit-risk benefits once governance quality is controlled. The findings redirect emerging-market supervisory focus from quantitative capital thresholds to qualitative governance culture, offering an evaluable blueprint for future governance-code refinements.</w:t>
      </w:r>
    </w:p>
    <w:p w14:paraId="432BCAFC" w14:textId="77777777" w:rsidR="001854AD" w:rsidRPr="001854AD" w:rsidRDefault="001854AD" w:rsidP="001854AD"/>
    <w:p w14:paraId="03312643" w14:textId="2E1DAABC" w:rsidR="001854AD" w:rsidRPr="001854AD" w:rsidRDefault="001854AD" w:rsidP="001854AD">
      <w:r w:rsidRPr="001854AD">
        <w:t>References</w:t>
      </w:r>
    </w:p>
    <w:p w14:paraId="45360CAA" w14:textId="77777777" w:rsidR="001854AD" w:rsidRPr="001854AD" w:rsidRDefault="001854AD" w:rsidP="001854AD"/>
    <w:p w14:paraId="5329B203" w14:textId="77777777" w:rsidR="001854AD" w:rsidRPr="001854AD" w:rsidRDefault="001854AD" w:rsidP="001854AD">
      <w:pPr>
        <w:jc w:val="both"/>
      </w:pPr>
      <w:r w:rsidRPr="001854AD">
        <w:t>Adams, R., &amp; Mehran, H. (2003). Is corporate governance different for bank holding companies? Economic Policy Review, 9(1), 123-142.</w:t>
      </w:r>
    </w:p>
    <w:p w14:paraId="019EFBBA" w14:textId="77777777" w:rsidR="001854AD" w:rsidRPr="001854AD" w:rsidRDefault="001854AD" w:rsidP="001854AD">
      <w:pPr>
        <w:jc w:val="both"/>
      </w:pPr>
      <w:r w:rsidRPr="001854AD">
        <w:t>Aggarwal, R., &amp; Jacques, K. (2001). The impact of FDICIA and prompt corrective action on bank capital and risk: Estimates using a simultaneous equations model. Journal of Banking &amp; Finance, 25(6), 1139-1160.</w:t>
      </w:r>
    </w:p>
    <w:p w14:paraId="4B2BD1DB" w14:textId="77777777" w:rsidR="001854AD" w:rsidRPr="001854AD" w:rsidRDefault="001854AD" w:rsidP="001854AD">
      <w:pPr>
        <w:jc w:val="both"/>
      </w:pPr>
      <w:r w:rsidRPr="001854AD">
        <w:t>Arellano, M. (1987). Computing robust standard errors for within-groups estimators. Oxford Bulletin of Economics and Statistics, 49(4), 431-434.</w:t>
      </w:r>
    </w:p>
    <w:p w14:paraId="6B1E9CBE" w14:textId="77777777" w:rsidR="001854AD" w:rsidRPr="001854AD" w:rsidRDefault="001854AD" w:rsidP="001854AD">
      <w:pPr>
        <w:jc w:val="both"/>
      </w:pPr>
      <w:r w:rsidRPr="001854AD">
        <w:t>Barry, T., Lepetit, L., &amp; Tarazi, A. (2011). Ownership structure and risk in publicly held and privately owned banks. Journal of Banking &amp; Finance, 35(5), 1327-1340.</w:t>
      </w:r>
    </w:p>
    <w:p w14:paraId="107016B1" w14:textId="77777777" w:rsidR="001854AD" w:rsidRPr="001854AD" w:rsidRDefault="001854AD" w:rsidP="001854AD">
      <w:pPr>
        <w:jc w:val="both"/>
      </w:pPr>
      <w:r w:rsidRPr="001854AD">
        <w:lastRenderedPageBreak/>
        <w:t xml:space="preserve">Barth, J., Lin, C., Ma, Y., </w:t>
      </w:r>
      <w:proofErr w:type="spellStart"/>
      <w:r w:rsidRPr="001854AD">
        <w:t>Seade</w:t>
      </w:r>
      <w:proofErr w:type="spellEnd"/>
      <w:r w:rsidRPr="001854AD">
        <w:t>, J., &amp; Song, F. (2013). Do bank regulation, supervision and monitoring enhance or impede bank efficiency? Journal of Banking &amp; Finance, 37(8), 2879-2892.</w:t>
      </w:r>
    </w:p>
    <w:p w14:paraId="37234CE8" w14:textId="77777777" w:rsidR="001854AD" w:rsidRPr="001854AD" w:rsidRDefault="001854AD" w:rsidP="001854AD">
      <w:pPr>
        <w:jc w:val="both"/>
      </w:pPr>
      <w:r w:rsidRPr="001854AD">
        <w:t>Basel Committee on Banking Supervision. (2015). Corporate governance principles for banks. Bank for International Settlements.</w:t>
      </w:r>
    </w:p>
    <w:p w14:paraId="604A3A7E" w14:textId="77777777" w:rsidR="001854AD" w:rsidRPr="001854AD" w:rsidRDefault="001854AD" w:rsidP="001854AD">
      <w:pPr>
        <w:jc w:val="both"/>
      </w:pPr>
      <w:r w:rsidRPr="001854AD">
        <w:t>Berger, A., &amp; DeYoung, R. (1997). Problem loans and cost efficiency in commercial banks. Journal of Banking &amp; Finance, 21(6), 849-870.</w:t>
      </w:r>
    </w:p>
    <w:p w14:paraId="1AB2E84A" w14:textId="77777777" w:rsidR="001854AD" w:rsidRPr="001854AD" w:rsidRDefault="001854AD" w:rsidP="001854AD">
      <w:pPr>
        <w:jc w:val="both"/>
      </w:pPr>
      <w:r w:rsidRPr="001854AD">
        <w:t>Bhaskar, R. (2013). A realist theory of science. Routledge.</w:t>
      </w:r>
    </w:p>
    <w:p w14:paraId="5C8623AA" w14:textId="77777777" w:rsidR="001854AD" w:rsidRPr="001854AD" w:rsidRDefault="001854AD" w:rsidP="001854AD">
      <w:pPr>
        <w:jc w:val="both"/>
      </w:pPr>
      <w:r w:rsidRPr="001854AD">
        <w:t>Central Bank of Nigeria. (2012). Post-mortem of the 2009 banking crisis. Abuja: CBN.</w:t>
      </w:r>
    </w:p>
    <w:p w14:paraId="21132739" w14:textId="77777777" w:rsidR="001854AD" w:rsidRPr="001854AD" w:rsidRDefault="001854AD" w:rsidP="001854AD">
      <w:pPr>
        <w:jc w:val="both"/>
      </w:pPr>
      <w:r w:rsidRPr="001854AD">
        <w:t>COSO. (2013). Internal control—integrated framework. Committee of Sponsoring Organizations.</w:t>
      </w:r>
    </w:p>
    <w:p w14:paraId="76D46FD9" w14:textId="77777777" w:rsidR="001854AD" w:rsidRPr="001854AD" w:rsidRDefault="001854AD" w:rsidP="001854AD">
      <w:pPr>
        <w:jc w:val="both"/>
      </w:pPr>
      <w:r w:rsidRPr="001854AD">
        <w:t>Donaldson, L., &amp; Davis, J. (1991). Stewardship theory or agency theory: CEO governance and shareholder returns. Australian Journal of Management, 16(1), 49-64.</w:t>
      </w:r>
    </w:p>
    <w:p w14:paraId="4ED3D63C" w14:textId="77777777" w:rsidR="001854AD" w:rsidRPr="001854AD" w:rsidRDefault="001854AD" w:rsidP="001854AD">
      <w:pPr>
        <w:jc w:val="both"/>
      </w:pPr>
      <w:r w:rsidRPr="001854AD">
        <w:t xml:space="preserve">Hausman, J. (1978). Specification tests in econometrics. </w:t>
      </w:r>
      <w:proofErr w:type="spellStart"/>
      <w:r w:rsidRPr="001854AD">
        <w:t>Econometrica</w:t>
      </w:r>
      <w:proofErr w:type="spellEnd"/>
      <w:r w:rsidRPr="001854AD">
        <w:t>, 46(6), 1251-1271.</w:t>
      </w:r>
    </w:p>
    <w:p w14:paraId="2FCEA61F" w14:textId="77777777" w:rsidR="001854AD" w:rsidRPr="001854AD" w:rsidRDefault="001854AD" w:rsidP="001854AD">
      <w:pPr>
        <w:jc w:val="both"/>
      </w:pPr>
      <w:r w:rsidRPr="001854AD">
        <w:t xml:space="preserve">Jensen, M., &amp; Meckling, W. (1976). Theory of the firm: Managerial </w:t>
      </w:r>
      <w:proofErr w:type="spellStart"/>
      <w:r w:rsidRPr="001854AD">
        <w:t>behavior</w:t>
      </w:r>
      <w:proofErr w:type="spellEnd"/>
      <w:r w:rsidRPr="001854AD">
        <w:t>, agency costs and ownership structure. Journal of Financial Economics, 3(4), 305-360.</w:t>
      </w:r>
    </w:p>
    <w:p w14:paraId="25C7C370" w14:textId="77777777" w:rsidR="001854AD" w:rsidRPr="001854AD" w:rsidRDefault="001854AD" w:rsidP="001854AD">
      <w:pPr>
        <w:jc w:val="both"/>
      </w:pPr>
      <w:r w:rsidRPr="001854AD">
        <w:t xml:space="preserve">La Porta, R., Lopez-de-Silanes, F., Shleifer, A., &amp; </w:t>
      </w:r>
      <w:proofErr w:type="spellStart"/>
      <w:r w:rsidRPr="001854AD">
        <w:t>Vishny</w:t>
      </w:r>
      <w:proofErr w:type="spellEnd"/>
      <w:r w:rsidRPr="001854AD">
        <w:t>, R. (1998). Law and finance. Journal of Political Economy, 106(6), 1113-1155.</w:t>
      </w:r>
    </w:p>
    <w:p w14:paraId="7BA160CC" w14:textId="77777777" w:rsidR="001854AD" w:rsidRPr="001854AD" w:rsidRDefault="001854AD" w:rsidP="001854AD">
      <w:pPr>
        <w:jc w:val="both"/>
      </w:pPr>
      <w:proofErr w:type="spellStart"/>
      <w:r w:rsidRPr="001854AD">
        <w:t>Masciandaro</w:t>
      </w:r>
      <w:proofErr w:type="spellEnd"/>
      <w:r w:rsidRPr="001854AD">
        <w:t>, D., &amp; Quintyn, M. (2013). The governance of banking supervision. Journal of Financial Regulation and Compliance, 21(3), 230-250.</w:t>
      </w:r>
    </w:p>
    <w:p w14:paraId="790B6C64" w14:textId="77777777" w:rsidR="001854AD" w:rsidRPr="001854AD" w:rsidRDefault="001854AD" w:rsidP="001854AD">
      <w:pPr>
        <w:jc w:val="both"/>
      </w:pPr>
      <w:r w:rsidRPr="001854AD">
        <w:t>OECD. (2015). G20/OECD principles of corporate governance. Paris: OECD.</w:t>
      </w:r>
    </w:p>
    <w:p w14:paraId="464A22F3" w14:textId="77777777" w:rsidR="001854AD" w:rsidRPr="001854AD" w:rsidRDefault="001854AD" w:rsidP="001854AD">
      <w:pPr>
        <w:jc w:val="both"/>
      </w:pPr>
      <w:r w:rsidRPr="001854AD">
        <w:t xml:space="preserve">Patel, S., Balic, A., &amp; </w:t>
      </w:r>
      <w:proofErr w:type="spellStart"/>
      <w:r w:rsidRPr="001854AD">
        <w:t>Bwakira</w:t>
      </w:r>
      <w:proofErr w:type="spellEnd"/>
      <w:r w:rsidRPr="001854AD">
        <w:t>, L. (2002). Measuring transparency and disclosure at firm-level in emerging markets. Emerging Markets Review, 3(4), 325-337.</w:t>
      </w:r>
    </w:p>
    <w:p w14:paraId="252BB067" w14:textId="77777777" w:rsidR="001854AD" w:rsidRPr="001854AD" w:rsidRDefault="001854AD" w:rsidP="001854AD">
      <w:pPr>
        <w:jc w:val="both"/>
      </w:pPr>
      <w:r w:rsidRPr="001854AD">
        <w:t xml:space="preserve">Salas, V., &amp; </w:t>
      </w:r>
      <w:proofErr w:type="spellStart"/>
      <w:r w:rsidRPr="001854AD">
        <w:t>Saurina</w:t>
      </w:r>
      <w:proofErr w:type="spellEnd"/>
      <w:r w:rsidRPr="001854AD">
        <w:t>, J. (2002). Credit risk in two institutional regimes: Spanish commercial and savings banks. Journal of Financial Services Research, 22(3), 203-224.</w:t>
      </w:r>
    </w:p>
    <w:p w14:paraId="181B1704" w14:textId="77777777" w:rsidR="001854AD" w:rsidRPr="001854AD" w:rsidRDefault="001854AD" w:rsidP="001854AD">
      <w:pPr>
        <w:jc w:val="both"/>
      </w:pPr>
      <w:r w:rsidRPr="001854AD">
        <w:t xml:space="preserve">Sanusi, L. (2010). The Nigerian banking industry: What went wrong and the way forward. Convocation Lecture, </w:t>
      </w:r>
      <w:proofErr w:type="spellStart"/>
      <w:r w:rsidRPr="001854AD">
        <w:t>Bayero</w:t>
      </w:r>
      <w:proofErr w:type="spellEnd"/>
      <w:r w:rsidRPr="001854AD">
        <w:t xml:space="preserve"> University.</w:t>
      </w:r>
    </w:p>
    <w:p w14:paraId="624EC5C0" w14:textId="77777777" w:rsidR="001854AD" w:rsidRPr="001854AD" w:rsidRDefault="001854AD" w:rsidP="001854AD">
      <w:pPr>
        <w:jc w:val="both"/>
      </w:pPr>
      <w:r w:rsidRPr="001854AD">
        <w:t xml:space="preserve">Shleifer, A., &amp; </w:t>
      </w:r>
      <w:proofErr w:type="spellStart"/>
      <w:r w:rsidRPr="001854AD">
        <w:t>Vishny</w:t>
      </w:r>
      <w:proofErr w:type="spellEnd"/>
      <w:r w:rsidRPr="001854AD">
        <w:t>, R. (1997). A survey of corporate governance. Journal of Finance, 52(2), 737-783.</w:t>
      </w:r>
    </w:p>
    <w:p w14:paraId="5C457FE3" w14:textId="030533AA" w:rsidR="001854AD" w:rsidRPr="001854AD" w:rsidRDefault="001854AD" w:rsidP="001854AD">
      <w:pPr>
        <w:jc w:val="both"/>
      </w:pPr>
      <w:r w:rsidRPr="001854AD">
        <w:t>World Bank. (2024). World development indicators. Washington, DC: World Bank.</w:t>
      </w:r>
    </w:p>
    <w:sectPr w:rsidR="001854AD" w:rsidRPr="001854AD" w:rsidSect="002E5C9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7C79"/>
    <w:multiLevelType w:val="multilevel"/>
    <w:tmpl w:val="FA7E54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E3C1F"/>
    <w:multiLevelType w:val="multilevel"/>
    <w:tmpl w:val="8598A74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E931DA2"/>
    <w:multiLevelType w:val="hybridMultilevel"/>
    <w:tmpl w:val="8F4E0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92966"/>
    <w:multiLevelType w:val="hybridMultilevel"/>
    <w:tmpl w:val="81E82610"/>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67594C"/>
    <w:multiLevelType w:val="multilevel"/>
    <w:tmpl w:val="21B2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20222"/>
    <w:multiLevelType w:val="hybridMultilevel"/>
    <w:tmpl w:val="82E28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4326306">
    <w:abstractNumId w:val="4"/>
  </w:num>
  <w:num w:numId="2" w16cid:durableId="1720743077">
    <w:abstractNumId w:val="5"/>
  </w:num>
  <w:num w:numId="3" w16cid:durableId="747383781">
    <w:abstractNumId w:val="1"/>
  </w:num>
  <w:num w:numId="4" w16cid:durableId="527180136">
    <w:abstractNumId w:val="3"/>
  </w:num>
  <w:num w:numId="5" w16cid:durableId="272981442">
    <w:abstractNumId w:val="0"/>
  </w:num>
  <w:num w:numId="6" w16cid:durableId="1620065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AD"/>
    <w:rsid w:val="001854AD"/>
    <w:rsid w:val="002E5C90"/>
    <w:rsid w:val="00501BE1"/>
    <w:rsid w:val="00804795"/>
    <w:rsid w:val="00A42576"/>
    <w:rsid w:val="00B25A96"/>
    <w:rsid w:val="00B62A8D"/>
    <w:rsid w:val="00CE4201"/>
    <w:rsid w:val="00CF64E6"/>
    <w:rsid w:val="00E926ED"/>
    <w:rsid w:val="00EC0F75"/>
    <w:rsid w:val="00F15275"/>
    <w:rsid w:val="00FB3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824E17"/>
  <w15:chartTrackingRefBased/>
  <w15:docId w15:val="{5A4495EA-F8DB-754C-A756-391C4F89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4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4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4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4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4AD"/>
    <w:rPr>
      <w:rFonts w:eastAsiaTheme="majorEastAsia" w:cstheme="majorBidi"/>
      <w:color w:val="272727" w:themeColor="text1" w:themeTint="D8"/>
    </w:rPr>
  </w:style>
  <w:style w:type="paragraph" w:styleId="Title">
    <w:name w:val="Title"/>
    <w:basedOn w:val="Normal"/>
    <w:next w:val="Normal"/>
    <w:link w:val="TitleChar"/>
    <w:uiPriority w:val="10"/>
    <w:qFormat/>
    <w:rsid w:val="001854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4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4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54AD"/>
    <w:rPr>
      <w:i/>
      <w:iCs/>
      <w:color w:val="404040" w:themeColor="text1" w:themeTint="BF"/>
    </w:rPr>
  </w:style>
  <w:style w:type="paragraph" w:styleId="ListParagraph">
    <w:name w:val="List Paragraph"/>
    <w:basedOn w:val="Normal"/>
    <w:uiPriority w:val="34"/>
    <w:qFormat/>
    <w:rsid w:val="001854AD"/>
    <w:pPr>
      <w:ind w:left="720"/>
      <w:contextualSpacing/>
    </w:pPr>
  </w:style>
  <w:style w:type="character" w:styleId="IntenseEmphasis">
    <w:name w:val="Intense Emphasis"/>
    <w:basedOn w:val="DefaultParagraphFont"/>
    <w:uiPriority w:val="21"/>
    <w:qFormat/>
    <w:rsid w:val="001854AD"/>
    <w:rPr>
      <w:i/>
      <w:iCs/>
      <w:color w:val="0F4761" w:themeColor="accent1" w:themeShade="BF"/>
    </w:rPr>
  </w:style>
  <w:style w:type="paragraph" w:styleId="IntenseQuote">
    <w:name w:val="Intense Quote"/>
    <w:basedOn w:val="Normal"/>
    <w:next w:val="Normal"/>
    <w:link w:val="IntenseQuoteChar"/>
    <w:uiPriority w:val="30"/>
    <w:qFormat/>
    <w:rsid w:val="00185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4AD"/>
    <w:rPr>
      <w:i/>
      <w:iCs/>
      <w:color w:val="0F4761" w:themeColor="accent1" w:themeShade="BF"/>
    </w:rPr>
  </w:style>
  <w:style w:type="character" w:styleId="IntenseReference">
    <w:name w:val="Intense Reference"/>
    <w:basedOn w:val="DefaultParagraphFont"/>
    <w:uiPriority w:val="32"/>
    <w:qFormat/>
    <w:rsid w:val="001854AD"/>
    <w:rPr>
      <w:b/>
      <w:bCs/>
      <w:smallCaps/>
      <w:color w:val="0F4761" w:themeColor="accent1" w:themeShade="BF"/>
      <w:spacing w:val="5"/>
    </w:rPr>
  </w:style>
  <w:style w:type="character" w:customStyle="1" w:styleId="vlist">
    <w:name w:val="vlist"/>
    <w:basedOn w:val="DefaultParagraphFont"/>
    <w:rsid w:val="001854AD"/>
  </w:style>
  <w:style w:type="character" w:customStyle="1" w:styleId="mord">
    <w:name w:val="mord"/>
    <w:basedOn w:val="DefaultParagraphFont"/>
    <w:rsid w:val="001854AD"/>
  </w:style>
  <w:style w:type="character" w:customStyle="1" w:styleId="vlist-s">
    <w:name w:val="vlist-s"/>
    <w:basedOn w:val="DefaultParagraphFont"/>
    <w:rsid w:val="001854AD"/>
  </w:style>
  <w:style w:type="character" w:customStyle="1" w:styleId="mrel">
    <w:name w:val="mrel"/>
    <w:basedOn w:val="DefaultParagraphFont"/>
    <w:rsid w:val="001854AD"/>
  </w:style>
  <w:style w:type="character" w:customStyle="1" w:styleId="mbin">
    <w:name w:val="mbin"/>
    <w:basedOn w:val="DefaultParagraphFont"/>
    <w:rsid w:val="001854AD"/>
  </w:style>
  <w:style w:type="character" w:customStyle="1" w:styleId="mpunct">
    <w:name w:val="mpunct"/>
    <w:basedOn w:val="DefaultParagraphFont"/>
    <w:rsid w:val="001854AD"/>
  </w:style>
  <w:style w:type="character" w:customStyle="1" w:styleId="minner">
    <w:name w:val="minner"/>
    <w:basedOn w:val="DefaultParagraphFont"/>
    <w:rsid w:val="001854AD"/>
  </w:style>
  <w:style w:type="character" w:customStyle="1" w:styleId="normaltextrun">
    <w:name w:val="normaltextrun"/>
    <w:basedOn w:val="DefaultParagraphFont"/>
    <w:rsid w:val="00185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72199">
      <w:bodyDiv w:val="1"/>
      <w:marLeft w:val="0"/>
      <w:marRight w:val="0"/>
      <w:marTop w:val="0"/>
      <w:marBottom w:val="0"/>
      <w:divBdr>
        <w:top w:val="none" w:sz="0" w:space="0" w:color="auto"/>
        <w:left w:val="none" w:sz="0" w:space="0" w:color="auto"/>
        <w:bottom w:val="none" w:sz="0" w:space="0" w:color="auto"/>
        <w:right w:val="none" w:sz="0" w:space="0" w:color="auto"/>
      </w:divBdr>
    </w:div>
    <w:div w:id="283586719">
      <w:bodyDiv w:val="1"/>
      <w:marLeft w:val="0"/>
      <w:marRight w:val="0"/>
      <w:marTop w:val="0"/>
      <w:marBottom w:val="0"/>
      <w:divBdr>
        <w:top w:val="none" w:sz="0" w:space="0" w:color="auto"/>
        <w:left w:val="none" w:sz="0" w:space="0" w:color="auto"/>
        <w:bottom w:val="none" w:sz="0" w:space="0" w:color="auto"/>
        <w:right w:val="none" w:sz="0" w:space="0" w:color="auto"/>
      </w:divBdr>
    </w:div>
    <w:div w:id="351994792">
      <w:bodyDiv w:val="1"/>
      <w:marLeft w:val="0"/>
      <w:marRight w:val="0"/>
      <w:marTop w:val="0"/>
      <w:marBottom w:val="0"/>
      <w:divBdr>
        <w:top w:val="none" w:sz="0" w:space="0" w:color="auto"/>
        <w:left w:val="none" w:sz="0" w:space="0" w:color="auto"/>
        <w:bottom w:val="none" w:sz="0" w:space="0" w:color="auto"/>
        <w:right w:val="none" w:sz="0" w:space="0" w:color="auto"/>
      </w:divBdr>
    </w:div>
    <w:div w:id="382874216">
      <w:bodyDiv w:val="1"/>
      <w:marLeft w:val="0"/>
      <w:marRight w:val="0"/>
      <w:marTop w:val="0"/>
      <w:marBottom w:val="0"/>
      <w:divBdr>
        <w:top w:val="none" w:sz="0" w:space="0" w:color="auto"/>
        <w:left w:val="none" w:sz="0" w:space="0" w:color="auto"/>
        <w:bottom w:val="none" w:sz="0" w:space="0" w:color="auto"/>
        <w:right w:val="none" w:sz="0" w:space="0" w:color="auto"/>
      </w:divBdr>
      <w:divsChild>
        <w:div w:id="861430847">
          <w:marLeft w:val="0"/>
          <w:marRight w:val="0"/>
          <w:marTop w:val="0"/>
          <w:marBottom w:val="240"/>
          <w:divBdr>
            <w:top w:val="none" w:sz="0" w:space="0" w:color="auto"/>
            <w:left w:val="none" w:sz="0" w:space="0" w:color="auto"/>
            <w:bottom w:val="none" w:sz="0" w:space="0" w:color="auto"/>
            <w:right w:val="none" w:sz="0" w:space="0" w:color="auto"/>
          </w:divBdr>
        </w:div>
        <w:div w:id="1705445107">
          <w:marLeft w:val="0"/>
          <w:marRight w:val="0"/>
          <w:marTop w:val="0"/>
          <w:marBottom w:val="240"/>
          <w:divBdr>
            <w:top w:val="none" w:sz="0" w:space="0" w:color="auto"/>
            <w:left w:val="none" w:sz="0" w:space="0" w:color="auto"/>
            <w:bottom w:val="none" w:sz="0" w:space="0" w:color="auto"/>
            <w:right w:val="none" w:sz="0" w:space="0" w:color="auto"/>
          </w:divBdr>
        </w:div>
      </w:divsChild>
    </w:div>
    <w:div w:id="495926640">
      <w:bodyDiv w:val="1"/>
      <w:marLeft w:val="0"/>
      <w:marRight w:val="0"/>
      <w:marTop w:val="0"/>
      <w:marBottom w:val="0"/>
      <w:divBdr>
        <w:top w:val="none" w:sz="0" w:space="0" w:color="auto"/>
        <w:left w:val="none" w:sz="0" w:space="0" w:color="auto"/>
        <w:bottom w:val="none" w:sz="0" w:space="0" w:color="auto"/>
        <w:right w:val="none" w:sz="0" w:space="0" w:color="auto"/>
      </w:divBdr>
      <w:divsChild>
        <w:div w:id="1728991900">
          <w:marLeft w:val="0"/>
          <w:marRight w:val="0"/>
          <w:marTop w:val="0"/>
          <w:marBottom w:val="240"/>
          <w:divBdr>
            <w:top w:val="none" w:sz="0" w:space="0" w:color="auto"/>
            <w:left w:val="none" w:sz="0" w:space="0" w:color="auto"/>
            <w:bottom w:val="none" w:sz="0" w:space="0" w:color="auto"/>
            <w:right w:val="none" w:sz="0" w:space="0" w:color="auto"/>
          </w:divBdr>
        </w:div>
        <w:div w:id="1197962741">
          <w:marLeft w:val="0"/>
          <w:marRight w:val="0"/>
          <w:marTop w:val="0"/>
          <w:marBottom w:val="240"/>
          <w:divBdr>
            <w:top w:val="none" w:sz="0" w:space="0" w:color="auto"/>
            <w:left w:val="none" w:sz="0" w:space="0" w:color="auto"/>
            <w:bottom w:val="none" w:sz="0" w:space="0" w:color="auto"/>
            <w:right w:val="none" w:sz="0" w:space="0" w:color="auto"/>
          </w:divBdr>
        </w:div>
        <w:div w:id="1617446626">
          <w:marLeft w:val="0"/>
          <w:marRight w:val="0"/>
          <w:marTop w:val="0"/>
          <w:marBottom w:val="240"/>
          <w:divBdr>
            <w:top w:val="none" w:sz="0" w:space="0" w:color="auto"/>
            <w:left w:val="none" w:sz="0" w:space="0" w:color="auto"/>
            <w:bottom w:val="none" w:sz="0" w:space="0" w:color="auto"/>
            <w:right w:val="none" w:sz="0" w:space="0" w:color="auto"/>
          </w:divBdr>
        </w:div>
      </w:divsChild>
    </w:div>
    <w:div w:id="776481874">
      <w:bodyDiv w:val="1"/>
      <w:marLeft w:val="0"/>
      <w:marRight w:val="0"/>
      <w:marTop w:val="0"/>
      <w:marBottom w:val="0"/>
      <w:divBdr>
        <w:top w:val="none" w:sz="0" w:space="0" w:color="auto"/>
        <w:left w:val="none" w:sz="0" w:space="0" w:color="auto"/>
        <w:bottom w:val="none" w:sz="0" w:space="0" w:color="auto"/>
        <w:right w:val="none" w:sz="0" w:space="0" w:color="auto"/>
      </w:divBdr>
      <w:divsChild>
        <w:div w:id="61611481">
          <w:marLeft w:val="0"/>
          <w:marRight w:val="0"/>
          <w:marTop w:val="0"/>
          <w:marBottom w:val="240"/>
          <w:divBdr>
            <w:top w:val="none" w:sz="0" w:space="0" w:color="auto"/>
            <w:left w:val="none" w:sz="0" w:space="0" w:color="auto"/>
            <w:bottom w:val="none" w:sz="0" w:space="0" w:color="auto"/>
            <w:right w:val="none" w:sz="0" w:space="0" w:color="auto"/>
          </w:divBdr>
        </w:div>
        <w:div w:id="649555884">
          <w:marLeft w:val="0"/>
          <w:marRight w:val="0"/>
          <w:marTop w:val="0"/>
          <w:marBottom w:val="240"/>
          <w:divBdr>
            <w:top w:val="none" w:sz="0" w:space="0" w:color="auto"/>
            <w:left w:val="none" w:sz="0" w:space="0" w:color="auto"/>
            <w:bottom w:val="none" w:sz="0" w:space="0" w:color="auto"/>
            <w:right w:val="none" w:sz="0" w:space="0" w:color="auto"/>
          </w:divBdr>
        </w:div>
      </w:divsChild>
    </w:div>
    <w:div w:id="854925832">
      <w:bodyDiv w:val="1"/>
      <w:marLeft w:val="0"/>
      <w:marRight w:val="0"/>
      <w:marTop w:val="0"/>
      <w:marBottom w:val="0"/>
      <w:divBdr>
        <w:top w:val="none" w:sz="0" w:space="0" w:color="auto"/>
        <w:left w:val="none" w:sz="0" w:space="0" w:color="auto"/>
        <w:bottom w:val="none" w:sz="0" w:space="0" w:color="auto"/>
        <w:right w:val="none" w:sz="0" w:space="0" w:color="auto"/>
      </w:divBdr>
      <w:divsChild>
        <w:div w:id="1664091796">
          <w:marLeft w:val="0"/>
          <w:marRight w:val="0"/>
          <w:marTop w:val="0"/>
          <w:marBottom w:val="240"/>
          <w:divBdr>
            <w:top w:val="none" w:sz="0" w:space="0" w:color="auto"/>
            <w:left w:val="none" w:sz="0" w:space="0" w:color="auto"/>
            <w:bottom w:val="none" w:sz="0" w:space="0" w:color="auto"/>
            <w:right w:val="none" w:sz="0" w:space="0" w:color="auto"/>
          </w:divBdr>
        </w:div>
        <w:div w:id="1978601642">
          <w:marLeft w:val="0"/>
          <w:marRight w:val="0"/>
          <w:marTop w:val="0"/>
          <w:marBottom w:val="240"/>
          <w:divBdr>
            <w:top w:val="none" w:sz="0" w:space="0" w:color="auto"/>
            <w:left w:val="none" w:sz="0" w:space="0" w:color="auto"/>
            <w:bottom w:val="none" w:sz="0" w:space="0" w:color="auto"/>
            <w:right w:val="none" w:sz="0" w:space="0" w:color="auto"/>
          </w:divBdr>
        </w:div>
        <w:div w:id="1660766758">
          <w:marLeft w:val="0"/>
          <w:marRight w:val="0"/>
          <w:marTop w:val="0"/>
          <w:marBottom w:val="240"/>
          <w:divBdr>
            <w:top w:val="none" w:sz="0" w:space="0" w:color="auto"/>
            <w:left w:val="none" w:sz="0" w:space="0" w:color="auto"/>
            <w:bottom w:val="none" w:sz="0" w:space="0" w:color="auto"/>
            <w:right w:val="none" w:sz="0" w:space="0" w:color="auto"/>
          </w:divBdr>
        </w:div>
        <w:div w:id="281695956">
          <w:marLeft w:val="0"/>
          <w:marRight w:val="0"/>
          <w:marTop w:val="0"/>
          <w:marBottom w:val="0"/>
          <w:divBdr>
            <w:top w:val="none" w:sz="0" w:space="0" w:color="auto"/>
            <w:left w:val="none" w:sz="0" w:space="0" w:color="auto"/>
            <w:bottom w:val="none" w:sz="0" w:space="0" w:color="auto"/>
            <w:right w:val="none" w:sz="0" w:space="0" w:color="auto"/>
          </w:divBdr>
        </w:div>
      </w:divsChild>
    </w:div>
    <w:div w:id="1103499991">
      <w:bodyDiv w:val="1"/>
      <w:marLeft w:val="0"/>
      <w:marRight w:val="0"/>
      <w:marTop w:val="0"/>
      <w:marBottom w:val="0"/>
      <w:divBdr>
        <w:top w:val="none" w:sz="0" w:space="0" w:color="auto"/>
        <w:left w:val="none" w:sz="0" w:space="0" w:color="auto"/>
        <w:bottom w:val="none" w:sz="0" w:space="0" w:color="auto"/>
        <w:right w:val="none" w:sz="0" w:space="0" w:color="auto"/>
      </w:divBdr>
    </w:div>
    <w:div w:id="1144933839">
      <w:bodyDiv w:val="1"/>
      <w:marLeft w:val="0"/>
      <w:marRight w:val="0"/>
      <w:marTop w:val="0"/>
      <w:marBottom w:val="0"/>
      <w:divBdr>
        <w:top w:val="none" w:sz="0" w:space="0" w:color="auto"/>
        <w:left w:val="none" w:sz="0" w:space="0" w:color="auto"/>
        <w:bottom w:val="none" w:sz="0" w:space="0" w:color="auto"/>
        <w:right w:val="none" w:sz="0" w:space="0" w:color="auto"/>
      </w:divBdr>
      <w:divsChild>
        <w:div w:id="1487086810">
          <w:marLeft w:val="0"/>
          <w:marRight w:val="0"/>
          <w:marTop w:val="0"/>
          <w:marBottom w:val="240"/>
          <w:divBdr>
            <w:top w:val="none" w:sz="0" w:space="0" w:color="auto"/>
            <w:left w:val="none" w:sz="0" w:space="0" w:color="auto"/>
            <w:bottom w:val="none" w:sz="0" w:space="0" w:color="auto"/>
            <w:right w:val="none" w:sz="0" w:space="0" w:color="auto"/>
          </w:divBdr>
        </w:div>
        <w:div w:id="1648315034">
          <w:marLeft w:val="0"/>
          <w:marRight w:val="0"/>
          <w:marTop w:val="0"/>
          <w:marBottom w:val="240"/>
          <w:divBdr>
            <w:top w:val="none" w:sz="0" w:space="0" w:color="auto"/>
            <w:left w:val="none" w:sz="0" w:space="0" w:color="auto"/>
            <w:bottom w:val="none" w:sz="0" w:space="0" w:color="auto"/>
            <w:right w:val="none" w:sz="0" w:space="0" w:color="auto"/>
          </w:divBdr>
        </w:div>
        <w:div w:id="43793697">
          <w:marLeft w:val="0"/>
          <w:marRight w:val="0"/>
          <w:marTop w:val="0"/>
          <w:marBottom w:val="240"/>
          <w:divBdr>
            <w:top w:val="none" w:sz="0" w:space="0" w:color="auto"/>
            <w:left w:val="none" w:sz="0" w:space="0" w:color="auto"/>
            <w:bottom w:val="none" w:sz="0" w:space="0" w:color="auto"/>
            <w:right w:val="none" w:sz="0" w:space="0" w:color="auto"/>
          </w:divBdr>
        </w:div>
      </w:divsChild>
    </w:div>
    <w:div w:id="1281450183">
      <w:bodyDiv w:val="1"/>
      <w:marLeft w:val="0"/>
      <w:marRight w:val="0"/>
      <w:marTop w:val="0"/>
      <w:marBottom w:val="0"/>
      <w:divBdr>
        <w:top w:val="none" w:sz="0" w:space="0" w:color="auto"/>
        <w:left w:val="none" w:sz="0" w:space="0" w:color="auto"/>
        <w:bottom w:val="none" w:sz="0" w:space="0" w:color="auto"/>
        <w:right w:val="none" w:sz="0" w:space="0" w:color="auto"/>
      </w:divBdr>
    </w:div>
    <w:div w:id="1302922804">
      <w:bodyDiv w:val="1"/>
      <w:marLeft w:val="0"/>
      <w:marRight w:val="0"/>
      <w:marTop w:val="0"/>
      <w:marBottom w:val="0"/>
      <w:divBdr>
        <w:top w:val="none" w:sz="0" w:space="0" w:color="auto"/>
        <w:left w:val="none" w:sz="0" w:space="0" w:color="auto"/>
        <w:bottom w:val="none" w:sz="0" w:space="0" w:color="auto"/>
        <w:right w:val="none" w:sz="0" w:space="0" w:color="auto"/>
      </w:divBdr>
      <w:divsChild>
        <w:div w:id="916942695">
          <w:marLeft w:val="0"/>
          <w:marRight w:val="0"/>
          <w:marTop w:val="0"/>
          <w:marBottom w:val="0"/>
          <w:divBdr>
            <w:top w:val="none" w:sz="0" w:space="0" w:color="auto"/>
            <w:left w:val="none" w:sz="0" w:space="0" w:color="auto"/>
            <w:bottom w:val="none" w:sz="0" w:space="0" w:color="auto"/>
            <w:right w:val="none" w:sz="0" w:space="0" w:color="auto"/>
          </w:divBdr>
        </w:div>
        <w:div w:id="1740128574">
          <w:marLeft w:val="0"/>
          <w:marRight w:val="0"/>
          <w:marTop w:val="0"/>
          <w:marBottom w:val="240"/>
          <w:divBdr>
            <w:top w:val="none" w:sz="0" w:space="0" w:color="auto"/>
            <w:left w:val="none" w:sz="0" w:space="0" w:color="auto"/>
            <w:bottom w:val="none" w:sz="0" w:space="0" w:color="auto"/>
            <w:right w:val="none" w:sz="0" w:space="0" w:color="auto"/>
          </w:divBdr>
        </w:div>
        <w:div w:id="66462311">
          <w:marLeft w:val="0"/>
          <w:marRight w:val="0"/>
          <w:marTop w:val="0"/>
          <w:marBottom w:val="240"/>
          <w:divBdr>
            <w:top w:val="none" w:sz="0" w:space="0" w:color="auto"/>
            <w:left w:val="none" w:sz="0" w:space="0" w:color="auto"/>
            <w:bottom w:val="none" w:sz="0" w:space="0" w:color="auto"/>
            <w:right w:val="none" w:sz="0" w:space="0" w:color="auto"/>
          </w:divBdr>
        </w:div>
      </w:divsChild>
    </w:div>
    <w:div w:id="1421608295">
      <w:bodyDiv w:val="1"/>
      <w:marLeft w:val="0"/>
      <w:marRight w:val="0"/>
      <w:marTop w:val="0"/>
      <w:marBottom w:val="0"/>
      <w:divBdr>
        <w:top w:val="none" w:sz="0" w:space="0" w:color="auto"/>
        <w:left w:val="none" w:sz="0" w:space="0" w:color="auto"/>
        <w:bottom w:val="none" w:sz="0" w:space="0" w:color="auto"/>
        <w:right w:val="none" w:sz="0" w:space="0" w:color="auto"/>
      </w:divBdr>
    </w:div>
    <w:div w:id="1624266943">
      <w:bodyDiv w:val="1"/>
      <w:marLeft w:val="0"/>
      <w:marRight w:val="0"/>
      <w:marTop w:val="0"/>
      <w:marBottom w:val="0"/>
      <w:divBdr>
        <w:top w:val="none" w:sz="0" w:space="0" w:color="auto"/>
        <w:left w:val="none" w:sz="0" w:space="0" w:color="auto"/>
        <w:bottom w:val="none" w:sz="0" w:space="0" w:color="auto"/>
        <w:right w:val="none" w:sz="0" w:space="0" w:color="auto"/>
      </w:divBdr>
    </w:div>
    <w:div w:id="1713261620">
      <w:bodyDiv w:val="1"/>
      <w:marLeft w:val="0"/>
      <w:marRight w:val="0"/>
      <w:marTop w:val="0"/>
      <w:marBottom w:val="0"/>
      <w:divBdr>
        <w:top w:val="none" w:sz="0" w:space="0" w:color="auto"/>
        <w:left w:val="none" w:sz="0" w:space="0" w:color="auto"/>
        <w:bottom w:val="none" w:sz="0" w:space="0" w:color="auto"/>
        <w:right w:val="none" w:sz="0" w:space="0" w:color="auto"/>
      </w:divBdr>
    </w:div>
    <w:div w:id="1816138533">
      <w:bodyDiv w:val="1"/>
      <w:marLeft w:val="0"/>
      <w:marRight w:val="0"/>
      <w:marTop w:val="0"/>
      <w:marBottom w:val="0"/>
      <w:divBdr>
        <w:top w:val="none" w:sz="0" w:space="0" w:color="auto"/>
        <w:left w:val="none" w:sz="0" w:space="0" w:color="auto"/>
        <w:bottom w:val="none" w:sz="0" w:space="0" w:color="auto"/>
        <w:right w:val="none" w:sz="0" w:space="0" w:color="auto"/>
      </w:divBdr>
      <w:divsChild>
        <w:div w:id="801729168">
          <w:marLeft w:val="0"/>
          <w:marRight w:val="0"/>
          <w:marTop w:val="0"/>
          <w:marBottom w:val="0"/>
          <w:divBdr>
            <w:top w:val="none" w:sz="0" w:space="0" w:color="auto"/>
            <w:left w:val="none" w:sz="0" w:space="0" w:color="auto"/>
            <w:bottom w:val="none" w:sz="0" w:space="0" w:color="auto"/>
            <w:right w:val="none" w:sz="0" w:space="0" w:color="auto"/>
          </w:divBdr>
        </w:div>
        <w:div w:id="1244293426">
          <w:marLeft w:val="0"/>
          <w:marRight w:val="0"/>
          <w:marTop w:val="0"/>
          <w:marBottom w:val="240"/>
          <w:divBdr>
            <w:top w:val="none" w:sz="0" w:space="0" w:color="auto"/>
            <w:left w:val="none" w:sz="0" w:space="0" w:color="auto"/>
            <w:bottom w:val="none" w:sz="0" w:space="0" w:color="auto"/>
            <w:right w:val="none" w:sz="0" w:space="0" w:color="auto"/>
          </w:divBdr>
        </w:div>
        <w:div w:id="1390611498">
          <w:marLeft w:val="0"/>
          <w:marRight w:val="0"/>
          <w:marTop w:val="0"/>
          <w:marBottom w:val="240"/>
          <w:divBdr>
            <w:top w:val="none" w:sz="0" w:space="0" w:color="auto"/>
            <w:left w:val="none" w:sz="0" w:space="0" w:color="auto"/>
            <w:bottom w:val="none" w:sz="0" w:space="0" w:color="auto"/>
            <w:right w:val="none" w:sz="0" w:space="0" w:color="auto"/>
          </w:divBdr>
        </w:div>
        <w:div w:id="846556934">
          <w:marLeft w:val="0"/>
          <w:marRight w:val="0"/>
          <w:marTop w:val="0"/>
          <w:marBottom w:val="240"/>
          <w:divBdr>
            <w:top w:val="none" w:sz="0" w:space="0" w:color="auto"/>
            <w:left w:val="none" w:sz="0" w:space="0" w:color="auto"/>
            <w:bottom w:val="none" w:sz="0" w:space="0" w:color="auto"/>
            <w:right w:val="none" w:sz="0" w:space="0" w:color="auto"/>
          </w:divBdr>
        </w:div>
        <w:div w:id="1700160672">
          <w:marLeft w:val="0"/>
          <w:marRight w:val="0"/>
          <w:marTop w:val="0"/>
          <w:marBottom w:val="240"/>
          <w:divBdr>
            <w:top w:val="none" w:sz="0" w:space="0" w:color="auto"/>
            <w:left w:val="none" w:sz="0" w:space="0" w:color="auto"/>
            <w:bottom w:val="none" w:sz="0" w:space="0" w:color="auto"/>
            <w:right w:val="none" w:sz="0" w:space="0" w:color="auto"/>
          </w:divBdr>
        </w:div>
      </w:divsChild>
    </w:div>
    <w:div w:id="191820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3300</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Gurcharan Singh</dc:creator>
  <cp:keywords/>
  <dc:description/>
  <cp:lastModifiedBy>isiah jimoh</cp:lastModifiedBy>
  <cp:revision>3</cp:revision>
  <dcterms:created xsi:type="dcterms:W3CDTF">2025-09-25T16:30:00Z</dcterms:created>
  <dcterms:modified xsi:type="dcterms:W3CDTF">2025-10-13T14:30:00Z</dcterms:modified>
</cp:coreProperties>
</file>