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4235" w14:textId="5900512E" w:rsidR="004019B0" w:rsidRDefault="004019B0" w:rsidP="004019B0">
      <w:pPr>
        <w:pStyle w:val="Title"/>
      </w:pPr>
      <w:r>
        <w:t>Regulatory Clarity, Enforcement, and Non-Performing Loans in Nigerian Deposit-Money Banks: Direct Effects and the Mediating Role of Compliance Efficacy – A Mixed-Methods Study of 2024 Cross-Sectional Data</w:t>
      </w:r>
    </w:p>
    <w:p w14:paraId="62DC2939" w14:textId="77777777" w:rsidR="004019B0" w:rsidRDefault="004019B0" w:rsidP="004019B0"/>
    <w:p w14:paraId="3D571235" w14:textId="4DF59EDB" w:rsidR="004019B0" w:rsidRPr="00F25396" w:rsidRDefault="004019B0" w:rsidP="00F25396">
      <w:pPr>
        <w:jc w:val="both"/>
        <w:rPr>
          <w:b/>
          <w:bCs/>
        </w:rPr>
      </w:pPr>
      <w:r>
        <w:t xml:space="preserve"> </w:t>
      </w:r>
      <w:r w:rsidRPr="00F25396">
        <w:rPr>
          <w:b/>
          <w:bCs/>
        </w:rPr>
        <w:t>Abstract</w:t>
      </w:r>
    </w:p>
    <w:p w14:paraId="506262F4" w14:textId="0C8A1451" w:rsidR="004019B0" w:rsidRDefault="004019B0" w:rsidP="00F25396">
      <w:pPr>
        <w:jc w:val="both"/>
      </w:pPr>
      <w:r>
        <w:t>Purpose – Regulatory multiplicity and inconsistent enforcement have been implicated in Nigeria’s persistent banking-sector vulnerabilities. This study quantifies how regulatory clarity and enforcement (as perceived by stakeholders) influence 2024 non-performing loan (NPL) ratios and tests whether this effect is mediated by compliance efficacy.</w:t>
      </w:r>
    </w:p>
    <w:p w14:paraId="697B1377" w14:textId="77777777" w:rsidR="004019B0" w:rsidRDefault="004019B0" w:rsidP="00F25396">
      <w:pPr>
        <w:jc w:val="both"/>
      </w:pPr>
    </w:p>
    <w:p w14:paraId="31A69A7E" w14:textId="72FB3948" w:rsidR="004019B0" w:rsidRDefault="004019B0" w:rsidP="00F25396">
      <w:pPr>
        <w:jc w:val="both"/>
      </w:pPr>
      <w:r>
        <w:t>Design/methodology/approach – A mixed-methods, cross-sectional design integrates secondary data from Central Bank of Nigeria (CBN) reports and audited financial statements with primary perceptions from 234 stakeholder surveys across 10 deposit money banks (DMBs). Mediation analysis, akin to Hayes' PROCESS Model 4, is conducted in R using the `mediation` package with 1,000 bootstrapped resamples, controlling for bank size. Qualitative insights from three semi-structured interviews provide triangulation.</w:t>
      </w:r>
    </w:p>
    <w:p w14:paraId="5F819A94" w14:textId="77777777" w:rsidR="004019B0" w:rsidRDefault="004019B0" w:rsidP="00F25396">
      <w:pPr>
        <w:jc w:val="both"/>
      </w:pPr>
    </w:p>
    <w:p w14:paraId="0A14128F" w14:textId="316C9ABD" w:rsidR="004019B0" w:rsidRDefault="004019B0" w:rsidP="00F25396">
      <w:pPr>
        <w:jc w:val="both"/>
      </w:pPr>
      <w:r>
        <w:t>Findings – The direct effect of regulatory clarity on NPL ratios is negative but non-significant (ADE = -0.861, 95% CI [-4.75, 1.25], p = 0.23). The indirect effect via compliance efficacy is negligible (ACME = -0.066, 95% CI [-0.91, 1.68], p = 0.93), accounting for only 7.1% of the total effect. Bivariate correlations show a moderate negative association between clarity and NPLs (r = -0.52), while diagnostic plots affirm model assumptions.</w:t>
      </w:r>
    </w:p>
    <w:p w14:paraId="3F18B5EA" w14:textId="77777777" w:rsidR="004019B0" w:rsidRDefault="004019B0" w:rsidP="00F25396">
      <w:pPr>
        <w:jc w:val="both"/>
      </w:pPr>
    </w:p>
    <w:p w14:paraId="3207B42A" w14:textId="24459EAF" w:rsidR="004019B0" w:rsidRDefault="004019B0" w:rsidP="00F25396">
      <w:pPr>
        <w:jc w:val="both"/>
      </w:pPr>
      <w:r>
        <w:t>Research limitations/implications – The small sample (n=10 banks) yields wide confidence intervals and limits generalizability; cross-sectional data preclude causal claims. Future work should adopt longitudinal designs.</w:t>
      </w:r>
    </w:p>
    <w:p w14:paraId="6C978725" w14:textId="77777777" w:rsidR="004019B0" w:rsidRDefault="004019B0" w:rsidP="00F25396">
      <w:pPr>
        <w:jc w:val="both"/>
      </w:pPr>
    </w:p>
    <w:p w14:paraId="0C28991F" w14:textId="3C6C6B6D" w:rsidR="004019B0" w:rsidRDefault="004019B0" w:rsidP="00F25396">
      <w:pPr>
        <w:jc w:val="both"/>
      </w:pPr>
      <w:r>
        <w:lastRenderedPageBreak/>
        <w:t>Practical implications – Regulators should prioritize streamlining overlapping directives and bolstering enforcement consistency to mitigate NPL risks, particularly in larger banks.</w:t>
      </w:r>
    </w:p>
    <w:p w14:paraId="0C86E559" w14:textId="77777777" w:rsidR="004019B0" w:rsidRDefault="004019B0" w:rsidP="00F25396">
      <w:pPr>
        <w:jc w:val="both"/>
      </w:pPr>
    </w:p>
    <w:p w14:paraId="2E194BD1" w14:textId="11D3AA99" w:rsidR="004019B0" w:rsidRDefault="004019B0" w:rsidP="00F25396">
      <w:pPr>
        <w:jc w:val="both"/>
      </w:pPr>
      <w:r>
        <w:t>Originality/value – First empirical decomposition of regulatory clarity's impact on Nigerian bank NPLs into direct and compliance-mediated paths, blending quantitative mediation with qualitative thematic insights.</w:t>
      </w:r>
    </w:p>
    <w:p w14:paraId="1B7E6B84" w14:textId="77777777" w:rsidR="004019B0" w:rsidRDefault="004019B0" w:rsidP="00F25396">
      <w:pPr>
        <w:jc w:val="both"/>
      </w:pPr>
    </w:p>
    <w:p w14:paraId="5BEF7195" w14:textId="3E45638F" w:rsidR="004019B0" w:rsidRDefault="004019B0" w:rsidP="00F25396">
      <w:pPr>
        <w:jc w:val="both"/>
      </w:pPr>
      <w:r>
        <w:t>Keywords – Regulatory clarity, Enforcement consistency, Compliance efficacy, Non-performing loans, Deposit money banks, Nigeria, Mediation analysis</w:t>
      </w:r>
    </w:p>
    <w:p w14:paraId="0BE537AD" w14:textId="77777777" w:rsidR="004019B0" w:rsidRDefault="004019B0" w:rsidP="00F25396">
      <w:pPr>
        <w:jc w:val="both"/>
      </w:pPr>
    </w:p>
    <w:p w14:paraId="73959374" w14:textId="350969FF" w:rsidR="004019B0" w:rsidRDefault="004019B0" w:rsidP="00F25396">
      <w:pPr>
        <w:jc w:val="both"/>
      </w:pPr>
      <w:r>
        <w:t>Paper type</w:t>
      </w:r>
      <w:r>
        <w:t xml:space="preserve"> </w:t>
      </w:r>
      <w:r>
        <w:t>– Research paper</w:t>
      </w:r>
    </w:p>
    <w:p w14:paraId="4C46BE67" w14:textId="77777777" w:rsidR="004019B0" w:rsidRDefault="004019B0" w:rsidP="004019B0"/>
    <w:p w14:paraId="09E86F7B" w14:textId="77777777" w:rsidR="004019B0" w:rsidRDefault="004019B0">
      <w:r>
        <w:br w:type="page"/>
      </w:r>
    </w:p>
    <w:p w14:paraId="51035999" w14:textId="2BF809E6" w:rsidR="004019B0" w:rsidRDefault="004019B0" w:rsidP="004019B0">
      <w:r>
        <w:lastRenderedPageBreak/>
        <w:t>1. Introduction</w:t>
      </w:r>
    </w:p>
    <w:p w14:paraId="089116CE" w14:textId="77777777" w:rsidR="004019B0" w:rsidRDefault="004019B0" w:rsidP="00F25396">
      <w:pPr>
        <w:jc w:val="both"/>
      </w:pPr>
      <w:r>
        <w:t>Nigeria's banking sector has endured recurrent crises driven by regulatory ambiguities and lax enforcement, culminating in elevated non-performing loans (NPLs) that peaked at over 30% during the 2009 meltdown, necessitating a ₦620 billion intervention (Sanusi, 2014; CBN, 2011). Post-crisis reforms, including the Central Bank of Nigeria's (CBN) 2014 Code of Corporate Governance, aimed to enhance regulatory clarity by harmonizing directives on risk management, compliance, and loan provisioning. However, overlapping mandates from bodies like the Securities and Exchange Commission (SEC) and the National Deposit Insurance Corporation (NDIC) persist, fostering interpretive challenges and diminished compliance efficacy (Agbloyor et al., 2013). This multiplicity is theorized to exacerbate NPLs by undermining banks' ability to enforce prudent lending and timely loss recognition (North, 1990).</w:t>
      </w:r>
    </w:p>
    <w:p w14:paraId="4124969B" w14:textId="77777777" w:rsidR="004019B0" w:rsidRDefault="004019B0" w:rsidP="00F25396">
      <w:pPr>
        <w:jc w:val="both"/>
      </w:pPr>
    </w:p>
    <w:p w14:paraId="33B293DF" w14:textId="77777777" w:rsidR="004019B0" w:rsidRDefault="004019B0" w:rsidP="00F25396">
      <w:pPr>
        <w:jc w:val="both"/>
      </w:pPr>
      <w:r>
        <w:t>The persistence of these issues is evident in recent trends. As of mid-2024, aggregate NPLs stood at 4.2%, edging up to 4.6% by year-end amid naira devaluation and inflationary pressures that impaired borrowers' debt-servicing capacity (CBN, 2024). By early 2025, the lifting of CBN forbearance measures from June 2025 is projected to further inflate NPL ratios, potentially by 1-2 percentage points, as banks reclassify deferred loans under stricter provisioning rules (S&amp;P Global Ratings, 2025). This uptick underscores the fragility of post-2009 reforms, particularly in a context where regulatory convergence—such as Basel III harmonization—remains uneven across African jurisdictions, including Nigeria (Bongomin &amp; Ntayi, 2025). Empirical evidence on regulatory clarity's role in credit risk remains sparse in emerging markets. While developed-market studies link clear regulations to lower NPLs via improved governance (Erkens et al., 2020), African findings are inconclusive, with some attributing high NPLs to enforcement gaps rather than multiplicity per se (Asare &amp; Oduro, 2021). In Nigeria, prior research focuses on macroeconomic drivers (e.g., currency volatility) or governance proxies (e.g., board independence) but overlooks the mediating pathway through compliance practices (Ofoeda, 2022). For instance, Atoi (2021) highlights how NPLs disproportionately affect stability in nationally licensed banks due to varying regulatory adherence levels, yet without mediation tests.</w:t>
      </w:r>
    </w:p>
    <w:p w14:paraId="64DFAA80" w14:textId="77777777" w:rsidR="004019B0" w:rsidRDefault="004019B0" w:rsidP="00F25396">
      <w:pPr>
        <w:jc w:val="both"/>
      </w:pPr>
    </w:p>
    <w:p w14:paraId="739CDE31" w14:textId="77777777" w:rsidR="004019B0" w:rsidRDefault="004019B0" w:rsidP="00F25396">
      <w:pPr>
        <w:jc w:val="both"/>
      </w:pPr>
      <w:r>
        <w:t xml:space="preserve">The 2024 context provides a timely lens, especially as Nigeria navigates Basel III implementation amid global connectivity pressures (Bongomin &amp; Ntayi, 2025). This study addresses the gap by merging 2024 financial data with stakeholder perceptions, contributing threefold: (i) decomposing regulatory clarity's effect on NPLs into direct and indirect (compliance-mediated) components; (ii) employing bootstrapped mediation analysis suited to small samples; and (iii) offering policy insights for CBN as it navigates Basel III adoption in </w:t>
      </w:r>
      <w:r>
        <w:lastRenderedPageBreak/>
        <w:t>Africa. By integrating institutional theory with mixed methods, we illuminate how regulatory multiplicity perpetuates credit vulnerabilities in Africa's largest economy.</w:t>
      </w:r>
    </w:p>
    <w:p w14:paraId="6404FB01" w14:textId="77777777" w:rsidR="004019B0" w:rsidRDefault="004019B0" w:rsidP="004019B0"/>
    <w:p w14:paraId="2E1E4349" w14:textId="6B2CDBAE" w:rsidR="004019B0" w:rsidRDefault="004019B0" w:rsidP="00F25396">
      <w:pPr>
        <w:jc w:val="both"/>
      </w:pPr>
      <w:r>
        <w:t>2. Literature Review, Theoretical Framework and Hypotheses</w:t>
      </w:r>
    </w:p>
    <w:p w14:paraId="5A080CE7" w14:textId="77777777" w:rsidR="004019B0" w:rsidRDefault="004019B0" w:rsidP="00F25396">
      <w:pPr>
        <w:jc w:val="both"/>
      </w:pPr>
      <w:r>
        <w:t>Institutional theory frames regulatory clarity as a coercive isomorphism that shapes organizational practices, positing that ambiguous environments lead to decoupling—where firms symbolically comply without substantive changes (DiMaggio &amp; Powell, 1983; Meyer &amp; Rowan, 1977). Clear, consistently enforced regulations reduce interpretive burdens, enabling effective risk management and lowering NPLs (North, 1990). Empirical support includes U.S. banks exhibiting lower credit impairments under transparent supervisory regimes (Kanagaretnam et al., 2020). In emerging markets, Al-Hares (2020) finds that Jordanian banks with perceived regulatory consistency report NPLs 1-2 percentage points lower, while Ghanaian evidence shows enforcement gaps amplifying multiplicity's harms (Asare &amp; Oduro, 2021).</w:t>
      </w:r>
    </w:p>
    <w:p w14:paraId="01E3DB67" w14:textId="77777777" w:rsidR="004019B0" w:rsidRDefault="004019B0" w:rsidP="00F25396">
      <w:pPr>
        <w:jc w:val="both"/>
      </w:pPr>
    </w:p>
    <w:p w14:paraId="1D64BDF6" w14:textId="77777777" w:rsidR="004019B0" w:rsidRDefault="004019B0" w:rsidP="00F25396">
      <w:pPr>
        <w:jc w:val="both"/>
      </w:pPr>
      <w:r>
        <w:t>African scholarship extends this by emphasizing institutional quality's role in financial deepening and stability. Osemeke and Adegbite (2016) document regulatory multiplicity in Nigeria as a source of conflict, where overlapping codes erode governance efficacy and indirectly fuel NPL accumulation through compliance fatigue. Similarly, Bongomin and Ntayi (2025) argue that global connectivity exacerbates regulatory multiplicity in African banking, hindering resilience amid digitization and Basel III pressures. In a panel of 50 African countries, Asongu et al. (2022) demonstrate that stronger institutional factors—such as regulatory enforcement—positively influence bank credit extension while curbing NPLs, with effects amplified in bank-based systems like Nigeria's. Osabohien et al. (2019) further link governance quality to financial inclusion in Africa, suggesting that regulatory clarity mitigates NPLs by fostering trust in lending practices.</w:t>
      </w:r>
    </w:p>
    <w:p w14:paraId="3CD83B0B" w14:textId="77777777" w:rsidR="004019B0" w:rsidRDefault="004019B0" w:rsidP="00F25396">
      <w:pPr>
        <w:jc w:val="both"/>
      </w:pPr>
    </w:p>
    <w:p w14:paraId="4E5DFA13" w14:textId="77777777" w:rsidR="004019B0" w:rsidRDefault="004019B0" w:rsidP="00F25396">
      <w:pPr>
        <w:jc w:val="both"/>
      </w:pPr>
      <w:r>
        <w:t xml:space="preserve">The compliance-mediated channel is underexplored. Regulatory multiplicity can erode compliance efficacy by overwhelming internal audits and governance protocols, indirectly elevating NPLs through delayed problem-loan identification (Cohen et al., 2010). Liu and Anandarajan (2019) demonstrate that clear regulations enhance compliance, which in turn curbs ever-greening. In Nigeria, Sanusi (2014) attributes the 2009 crisis to compliance failures amid regulatory overlaps, yet quantitative mediation tests are absent. Globally, Beck et al. (2024) use mediation analysis to show that macroprudential policies reduce NPL ratios in emerging markets via improved compliance efficacy, with indirect effects comprising up to 40% of total impacts. In the Middle East and North Africa, Chaibi and Ftiti (2022) find similar mediation in NPL determinants under financial shocks, where regulatory clarity bolsters </w:t>
      </w:r>
      <w:r>
        <w:lastRenderedPageBreak/>
        <w:t>compliance to buffer economic shocks. For African contexts, Bongomin and Ntayi (2025) highlight how institutional logics in regulatory multiplicity lead to decoupled compliance, indirectly sustaining high NPLs.</w:t>
      </w:r>
    </w:p>
    <w:p w14:paraId="064F8605" w14:textId="77777777" w:rsidR="004019B0" w:rsidRDefault="004019B0" w:rsidP="004019B0"/>
    <w:p w14:paraId="33D51C7F" w14:textId="77777777" w:rsidR="004019B0" w:rsidRDefault="004019B0" w:rsidP="004019B0">
      <w:r>
        <w:t xml:space="preserve">Thus, we propose:  </w:t>
      </w:r>
    </w:p>
    <w:p w14:paraId="11B31433" w14:textId="4F84117E" w:rsidR="004019B0" w:rsidRDefault="004019B0" w:rsidP="004019B0">
      <w:r>
        <w:t xml:space="preserve">H1: Greater regulatory clarity and enforcement are significantly associated with lower 2024 NPL ratios (direct effect).  </w:t>
      </w:r>
    </w:p>
    <w:p w14:paraId="1E1A96C3" w14:textId="181A21C9" w:rsidR="004019B0" w:rsidRDefault="004019B0" w:rsidP="004019B0">
      <w:r>
        <w:t>H2: The association in H1 is partly mediated by higher compliance efficacy (indirect effect).</w:t>
      </w:r>
    </w:p>
    <w:p w14:paraId="7D166D16" w14:textId="77777777" w:rsidR="004019B0" w:rsidRDefault="004019B0" w:rsidP="004019B0"/>
    <w:p w14:paraId="6063D250" w14:textId="081C2C99" w:rsidR="004019B0" w:rsidRDefault="004019B0" w:rsidP="004019B0">
      <w:r>
        <w:t>3. Method</w:t>
      </w:r>
    </w:p>
    <w:p w14:paraId="70882180" w14:textId="42B78F6B" w:rsidR="004019B0" w:rsidRDefault="004019B0" w:rsidP="004019B0">
      <w:r>
        <w:t>3.1 Sample and Data</w:t>
      </w:r>
    </w:p>
    <w:p w14:paraId="317A0E8E" w14:textId="77777777" w:rsidR="004019B0" w:rsidRDefault="004019B0" w:rsidP="00F25396">
      <w:pPr>
        <w:jc w:val="both"/>
      </w:pPr>
      <w:r>
        <w:t>A mixed-methods, cross-sectional design targets 10 purposively selected Nigerian DMBs, representing major institutions for in-depth analysis. Secondary data on NPL ratios, compliance metrics, and bank size derive from CBN reports and audited 2024 financial statements. Primary data come from a stakeholder survey (n=234 respondents across compliance and risk roles), using Likert-scale items adapted from validated instruments (UN-ESCWA, 2022). The survey was administered via Qualtrics in Q1 2024, targeting high-level informants (e.g., compliance officers, risk managers) for perceptual accuracy, yielding a 55% response rate after reminders. Non-response bias was negligible (p&gt;0.10 via t-tests on demographics).</w:t>
      </w:r>
    </w:p>
    <w:p w14:paraId="328D3C5F" w14:textId="77777777" w:rsidR="004019B0" w:rsidRDefault="004019B0" w:rsidP="00F25396">
      <w:pPr>
        <w:jc w:val="both"/>
      </w:pPr>
    </w:p>
    <w:p w14:paraId="6F51D9BB" w14:textId="77777777" w:rsidR="004019B0" w:rsidRDefault="004019B0" w:rsidP="00F25396">
      <w:pPr>
        <w:jc w:val="both"/>
      </w:pPr>
      <w:r>
        <w:t>Qualitative triangulation stems from three semi-structured interviews (30-45 minutes each) with senior executives from diverse banks, recorded and transcribed. Interviews probed interpretive challenges in regulatory adherence, yielding emergent themes like "regulatory confusion" and "enforcement gaps" via NVivo thematic coding (Braun &amp; Clarke, 2006). This integration enhances validity by contextualizing quantitative nulls, aligning with mixed-methods best practices (Creswell &amp; Plano Clark, 2017).</w:t>
      </w:r>
    </w:p>
    <w:p w14:paraId="321AD73E" w14:textId="77777777" w:rsidR="004019B0" w:rsidRDefault="004019B0" w:rsidP="00F25396">
      <w:pPr>
        <w:jc w:val="both"/>
      </w:pPr>
    </w:p>
    <w:p w14:paraId="4AC02630" w14:textId="77777777" w:rsidR="004019B0" w:rsidRDefault="004019B0" w:rsidP="00F25396">
      <w:pPr>
        <w:jc w:val="both"/>
      </w:pPr>
      <w:r>
        <w:t>Data preprocessing included reverse-coding, aggregation by bank (via qu6 identifier), and mean imputation for missing clarity values in two banks (Access Bank Plc, Stanbic IBTC). The consolidated dataset (`merged_bank_data_2024_with_clarity.csv`) ensures robustness, though imputation assumes missingness at random; sensitivity checks confirmed minimal bias.</w:t>
      </w:r>
    </w:p>
    <w:p w14:paraId="0D2D5C2B" w14:textId="77777777" w:rsidR="00F25396" w:rsidRDefault="00F25396" w:rsidP="004019B0"/>
    <w:p w14:paraId="5085FAA1" w14:textId="60A3F651" w:rsidR="004019B0" w:rsidRDefault="004019B0" w:rsidP="004019B0">
      <w:r>
        <w:lastRenderedPageBreak/>
        <w:t>3.2 Measures</w:t>
      </w:r>
    </w:p>
    <w:p w14:paraId="3EECDC4A" w14:textId="5C1E45A4" w:rsidR="004019B0" w:rsidRDefault="004019B0" w:rsidP="004019B0">
      <w:r>
        <w:t xml:space="preserve">- Regulatory Clarity Index (Independent Variable): Composite of Likert items (Qu36, Qu39–Qu41) on multiplicity and enforcement (1–5 scale, reverse-coded; M=4.40, SD=0.42; α=0.82).  </w:t>
      </w:r>
    </w:p>
    <w:p w14:paraId="1FCBC8A5" w14:textId="17914FC4" w:rsidR="004019B0" w:rsidRDefault="004019B0" w:rsidP="004019B0">
      <w:r>
        <w:t xml:space="preserve">- Compliance Index (Mediator): Percentage adherence to audits/governance (M=85.20, SD=4.76; derived from survey aggregates and CBN reports).  </w:t>
      </w:r>
    </w:p>
    <w:p w14:paraId="67DD1989" w14:textId="79E3C0D8" w:rsidR="004019B0" w:rsidRDefault="004019B0" w:rsidP="004019B0">
      <w:r>
        <w:t xml:space="preserve">- NPL Ratio (Dependent Variable): Percentage of gross non-performing loans (M=4.31, SD=1.30; winsorized at 1% for outliers).  </w:t>
      </w:r>
    </w:p>
    <w:p w14:paraId="2829946F" w14:textId="48F81084" w:rsidR="004019B0" w:rsidRDefault="004019B0" w:rsidP="004019B0">
      <w:r>
        <w:t xml:space="preserve">- Bank Size Binary (Control): 1 for large banks (&gt;₦1,000 billion capitalization; n=6).  </w:t>
      </w:r>
    </w:p>
    <w:p w14:paraId="5E301CDF" w14:textId="77777777" w:rsidR="004019B0" w:rsidRDefault="004019B0" w:rsidP="004019B0"/>
    <w:p w14:paraId="76D079D7" w14:textId="77777777" w:rsidR="004019B0" w:rsidRDefault="004019B0" w:rsidP="00F25396">
      <w:pPr>
        <w:jc w:val="both"/>
      </w:pPr>
      <w:r>
        <w:t>Analysis in R (v4.5.1) uses the `mediation` package for bootstrapped (1,000 resamples, seed=123) mediation: Mediator Model (Compliance ~ Clarity + Size); Outcome Model (NPL ~ Clarity + Compliance + Size). Pearson correlations precede mediation; diagnostics via residual plots (residuals vs. fitted, Q-Q, scale-location, leverage) confirm assumptions of linearity, normality, homoscedasticity, and no influential outliers (Cook's d&lt;1). Visualization employs `ggplot2` for clarity-NPL scatters, stratified by size.</w:t>
      </w:r>
    </w:p>
    <w:p w14:paraId="646AC2F6" w14:textId="77777777" w:rsidR="00F25396" w:rsidRDefault="00F25396" w:rsidP="004019B0"/>
    <w:p w14:paraId="2875BCEB" w14:textId="3F9C2601" w:rsidR="004019B0" w:rsidRDefault="004019B0" w:rsidP="004019B0">
      <w:r>
        <w:t>4. Results</w:t>
      </w:r>
    </w:p>
    <w:p w14:paraId="47DD5831" w14:textId="72C241AB" w:rsidR="004019B0" w:rsidRDefault="004019B0" w:rsidP="004019B0">
      <w:r>
        <w:t>4.1 Descriptive Statistics and Correlations</w:t>
      </w:r>
    </w:p>
    <w:p w14:paraId="33F9A69C" w14:textId="77777777" w:rsidR="00F25396" w:rsidRDefault="004019B0" w:rsidP="004019B0">
      <w:r>
        <w:t>Variables show: NPL Ratio (range 3.00–6.60%, reflecting heterogeneous risk profiles post-2024 shocks); Compliance (78.00–92.00%, generally high but variable); Clarity (3.77–5.00, skewing positive). Correlations indicate a moderate negative clarity-NPL link (r=-0.52, p&lt;0.10), weak clarity-compliance (r=-0.19, ns), and positive size-NPL (r=0.47, p&lt;0.10), suggesting larger banks face greater multiplicity challenges—consistent with scale-dependent vulnerabilities in African banking (Atoi, 2021).</w:t>
      </w:r>
      <w:r w:rsidR="00F25396">
        <w:br/>
      </w:r>
    </w:p>
    <w:tbl>
      <w:tblPr>
        <w:tblStyle w:val="GridTable1Light-Accent4"/>
        <w:tblW w:w="7063" w:type="dxa"/>
        <w:tblLook w:val="04A0" w:firstRow="1" w:lastRow="0" w:firstColumn="1" w:lastColumn="0" w:noHBand="0" w:noVBand="1"/>
      </w:tblPr>
      <w:tblGrid>
        <w:gridCol w:w="7063"/>
      </w:tblGrid>
      <w:tr w:rsidR="00F25396" w:rsidRPr="00F25396" w14:paraId="516E1024" w14:textId="77777777" w:rsidTr="00F25396">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0B798EF5" w14:textId="77777777" w:rsidR="00F25396" w:rsidRPr="00F25396" w:rsidRDefault="00F25396" w:rsidP="00F25396">
            <w:pPr>
              <w:jc w:val="center"/>
              <w:rPr>
                <w:rFonts w:ascii="Times New Roman" w:eastAsia="Times New Roman" w:hAnsi="Times New Roman" w:cs="Times New Roman"/>
                <w:kern w:val="0"/>
                <w:lang w:eastAsia="en-GB"/>
                <w14:ligatures w14:val="none"/>
              </w:rPr>
            </w:pPr>
            <w:r w:rsidRPr="00F25396">
              <w:rPr>
                <w:rFonts w:ascii="Times New Roman" w:eastAsia="Times New Roman" w:hAnsi="Times New Roman" w:cs="Times New Roman"/>
                <w:kern w:val="0"/>
                <w:lang w:eastAsia="en-GB"/>
                <w14:ligatures w14:val="none"/>
              </w:rPr>
              <w:t>Table 1: Descriptive Statistics and Correlations</w:t>
            </w:r>
          </w:p>
        </w:tc>
      </w:tr>
      <w:tr w:rsidR="00F25396" w:rsidRPr="00F25396" w14:paraId="45CF2F99" w14:textId="77777777" w:rsidTr="00F25396">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066E0555" w14:textId="77777777" w:rsidR="00F25396" w:rsidRPr="00F25396" w:rsidRDefault="00F25396" w:rsidP="00F25396">
            <w:pPr>
              <w:rPr>
                <w:rFonts w:ascii="Times New Roman" w:eastAsia="Times New Roman" w:hAnsi="Times New Roman" w:cs="Times New Roman"/>
                <w:kern w:val="0"/>
                <w:lang w:eastAsia="en-GB"/>
                <w14:ligatures w14:val="none"/>
              </w:rPr>
            </w:pPr>
            <w:r w:rsidRPr="00F25396">
              <w:rPr>
                <w:rFonts w:ascii="Times New Roman" w:eastAsia="Times New Roman" w:hAnsi="Times New Roman" w:cs="Times New Roman"/>
                <w:kern w:val="0"/>
                <w:lang w:eastAsia="en-GB"/>
                <w14:ligatures w14:val="none"/>
              </w:rPr>
              <w:t>Variable</w:t>
            </w:r>
          </w:p>
        </w:tc>
      </w:tr>
      <w:tr w:rsidR="00F25396" w:rsidRPr="00F25396" w14:paraId="1B84043D" w14:textId="77777777" w:rsidTr="00F25396">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3861D062" w14:textId="77777777" w:rsidR="00F25396" w:rsidRPr="00F25396" w:rsidRDefault="00F25396" w:rsidP="00F25396">
            <w:pPr>
              <w:rPr>
                <w:rFonts w:ascii="Times New Roman" w:eastAsia="Times New Roman" w:hAnsi="Times New Roman" w:cs="Times New Roman"/>
                <w:kern w:val="0"/>
                <w:lang w:eastAsia="en-GB"/>
                <w14:ligatures w14:val="none"/>
              </w:rPr>
            </w:pPr>
            <w:r w:rsidRPr="00F25396">
              <w:rPr>
                <w:rFonts w:ascii="Times New Roman" w:eastAsia="Times New Roman" w:hAnsi="Times New Roman" w:cs="Times New Roman"/>
                <w:kern w:val="0"/>
                <w:lang w:eastAsia="en-GB"/>
                <w14:ligatures w14:val="none"/>
              </w:rPr>
              <w:t>1. Clarity Index</w:t>
            </w:r>
          </w:p>
        </w:tc>
      </w:tr>
      <w:tr w:rsidR="00F25396" w:rsidRPr="00F25396" w14:paraId="3FCCE48A" w14:textId="77777777" w:rsidTr="00F25396">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32A35A53" w14:textId="77777777" w:rsidR="00F25396" w:rsidRPr="00F25396" w:rsidRDefault="00F25396" w:rsidP="00F25396">
            <w:pPr>
              <w:rPr>
                <w:rFonts w:ascii="Times New Roman" w:eastAsia="Times New Roman" w:hAnsi="Times New Roman" w:cs="Times New Roman"/>
                <w:kern w:val="0"/>
                <w:lang w:eastAsia="en-GB"/>
                <w14:ligatures w14:val="none"/>
              </w:rPr>
            </w:pPr>
            <w:r w:rsidRPr="00F25396">
              <w:rPr>
                <w:rFonts w:ascii="Times New Roman" w:eastAsia="Times New Roman" w:hAnsi="Times New Roman" w:cs="Times New Roman"/>
                <w:kern w:val="0"/>
                <w:lang w:eastAsia="en-GB"/>
                <w14:ligatures w14:val="none"/>
              </w:rPr>
              <w:t>2. Compliance Index</w:t>
            </w:r>
          </w:p>
        </w:tc>
      </w:tr>
      <w:tr w:rsidR="00F25396" w:rsidRPr="00F25396" w14:paraId="683B7586" w14:textId="77777777" w:rsidTr="00F25396">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3268596D" w14:textId="77777777" w:rsidR="00F25396" w:rsidRPr="00F25396" w:rsidRDefault="00F25396" w:rsidP="00F25396">
            <w:pPr>
              <w:rPr>
                <w:rFonts w:ascii="Times New Roman" w:eastAsia="Times New Roman" w:hAnsi="Times New Roman" w:cs="Times New Roman"/>
                <w:kern w:val="0"/>
                <w:lang w:eastAsia="en-GB"/>
                <w14:ligatures w14:val="none"/>
              </w:rPr>
            </w:pPr>
            <w:r w:rsidRPr="00F25396">
              <w:rPr>
                <w:rFonts w:ascii="Times New Roman" w:eastAsia="Times New Roman" w:hAnsi="Times New Roman" w:cs="Times New Roman"/>
                <w:kern w:val="0"/>
                <w:lang w:eastAsia="en-GB"/>
                <w14:ligatures w14:val="none"/>
              </w:rPr>
              <w:t>3. NPL Ratio</w:t>
            </w:r>
          </w:p>
        </w:tc>
      </w:tr>
      <w:tr w:rsidR="00F25396" w:rsidRPr="00F25396" w14:paraId="6429E891" w14:textId="77777777" w:rsidTr="00F25396">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4C188818" w14:textId="77777777" w:rsidR="00F25396" w:rsidRPr="00F25396" w:rsidRDefault="00F25396" w:rsidP="00F25396">
            <w:pPr>
              <w:rPr>
                <w:rFonts w:ascii="Times New Roman" w:eastAsia="Times New Roman" w:hAnsi="Times New Roman" w:cs="Times New Roman"/>
                <w:kern w:val="0"/>
                <w:lang w:eastAsia="en-GB"/>
                <w14:ligatures w14:val="none"/>
              </w:rPr>
            </w:pPr>
            <w:r w:rsidRPr="00F25396">
              <w:rPr>
                <w:rFonts w:ascii="Times New Roman" w:eastAsia="Times New Roman" w:hAnsi="Times New Roman" w:cs="Times New Roman"/>
                <w:kern w:val="0"/>
                <w:lang w:eastAsia="en-GB"/>
                <w14:ligatures w14:val="none"/>
              </w:rPr>
              <w:t>4. Bank Size Binary</w:t>
            </w:r>
          </w:p>
        </w:tc>
      </w:tr>
    </w:tbl>
    <w:p w14:paraId="118D1AF5" w14:textId="687D8F91" w:rsidR="004019B0" w:rsidRDefault="004019B0" w:rsidP="004019B0"/>
    <w:p w14:paraId="6D4FE398" w14:textId="77777777" w:rsidR="004019B0" w:rsidRDefault="004019B0" w:rsidP="004019B0"/>
    <w:p w14:paraId="2CDB4012" w14:textId="77777777" w:rsidR="004019B0" w:rsidRDefault="004019B0" w:rsidP="004019B0">
      <w:r>
        <w:lastRenderedPageBreak/>
        <w:t>| Table 1: Descriptive Statistics and Correlations |</w:t>
      </w:r>
    </w:p>
    <w:p w14:paraId="7235C422" w14:textId="77777777" w:rsidR="004019B0" w:rsidRDefault="004019B0" w:rsidP="004019B0">
      <w:r>
        <w:t>|-------------------------------------------------|</w:t>
      </w:r>
    </w:p>
    <w:p w14:paraId="13B24524" w14:textId="77777777" w:rsidR="004019B0" w:rsidRDefault="004019B0" w:rsidP="004019B0">
      <w:r>
        <w:t>| **Variable** | **Mean** | **SD** | **1** | **2** | **3** | **4** |</w:t>
      </w:r>
    </w:p>
    <w:p w14:paraId="39132210" w14:textId="77777777" w:rsidR="004019B0" w:rsidRDefault="004019B0" w:rsidP="004019B0">
      <w:r>
        <w:t>| 1. Clarity Index | 4.40 | 0.42 | 1.00 |  |  |  |</w:t>
      </w:r>
    </w:p>
    <w:p w14:paraId="2E0E8B31" w14:textId="77777777" w:rsidR="004019B0" w:rsidRDefault="004019B0" w:rsidP="004019B0">
      <w:r>
        <w:t>| 2. Compliance Index | 85.20 | 4.76 | -0.19 | 1.00 |  |  |</w:t>
      </w:r>
    </w:p>
    <w:p w14:paraId="7EFEA64C" w14:textId="77777777" w:rsidR="004019B0" w:rsidRDefault="004019B0" w:rsidP="004019B0">
      <w:r>
        <w:t>| 3. NPL Ratio | 4.31 | 1.30 | -0.52* | 0.12 | 1.00 |  |</w:t>
      </w:r>
    </w:p>
    <w:p w14:paraId="0A3EA71A" w14:textId="77777777" w:rsidR="004019B0" w:rsidRDefault="004019B0" w:rsidP="004019B0">
      <w:r>
        <w:t>| 4. Bank Size Binary | 0.60 | 0.52 | -0.53* | 0.08 | 0.47* | 1.00 |</w:t>
      </w:r>
    </w:p>
    <w:p w14:paraId="209D3CBB" w14:textId="77777777" w:rsidR="004019B0" w:rsidRDefault="004019B0" w:rsidP="004019B0">
      <w:r>
        <w:t>* p&lt;0.10; n=10</w:t>
      </w:r>
    </w:p>
    <w:p w14:paraId="4B2F92D2" w14:textId="77777777" w:rsidR="004019B0" w:rsidRDefault="004019B0" w:rsidP="004019B0"/>
    <w:p w14:paraId="7B2067AA" w14:textId="469B8FE8" w:rsidR="004019B0" w:rsidRDefault="004019B0" w:rsidP="004019B0">
      <w:r>
        <w:t>4.2 Mediation Analysis</w:t>
      </w:r>
    </w:p>
    <w:p w14:paraId="2535DBBF" w14:textId="77777777" w:rsidR="004019B0" w:rsidRDefault="004019B0" w:rsidP="004019B0">
      <w:r>
        <w:t>The total effect is negative but non-significant (-0.927, 95% CI [-3.98, 1.09], p=0.21). Direct effect (ADE=-0.861, 95% CI [-4.75, 1.25], p=0.23) hints at clarity mitigating NPLs independently, aligning with direct institutional pressures (DiMaggio &amp; Powell, 1983). Indirect effect (ACME=-0.066, 95% CI [-0.91, 1.68], p=0.93) is negligible (7.1% of total), rejecting H2 and echoing decoupling in emerging markets (Chaibi &amp; Ftiti, 2022).</w:t>
      </w:r>
    </w:p>
    <w:p w14:paraId="1E3BF2F3" w14:textId="77777777" w:rsidR="004019B0" w:rsidRDefault="004019B0" w:rsidP="004019B0"/>
    <w:p w14:paraId="7CE40F78" w14:textId="77777777" w:rsidR="004019B0" w:rsidRDefault="004019B0" w:rsidP="004019B0">
      <w:r>
        <w:t>| Table 2: Mediation Path Estimates |</w:t>
      </w:r>
    </w:p>
    <w:p w14:paraId="54325B77" w14:textId="77777777" w:rsidR="004019B0" w:rsidRDefault="004019B0" w:rsidP="004019B0">
      <w:r>
        <w:t>|----------------------------------|</w:t>
      </w:r>
    </w:p>
    <w:p w14:paraId="2AEBBB39" w14:textId="77777777" w:rsidR="004019B0" w:rsidRDefault="004019B0" w:rsidP="004019B0">
      <w:r>
        <w:t>| **Path** | **β** | **95% CI** | **p** |</w:t>
      </w:r>
    </w:p>
    <w:p w14:paraId="307A4F20" w14:textId="77777777" w:rsidR="004019B0" w:rsidRDefault="004019B0" w:rsidP="004019B0">
      <w:r>
        <w:t>| Clarity → Compliance (a) | 0.45 | [-1.23, 2.13] | 0.32 |</w:t>
      </w:r>
    </w:p>
    <w:p w14:paraId="5F3A5B29" w14:textId="77777777" w:rsidR="004019B0" w:rsidRDefault="004019B0" w:rsidP="004019B0">
      <w:r>
        <w:t>| Compliance → NPL (b) | -0.15 | [-0.89, 0.59] | 0.41 |</w:t>
      </w:r>
    </w:p>
    <w:p w14:paraId="5CC81A3F" w14:textId="77777777" w:rsidR="004019B0" w:rsidRDefault="004019B0" w:rsidP="004019B0">
      <w:r>
        <w:t>| Clarity → NPL (c') | -0.861 | [-4.75, 1.25] | 0.23 |</w:t>
      </w:r>
    </w:p>
    <w:p w14:paraId="03A3C160" w14:textId="77777777" w:rsidR="004019B0" w:rsidRDefault="004019B0" w:rsidP="004019B0">
      <w:r>
        <w:t>| Indirect (a×b) | -0.066 | [-0.91, 1.68] | 0.93 |</w:t>
      </w:r>
    </w:p>
    <w:p w14:paraId="3C3E3539" w14:textId="77777777" w:rsidR="004019B0" w:rsidRDefault="004019B0" w:rsidP="004019B0">
      <w:r>
        <w:t>| Total Effect (c) | -0.927 | [-3.98, 1.09] | 0.21 |</w:t>
      </w:r>
    </w:p>
    <w:p w14:paraId="398CB222" w14:textId="77777777" w:rsidR="004019B0" w:rsidRDefault="004019B0" w:rsidP="004019B0"/>
    <w:p w14:paraId="659AA7CD" w14:textId="77777777" w:rsidR="004019B0" w:rsidRDefault="004019B0" w:rsidP="004019B0">
      <w:r>
        <w:t>Figure 1: Clarity Index vs. NPL Ratio</w:t>
      </w:r>
    </w:p>
    <w:p w14:paraId="7924616D" w14:textId="0615291C" w:rsidR="004019B0" w:rsidRDefault="00F25396" w:rsidP="004019B0">
      <w:r>
        <w:rPr>
          <w:noProof/>
        </w:rPr>
        <w:lastRenderedPageBreak/>
        <w:drawing>
          <wp:inline distT="0" distB="0" distL="0" distR="0" wp14:anchorId="74D6D596" wp14:editId="777C7F5A">
            <wp:extent cx="5731510" cy="5731510"/>
            <wp:effectExtent l="0" t="0" r="0" b="0"/>
            <wp:docPr id="75594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636" name="Picture 755946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3BA7967" w14:textId="6076EAC9" w:rsidR="004019B0" w:rsidRDefault="004019B0" w:rsidP="004019B0">
      <w:r>
        <w:t>![Clarity Index vs. NPL Ratio]</w:t>
      </w:r>
    </w:p>
    <w:p w14:paraId="23D01FFD" w14:textId="77777777" w:rsidR="004019B0" w:rsidRDefault="004019B0" w:rsidP="004019B0"/>
    <w:p w14:paraId="0267EFE6" w14:textId="77777777" w:rsidR="004019B0" w:rsidRDefault="004019B0" w:rsidP="004019B0">
      <w:r>
        <w:t>This scatter plot depicts the Regulatory Clarity Index against NPL Ratio, stratified by Bank_Size_Binary (cyan for medium-sized banks [0], pink for large banks [1]). A discernible negative trend emerges, indicating that higher perceived regulatory clarity is associated with lower NPL ratios. Outliers such as United Bank for Africa (UBA; Clarity = 3.77, NPL = 6.60) and Union Bank (Clarity = 5.63, NPL = 3.70) accentuating the pattern. Larger banks display greater dispersion, hinting at size-dependent vulnerabilities. This visualization reinforces the bivariate correlation (r = -0.52) and provides visual evidence for the tentative negative relationship posited in H1, while highlighting how regulatory multiplicity may disproportionately affect certain institutions.</w:t>
      </w:r>
    </w:p>
    <w:p w14:paraId="686B0CDD" w14:textId="77777777" w:rsidR="004019B0" w:rsidRDefault="004019B0" w:rsidP="004019B0"/>
    <w:p w14:paraId="6DD970F9" w14:textId="79F5CD5D" w:rsidR="004019B0" w:rsidRDefault="004019B0" w:rsidP="004019B0">
      <w:r>
        <w:lastRenderedPageBreak/>
        <w:t>Diagnostic plots for the mediator model show:</w:t>
      </w:r>
    </w:p>
    <w:p w14:paraId="49CFE682" w14:textId="77777777" w:rsidR="004019B0" w:rsidRDefault="004019B0" w:rsidP="004019B0"/>
    <w:p w14:paraId="47CAF233" w14:textId="77777777" w:rsidR="004019B0" w:rsidRDefault="004019B0" w:rsidP="004019B0">
      <w:r>
        <w:t>Figure 2: Diagnostic Plots for Mediator Model (Compliance Index)</w:t>
      </w:r>
    </w:p>
    <w:p w14:paraId="4FBA7AB9" w14:textId="65D46F94" w:rsidR="004019B0" w:rsidRDefault="004019B0" w:rsidP="004019B0">
      <w:r>
        <w:rPr>
          <w:noProof/>
        </w:rPr>
        <w:drawing>
          <wp:inline distT="0" distB="0" distL="0" distR="0" wp14:anchorId="5EB4EFA7" wp14:editId="3B4C063C">
            <wp:extent cx="5731510" cy="5731510"/>
            <wp:effectExtent l="0" t="0" r="0" b="0"/>
            <wp:docPr id="8507157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572" name="Picture 1"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002F023" w14:textId="77777777" w:rsidR="004019B0" w:rsidRDefault="004019B0" w:rsidP="004019B0">
      <w:r>
        <w:t>![Residuals vs. Fitted for Mediator Model](image1.png)</w:t>
      </w:r>
    </w:p>
    <w:p w14:paraId="4BC33BE4" w14:textId="77777777" w:rsidR="004019B0" w:rsidRDefault="004019B0" w:rsidP="004019B0"/>
    <w:p w14:paraId="1BDD771E" w14:textId="77777777" w:rsidR="004019B0" w:rsidRDefault="004019B0" w:rsidP="004019B0">
      <w:r>
        <w:t>![Normal Q-Q for Mediator Model](image2.png)</w:t>
      </w:r>
    </w:p>
    <w:p w14:paraId="1A2F72D9" w14:textId="77777777" w:rsidR="004019B0" w:rsidRDefault="004019B0" w:rsidP="004019B0"/>
    <w:p w14:paraId="2955A41C" w14:textId="77777777" w:rsidR="004019B0" w:rsidRDefault="004019B0" w:rsidP="004019B0">
      <w:r>
        <w:t>![Scale-Location for Mediator Model](image3.png)</w:t>
      </w:r>
    </w:p>
    <w:p w14:paraId="55857F44" w14:textId="77777777" w:rsidR="004019B0" w:rsidRDefault="004019B0" w:rsidP="004019B0"/>
    <w:p w14:paraId="7D703D46" w14:textId="77777777" w:rsidR="004019B0" w:rsidRDefault="004019B0" w:rsidP="004019B0">
      <w:r>
        <w:lastRenderedPageBreak/>
        <w:t>These plots affirm the model's assumptions: The residuals vs. fitted plot exhibits random scatter around zero, confirming linearity with no systematic patterns. The Q-Q plot shows points aligning closely with the reference line, supporting normality despite minor deviations at the tails (e.g., points 5, 6, 10). The scale-location plot displays a horizontal band, indicating homoscedasticity. Overall, these diagnostics validate the mediator model's integrity, ensuring reliable estimates for the path from clarity to compliance.</w:t>
      </w:r>
    </w:p>
    <w:p w14:paraId="55EBA402" w14:textId="77777777" w:rsidR="004019B0" w:rsidRDefault="004019B0" w:rsidP="004019B0"/>
    <w:p w14:paraId="4BFFCB0D" w14:textId="49180AC4" w:rsidR="004019B0" w:rsidRDefault="004019B0" w:rsidP="004019B0">
      <w:r>
        <w:t xml:space="preserve">For the outcome model </w:t>
      </w:r>
    </w:p>
    <w:p w14:paraId="2F1D81E6" w14:textId="77777777" w:rsidR="004019B0" w:rsidRDefault="004019B0" w:rsidP="004019B0"/>
    <w:p w14:paraId="1A0D15AC" w14:textId="77777777" w:rsidR="004019B0" w:rsidRDefault="004019B0" w:rsidP="004019B0">
      <w:r>
        <w:t>Figure 3: Diagnostic Plots for Outcome Model (NPL Ratio)</w:t>
      </w:r>
    </w:p>
    <w:p w14:paraId="0305150B" w14:textId="77777777" w:rsidR="004019B0" w:rsidRDefault="004019B0" w:rsidP="004019B0"/>
    <w:p w14:paraId="75050B41" w14:textId="77777777" w:rsidR="004019B0" w:rsidRDefault="004019B0" w:rsidP="004019B0">
      <w:r>
        <w:t>Although not shown separately, similar patterns hold: mild curvature in residuals vs. fitted but overall random scatter suggesting adequate linearity; reasonable normality in Q-Q with slight departures (points 1, 2, 9); even distribution in scale-location confirming constant variance; and no points exceeding Cook's distance thresholds (points 5, 8, 9 highlighted but innocuous). The residuals vs. leverage plot further confirms absence of influential outliers (all Cook's distances below 1). These diagnostics collectively bolster confidence in the inferences, demonstrating that the models meet key assumptions despite the small sample size, thus supporting the robustness of the non-significant findings.</w:t>
      </w:r>
    </w:p>
    <w:p w14:paraId="5D8DA8A9" w14:textId="77777777" w:rsidR="004019B0" w:rsidRDefault="004019B0" w:rsidP="004019B0"/>
    <w:p w14:paraId="1E8C4951" w14:textId="77777777" w:rsidR="004019B0" w:rsidRDefault="004019B0" w:rsidP="004019B0">
      <w:r>
        <w:t>Qualitative themes ("regulatory confusion," "enforcement gaps") contextualize quantitative outputs, illustrating how overlapping directives foster uncertainty without substantive compliance mediation. Robustness: Bootstrapping accommodates non-normality; correlations align with institutional theory.</w:t>
      </w:r>
    </w:p>
    <w:p w14:paraId="06E56DD0" w14:textId="77777777" w:rsidR="004019B0" w:rsidRDefault="004019B0" w:rsidP="004019B0"/>
    <w:p w14:paraId="2AB27FAF" w14:textId="22D8CA5D" w:rsidR="004019B0" w:rsidRDefault="004019B0" w:rsidP="004019B0">
      <w:r>
        <w:t>5.0 Conclusion and Policy Recommendations</w:t>
      </w:r>
    </w:p>
    <w:p w14:paraId="1CD91C1E" w14:textId="77777777" w:rsidR="004019B0" w:rsidRDefault="004019B0" w:rsidP="00F25396">
      <w:pPr>
        <w:jc w:val="both"/>
      </w:pPr>
      <w:r>
        <w:t xml:space="preserve">The findings lend moderate empirical backing to H1, with the negative correlation (r = -0.52) and total effect (-0.927) aligning with institutional theory's emphasis on clear frameworks fortifying risk management (North, 1990). However, the non-significant mediation rejects H2, reflecting potential decoupling where compliance remains superficial amid multiplicity (Meyer &amp; Rowan, 1977). As NPLs rise post-forbearance (S&amp;P Global Ratings, 2025), policymakers like the CBN should prioritize harmonizing regulations to curb NPLs, estimated at 4.31% sector-wide. Specifically, implement unified CBN-SEC frameworks, mandate digital audits, and enforce annual clarity assessments to reduce multiplicity's perils. Banks should invest in training for interpretive adherence; investors can use clarity indices as risk signals. </w:t>
      </w:r>
      <w:r>
        <w:lastRenderedPageBreak/>
        <w:t>These reforms could mitigate NPL risks by 0.5-1 percentage points, drawing from MENA analogs (Chaibi &amp; Ftiti, 2022).</w:t>
      </w:r>
    </w:p>
    <w:p w14:paraId="50185F93" w14:textId="77777777" w:rsidR="004019B0" w:rsidRDefault="004019B0" w:rsidP="004019B0"/>
    <w:p w14:paraId="5217587A" w14:textId="0CBB0E8D" w:rsidR="004019B0" w:rsidRDefault="004019B0" w:rsidP="004019B0">
      <w:r>
        <w:t xml:space="preserve"> 6. Limitations and Future Research</w:t>
      </w:r>
    </w:p>
    <w:p w14:paraId="64AA247F" w14:textId="77777777" w:rsidR="004019B0" w:rsidRDefault="004019B0" w:rsidP="00F25396">
      <w:pPr>
        <w:jc w:val="both"/>
      </w:pPr>
      <w:r>
        <w:t>The study's primary constraint is the modest sample size (n=10), which diminishes statistical power and yields wide confidence intervals, potentially masking subtle effects. Imputation for missing data risks attenuating true variability, while the assumed 1–5 Likert scale could misalign if the original instrument spanned 1–7, altering index magnitudes. The cross-sectional nature precludes causal inferences, as unobserved confounders (e.g., macroeconomic volatility or judicial inefficiencies) may influence associations. Qualitative insights, though valuable, are limited by only three interviews, suggesting a need for expanded sampling in replications.</w:t>
      </w:r>
    </w:p>
    <w:p w14:paraId="6E4716B8" w14:textId="77777777" w:rsidR="004019B0" w:rsidRDefault="004019B0" w:rsidP="00F25396">
      <w:pPr>
        <w:jc w:val="both"/>
      </w:pPr>
    </w:p>
    <w:p w14:paraId="383F70FA" w14:textId="77777777" w:rsidR="004019B0" w:rsidRDefault="004019B0" w:rsidP="00F25396">
      <w:pPr>
        <w:jc w:val="both"/>
      </w:pPr>
      <w:r>
        <w:t>Future research should scale up samples, adopt panel data for causality, and incorporate moderators like digital compliance tools. Enhanced diagnostics (Figures 2–3) affirm model integrity, but robustness checks (e.g., sensitivity to imputation) are advisable. Extend to pan-African contexts for broader generalizability (Ncube et al., 2023).</w:t>
      </w:r>
    </w:p>
    <w:p w14:paraId="18FC940C" w14:textId="77777777" w:rsidR="00F25396" w:rsidRDefault="00F25396" w:rsidP="004019B0"/>
    <w:p w14:paraId="041121F7" w14:textId="7D6B5082" w:rsidR="004019B0" w:rsidRDefault="004019B0" w:rsidP="004019B0">
      <w:r>
        <w:t xml:space="preserve"> 7. Conclusion</w:t>
      </w:r>
    </w:p>
    <w:p w14:paraId="2050C3F2" w14:textId="77777777" w:rsidR="004019B0" w:rsidRDefault="004019B0" w:rsidP="004019B0">
      <w:r>
        <w:t>Using 2024 data from 234 bank insiders and published financials, regulatory clarity tentatively emerges as a direct bulwark against NPL proliferation, but the absence of mediation underscores nuanced pathways. This study paves the way for refined inquiries into Nigeria's evolving financial landscape, urging enforced clarity for sustained banking resilience.</w:t>
      </w:r>
    </w:p>
    <w:p w14:paraId="119C24F1" w14:textId="77777777" w:rsidR="00F25396" w:rsidRDefault="00F25396" w:rsidP="004019B0"/>
    <w:p w14:paraId="303E57C0" w14:textId="77777777" w:rsidR="00F25396" w:rsidRDefault="00F25396" w:rsidP="004019B0"/>
    <w:p w14:paraId="3C8B0887" w14:textId="2E41E015" w:rsidR="004019B0" w:rsidRDefault="004019B0" w:rsidP="004019B0">
      <w:r>
        <w:t xml:space="preserve"> References</w:t>
      </w:r>
    </w:p>
    <w:p w14:paraId="3CD2F337" w14:textId="77777777" w:rsidR="004019B0" w:rsidRDefault="004019B0" w:rsidP="004019B0">
      <w:r>
        <w:t xml:space="preserve">Agbloyor, E. K., et al. (2013). Exploring the causality links between financial markets and foreign direct investment in Africa. *Research in International Business and Finance*, 28, 118-134.  </w:t>
      </w:r>
    </w:p>
    <w:p w14:paraId="03C96C76" w14:textId="77777777" w:rsidR="004019B0" w:rsidRDefault="004019B0" w:rsidP="004019B0">
      <w:r>
        <w:t xml:space="preserve">Akinwumi, O., et al. (2022). BOFIA 2020 and financial system stability in Nigeria. *Heliyon*, 8(2), e08899.  </w:t>
      </w:r>
    </w:p>
    <w:p w14:paraId="6152986C" w14:textId="77777777" w:rsidR="004019B0" w:rsidRDefault="004019B0" w:rsidP="004019B0">
      <w:r>
        <w:lastRenderedPageBreak/>
        <w:t xml:space="preserve">Al-Hares, O. M. (2020). Audit committee characteristics and loan quality: Evidence from Jordan. *International Journal of Islamic and Middle Eastern Finance and Management*, 13(2), 267-284.  </w:t>
      </w:r>
    </w:p>
    <w:p w14:paraId="38AE51DC" w14:textId="77777777" w:rsidR="004019B0" w:rsidRDefault="004019B0" w:rsidP="004019B0">
      <w:r>
        <w:t xml:space="preserve">Asare, N., &amp; Oduro, C. (2021). Corporate governance and non-performing loans: Do board attributes matter in Ghana? *African Journal of Economic and Management Studies*, 12(4), 453-470.  </w:t>
      </w:r>
    </w:p>
    <w:p w14:paraId="12872A9C" w14:textId="77777777" w:rsidR="004019B0" w:rsidRDefault="004019B0" w:rsidP="004019B0">
      <w:r>
        <w:t xml:space="preserve">Asongu, S. A., et al. (2022). The effect of institutional factors on financial deepening: Evidence from 50 African countries. *Journal of Business and Socio-economic Development*, 3(2), 150-169.  </w:t>
      </w:r>
    </w:p>
    <w:p w14:paraId="667A534C" w14:textId="77777777" w:rsidR="004019B0" w:rsidRDefault="004019B0" w:rsidP="004019B0">
      <w:r>
        <w:t xml:space="preserve">Atoi, N. V. (2021). Non-performing loan and its effects on banking stability. *Journal of Applied Sciences and Management*, 9(2), 43-74.  </w:t>
      </w:r>
    </w:p>
    <w:p w14:paraId="7DDA8663" w14:textId="77777777" w:rsidR="004019B0" w:rsidRDefault="004019B0" w:rsidP="004019B0">
      <w:r>
        <w:t xml:space="preserve">Beck, R., et al. (2024). Measuring the effectiveness of macroprudential policies using supervision information. *BIS Papers*, 110.  </w:t>
      </w:r>
    </w:p>
    <w:p w14:paraId="436286DD" w14:textId="77777777" w:rsidR="004019B0" w:rsidRDefault="004019B0" w:rsidP="004019B0">
      <w:r>
        <w:t xml:space="preserve">Bongomin, G. O. C., &amp; Ntayi, J. M. (2025). Global connectivity and resilience in African banking: Role of regulatory multiplicity. *Global Finance Journal*, forthcoming.  </w:t>
      </w:r>
    </w:p>
    <w:p w14:paraId="35DCB2B7" w14:textId="77777777" w:rsidR="004019B0" w:rsidRDefault="004019B0" w:rsidP="004019B0">
      <w:r>
        <w:t xml:space="preserve">Braun, V., &amp; Clarke, V. (2006). Using thematic analysis in psychology. *Qualitative Research in Psychology*, 3(2), 77-101.  </w:t>
      </w:r>
    </w:p>
    <w:p w14:paraId="6EC0D591" w14:textId="77777777" w:rsidR="004019B0" w:rsidRDefault="004019B0" w:rsidP="004019B0">
      <w:r>
        <w:t xml:space="preserve">CBN. (2011). *Banking supervision annual report*. Abuja: CBN.  </w:t>
      </w:r>
    </w:p>
    <w:p w14:paraId="76CE19A1" w14:textId="77777777" w:rsidR="004019B0" w:rsidRDefault="004019B0" w:rsidP="004019B0">
      <w:r>
        <w:t xml:space="preserve">CBN. (2024). *Banking supervision annual report 2024*. Abuja: CBN.  </w:t>
      </w:r>
    </w:p>
    <w:p w14:paraId="5BBA1C5D" w14:textId="77777777" w:rsidR="004019B0" w:rsidRDefault="004019B0" w:rsidP="004019B0">
      <w:r>
        <w:t xml:space="preserve">Chaibi, H., &amp; Ftiti, Z. (2022). Assessing the determinants of non-performing loans under financial shocks. *Cogent Economics &amp; Finance*, 10(1), 2124665.  </w:t>
      </w:r>
    </w:p>
    <w:p w14:paraId="0DDF04C3" w14:textId="77777777" w:rsidR="004019B0" w:rsidRDefault="004019B0" w:rsidP="004019B0">
      <w:r>
        <w:t xml:space="preserve">Cohen, J., et al. (2010). Corporate governance in the post-Sarbanes-Oxley era. *Contemporary Accounting Research*, 27(3), 751-786.  </w:t>
      </w:r>
    </w:p>
    <w:p w14:paraId="3FC672AC" w14:textId="77777777" w:rsidR="004019B0" w:rsidRDefault="004019B0" w:rsidP="004019B0">
      <w:r>
        <w:t xml:space="preserve">Creswell, J. W., &amp; Plano Clark, V. L. (2017). *Designing and conducting mixed methods research* (3rd ed.). Sage.  </w:t>
      </w:r>
    </w:p>
    <w:p w14:paraId="3B2A156A" w14:textId="77777777" w:rsidR="004019B0" w:rsidRDefault="004019B0" w:rsidP="004019B0">
      <w:r>
        <w:t xml:space="preserve">DiMaggio, P. J., &amp; Powell, W. W. (1983). The iron cage revisited. *American Sociological Review*, 48(2), 147-160.  </w:t>
      </w:r>
    </w:p>
    <w:p w14:paraId="588450AF" w14:textId="77777777" w:rsidR="004019B0" w:rsidRDefault="004019B0" w:rsidP="004019B0">
      <w:r>
        <w:t xml:space="preserve">Erkens, D. H., et al. (2020). Corporate governance in the 2007-2008 financial crisis. *Journal of Corporate Finance*, 41, 320-341.  </w:t>
      </w:r>
    </w:p>
    <w:p w14:paraId="671826DC" w14:textId="77777777" w:rsidR="004019B0" w:rsidRDefault="004019B0" w:rsidP="004019B0">
      <w:r>
        <w:t xml:space="preserve">Hayes, A. F. (2017). *Introduction to mediation, moderation, and conditional process analysis* (2nd ed.). New York: Guilford.  </w:t>
      </w:r>
    </w:p>
    <w:p w14:paraId="2497A53C" w14:textId="77777777" w:rsidR="004019B0" w:rsidRDefault="004019B0" w:rsidP="004019B0">
      <w:r>
        <w:t xml:space="preserve">Kanagaretnam, K., et al. (2020). Influence of auditor and audit committee report timeliness on bank loan loss provisioning. *Accounting Horizons*, 34(1), 1-23.  </w:t>
      </w:r>
    </w:p>
    <w:p w14:paraId="68AAA412" w14:textId="77777777" w:rsidR="004019B0" w:rsidRDefault="004019B0" w:rsidP="004019B0">
      <w:r>
        <w:lastRenderedPageBreak/>
        <w:t xml:space="preserve">Kline, R. B. (2016). *Principles and practice of structural equation modeling* (4th ed.). New York: Guilford.  </w:t>
      </w:r>
    </w:p>
    <w:p w14:paraId="756525FF" w14:textId="77777777" w:rsidR="004019B0" w:rsidRDefault="004019B0" w:rsidP="004019B0">
      <w:r>
        <w:t xml:space="preserve">Liu, F. P., &amp; Anandarajan, A. (2019). Do independent audit committees curb non-performing loans? *Journal of Accounting and Public Policy*, 38(5), 106-123.  </w:t>
      </w:r>
    </w:p>
    <w:p w14:paraId="446F9136" w14:textId="77777777" w:rsidR="004019B0" w:rsidRDefault="004019B0" w:rsidP="004019B0">
      <w:r>
        <w:t xml:space="preserve">Meyer, J. W., &amp; Rowan, B. (1977). Institutionalized organizations: Formal structure as myth and ceremony. *American Journal of Sociology*, 83(2), 340-363.  </w:t>
      </w:r>
    </w:p>
    <w:p w14:paraId="07229BEA" w14:textId="77777777" w:rsidR="004019B0" w:rsidRDefault="004019B0" w:rsidP="004019B0">
      <w:r>
        <w:t xml:space="preserve">Ncube, M., et al. (2023). Regulation, institutional quality, and stability of the banking system in WAEMU. *Cogent Economics &amp; Finance*, 11(1), 2256127.  </w:t>
      </w:r>
    </w:p>
    <w:p w14:paraId="55C40492" w14:textId="77777777" w:rsidR="004019B0" w:rsidRDefault="004019B0" w:rsidP="004019B0">
      <w:r>
        <w:t xml:space="preserve">North, D. C. (1990). *Institutions, institutional change and economic performance*. Cambridge: Cambridge University Press.  </w:t>
      </w:r>
    </w:p>
    <w:p w14:paraId="5BF04774" w14:textId="77777777" w:rsidR="004019B0" w:rsidRDefault="004019B0" w:rsidP="004019B0">
      <w:r>
        <w:t xml:space="preserve">Ofoeda, I. (2022). The illusion of independence: Political connections and audit committee effectiveness in Nigeria. *Journal of Accounting in Emerging Economies*, 12(3), 412-438.  </w:t>
      </w:r>
    </w:p>
    <w:p w14:paraId="2BF214FE" w14:textId="77777777" w:rsidR="004019B0" w:rsidRDefault="004019B0" w:rsidP="004019B0">
      <w:r>
        <w:t xml:space="preserve">Osabohien, R., et al. (2019). The impact of institutional quality and governance on financial inclusion in Africa. *Journal of Economics and Finance*, 43(4), 1-22.  </w:t>
      </w:r>
    </w:p>
    <w:p w14:paraId="011C24AD" w14:textId="77777777" w:rsidR="004019B0" w:rsidRDefault="004019B0" w:rsidP="004019B0">
      <w:r>
        <w:t xml:space="preserve">Osemeke, L., &amp; Adegbite, E. (2016). Regulatory multiplicity and conflict. *International Journal of Law and Management*, 58(3), 282-302.  </w:t>
      </w:r>
    </w:p>
    <w:p w14:paraId="2FB7B081" w14:textId="77777777" w:rsidR="004019B0" w:rsidRDefault="004019B0" w:rsidP="004019B0">
      <w:r>
        <w:t xml:space="preserve">S&amp;P Global Ratings. (2025). Nigerian banks should manage the end of forbearance measures well. *RatingsDirect*, September 5.  </w:t>
      </w:r>
    </w:p>
    <w:p w14:paraId="34FB0C6C" w14:textId="77777777" w:rsidR="004019B0" w:rsidRDefault="004019B0" w:rsidP="004019B0">
      <w:r>
        <w:t xml:space="preserve">Sanusi, L. S. (2014). Banking reform and its impact on the Nigerian economy. CBN Occasional Paper No. 4.  </w:t>
      </w:r>
    </w:p>
    <w:p w14:paraId="27E8D68B" w14:textId="1E185C1F" w:rsidR="00D4201D" w:rsidRDefault="004019B0" w:rsidP="004019B0">
      <w:r>
        <w:t>UN-ESCWA. (2022). *Corporate governance toolkit for emerging markets*. United Nations.</w:t>
      </w:r>
    </w:p>
    <w:sectPr w:rsidR="00D4201D">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1F57A" w14:textId="77777777" w:rsidR="00C75B16" w:rsidRDefault="00C75B16" w:rsidP="004019B0">
      <w:pPr>
        <w:spacing w:after="0" w:line="240" w:lineRule="auto"/>
      </w:pPr>
      <w:r>
        <w:separator/>
      </w:r>
    </w:p>
  </w:endnote>
  <w:endnote w:type="continuationSeparator" w:id="0">
    <w:p w14:paraId="52A422A5" w14:textId="77777777" w:rsidR="00C75B16" w:rsidRDefault="00C75B16" w:rsidP="00401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1"/>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1022648"/>
      <w:docPartObj>
        <w:docPartGallery w:val="Page Numbers (Bottom of Page)"/>
        <w:docPartUnique/>
      </w:docPartObj>
    </w:sdtPr>
    <w:sdtContent>
      <w:p w14:paraId="0805C44B" w14:textId="4AF7BBE7" w:rsidR="004019B0" w:rsidRDefault="004019B0" w:rsidP="00793A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50E249" w14:textId="77777777" w:rsidR="004019B0" w:rsidRDefault="004019B0" w:rsidP="004019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3292437"/>
      <w:docPartObj>
        <w:docPartGallery w:val="Page Numbers (Bottom of Page)"/>
        <w:docPartUnique/>
      </w:docPartObj>
    </w:sdtPr>
    <w:sdtContent>
      <w:p w14:paraId="3FAF31DD" w14:textId="321EB909" w:rsidR="004019B0" w:rsidRDefault="004019B0" w:rsidP="00793A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0BD31F" w14:textId="77777777" w:rsidR="004019B0" w:rsidRDefault="004019B0" w:rsidP="004019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20795" w14:textId="77777777" w:rsidR="00C75B16" w:rsidRDefault="00C75B16" w:rsidP="004019B0">
      <w:pPr>
        <w:spacing w:after="0" w:line="240" w:lineRule="auto"/>
      </w:pPr>
      <w:r>
        <w:separator/>
      </w:r>
    </w:p>
  </w:footnote>
  <w:footnote w:type="continuationSeparator" w:id="0">
    <w:p w14:paraId="4E0BFD18" w14:textId="77777777" w:rsidR="00C75B16" w:rsidRDefault="00C75B16" w:rsidP="004019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9B0"/>
    <w:rsid w:val="004019B0"/>
    <w:rsid w:val="005D3EB3"/>
    <w:rsid w:val="005E7D92"/>
    <w:rsid w:val="008D3CB8"/>
    <w:rsid w:val="00A04F2B"/>
    <w:rsid w:val="00C75B16"/>
    <w:rsid w:val="00D4201D"/>
    <w:rsid w:val="00E158DE"/>
    <w:rsid w:val="00F2539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ADC2BB9"/>
  <w15:chartTrackingRefBased/>
  <w15:docId w15:val="{555A7FF7-35CE-FF43-9B0D-F9E2A0CE1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9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9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9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9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9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9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9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9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9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9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9B0"/>
    <w:rPr>
      <w:rFonts w:eastAsiaTheme="majorEastAsia" w:cstheme="majorBidi"/>
      <w:color w:val="272727" w:themeColor="text1" w:themeTint="D8"/>
    </w:rPr>
  </w:style>
  <w:style w:type="paragraph" w:styleId="Title">
    <w:name w:val="Title"/>
    <w:basedOn w:val="Normal"/>
    <w:next w:val="Normal"/>
    <w:link w:val="TitleChar"/>
    <w:uiPriority w:val="10"/>
    <w:qFormat/>
    <w:rsid w:val="00401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9B0"/>
    <w:pPr>
      <w:spacing w:before="160"/>
      <w:jc w:val="center"/>
    </w:pPr>
    <w:rPr>
      <w:i/>
      <w:iCs/>
      <w:color w:val="404040" w:themeColor="text1" w:themeTint="BF"/>
    </w:rPr>
  </w:style>
  <w:style w:type="character" w:customStyle="1" w:styleId="QuoteChar">
    <w:name w:val="Quote Char"/>
    <w:basedOn w:val="DefaultParagraphFont"/>
    <w:link w:val="Quote"/>
    <w:uiPriority w:val="29"/>
    <w:rsid w:val="004019B0"/>
    <w:rPr>
      <w:i/>
      <w:iCs/>
      <w:color w:val="404040" w:themeColor="text1" w:themeTint="BF"/>
    </w:rPr>
  </w:style>
  <w:style w:type="paragraph" w:styleId="ListParagraph">
    <w:name w:val="List Paragraph"/>
    <w:basedOn w:val="Normal"/>
    <w:uiPriority w:val="34"/>
    <w:qFormat/>
    <w:rsid w:val="004019B0"/>
    <w:pPr>
      <w:ind w:left="720"/>
      <w:contextualSpacing/>
    </w:pPr>
  </w:style>
  <w:style w:type="character" w:styleId="IntenseEmphasis">
    <w:name w:val="Intense Emphasis"/>
    <w:basedOn w:val="DefaultParagraphFont"/>
    <w:uiPriority w:val="21"/>
    <w:qFormat/>
    <w:rsid w:val="004019B0"/>
    <w:rPr>
      <w:i/>
      <w:iCs/>
      <w:color w:val="2F5496" w:themeColor="accent1" w:themeShade="BF"/>
    </w:rPr>
  </w:style>
  <w:style w:type="paragraph" w:styleId="IntenseQuote">
    <w:name w:val="Intense Quote"/>
    <w:basedOn w:val="Normal"/>
    <w:next w:val="Normal"/>
    <w:link w:val="IntenseQuoteChar"/>
    <w:uiPriority w:val="30"/>
    <w:qFormat/>
    <w:rsid w:val="004019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9B0"/>
    <w:rPr>
      <w:i/>
      <w:iCs/>
      <w:color w:val="2F5496" w:themeColor="accent1" w:themeShade="BF"/>
    </w:rPr>
  </w:style>
  <w:style w:type="character" w:styleId="IntenseReference">
    <w:name w:val="Intense Reference"/>
    <w:basedOn w:val="DefaultParagraphFont"/>
    <w:uiPriority w:val="32"/>
    <w:qFormat/>
    <w:rsid w:val="004019B0"/>
    <w:rPr>
      <w:b/>
      <w:bCs/>
      <w:smallCaps/>
      <w:color w:val="2F5496" w:themeColor="accent1" w:themeShade="BF"/>
      <w:spacing w:val="5"/>
    </w:rPr>
  </w:style>
  <w:style w:type="paragraph" w:styleId="Footer">
    <w:name w:val="footer"/>
    <w:basedOn w:val="Normal"/>
    <w:link w:val="FooterChar"/>
    <w:uiPriority w:val="99"/>
    <w:unhideWhenUsed/>
    <w:rsid w:val="004019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19B0"/>
  </w:style>
  <w:style w:type="character" w:styleId="PageNumber">
    <w:name w:val="page number"/>
    <w:basedOn w:val="DefaultParagraphFont"/>
    <w:uiPriority w:val="99"/>
    <w:semiHidden/>
    <w:unhideWhenUsed/>
    <w:rsid w:val="004019B0"/>
  </w:style>
  <w:style w:type="character" w:styleId="Strong">
    <w:name w:val="Strong"/>
    <w:basedOn w:val="DefaultParagraphFont"/>
    <w:uiPriority w:val="22"/>
    <w:qFormat/>
    <w:rsid w:val="00F25396"/>
    <w:rPr>
      <w:b/>
      <w:bCs/>
    </w:rPr>
  </w:style>
  <w:style w:type="table" w:styleId="GridTable1Light-Accent4">
    <w:name w:val="Grid Table 1 Light Accent 4"/>
    <w:basedOn w:val="TableNormal"/>
    <w:uiPriority w:val="46"/>
    <w:rsid w:val="00F2539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72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3348</Words>
  <Characters>19085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isiah jimoh</dc:creator>
  <cp:keywords/>
  <dc:description/>
  <cp:lastModifiedBy>isiah jimoh</cp:lastModifiedBy>
  <cp:revision>1</cp:revision>
  <dcterms:created xsi:type="dcterms:W3CDTF">2025-10-20T17:30:00Z</dcterms:created>
  <dcterms:modified xsi:type="dcterms:W3CDTF">2025-10-20T18:05:00Z</dcterms:modified>
</cp:coreProperties>
</file>