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595959"/>
          <w:sz w:val="24"/>
          <w:szCs w:val="24"/>
        </w:rPr>
        <w:t xml:space="preserve">Universidad de las Fuerzas Armadas ESPE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Sede Santo Domingo de los Tsáchilas</w:t>
      </w:r>
    </w:p>
    <w:p>
      <w:pPr>
        <w:spacing w:after="200"/>
        <w:jc w:val="center"/>
      </w:pPr>
      <w:r>
        <w:rPr>
          <w:b/>
          <w:bCs/>
          <w:color w:val="1F4E79"/>
          <w:sz w:val="44"/>
          <w:szCs w:val="44"/>
        </w:rPr>
        <w:t xml:space="preserve">Guía de trabajo del equipo</w:t>
      </w:r>
    </w:p>
    <w:p>
      <w:pPr>
        <w:spacing w:after="600"/>
        <w:jc w:val="center"/>
      </w:pPr>
      <w:r>
        <w:rPr>
          <w:color w:val="2E75B6"/>
          <w:sz w:val="30"/>
          <w:szCs w:val="30"/>
        </w:rPr>
        <w:t xml:space="preserve">Modelo Bloqueante vs. Modelo Reactivo en Spring Boot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Integración Continua · Pruebas de Integración · Despliegue Continuo</w:t>
      </w:r>
    </w:p>
    <w:p>
      <w:pPr>
        <w:spacing w:after="900"/>
        <w:jc w:val="center"/>
      </w:pPr>
      <w:r>
        <w:rPr>
          <w:color w:val="595959"/>
          <w:sz w:val="22"/>
          <w:szCs w:val="22"/>
        </w:rPr>
        <w:t xml:space="preserve">Con TDD (Red–Green–Refactor) y patrón AAA</w:t>
      </w:r>
    </w:p>
    <w:p>
      <w:pPr>
        <w:spacing w:after="60"/>
        <w:jc w:val="center"/>
      </w:pPr>
      <w:r>
        <w:rPr>
          <w:sz w:val="22"/>
          <w:szCs w:val="22"/>
        </w:rPr>
        <w:t xml:space="preserve">Equipo: Anderson Lara · Juan Jiménez · Molina</w:t>
      </w:r>
    </w:p>
    <w:p>
      <w:pPr>
        <w:jc w:val="center"/>
      </w:pPr>
      <w:r>
        <w:rPr>
          <w:color w:val="595959"/>
          <w:sz w:val="20"/>
          <w:szCs w:val="20"/>
        </w:rPr>
        <w:t xml:space="preserve">Ingeniería en Tecnologías de la Información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1. Objetivo del entregable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proyecto de comparación entre el </w:t>
      </w:r>
      <w:r>
        <w:rPr>
          <w:b/>
          <w:bCs/>
          <w:sz w:val="22"/>
          <w:szCs w:val="22"/>
        </w:rPr>
        <w:t xml:space="preserve">modelo bloqueante</w:t>
      </w:r>
      <w:r>
        <w:rPr>
          <w:sz w:val="22"/>
          <w:szCs w:val="22"/>
        </w:rPr>
        <w:t xml:space="preserve"> (Spring MVC + Tomcat + JPA) y el </w:t>
      </w:r>
      <w:r>
        <w:rPr>
          <w:b/>
          <w:bCs/>
          <w:sz w:val="22"/>
          <w:szCs w:val="22"/>
        </w:rPr>
        <w:t xml:space="preserve">modelo reactivo</w:t>
      </w:r>
      <w:r>
        <w:rPr>
          <w:sz w:val="22"/>
          <w:szCs w:val="22"/>
        </w:rPr>
        <w:t xml:space="preserve"> (Spring WebFlux + Netty + R2DBC) ya está terminado en su parte funcional. Lo que falta es </w:t>
      </w:r>
      <w:r>
        <w:rPr>
          <w:b/>
          <w:bCs/>
          <w:sz w:val="22"/>
          <w:szCs w:val="22"/>
        </w:rPr>
        <w:t xml:space="preserve">añadir la capa de calidad y automatización</w:t>
      </w:r>
      <w:r>
        <w:rPr>
          <w:sz w:val="22"/>
          <w:szCs w:val="22"/>
        </w:rPr>
        <w:t xml:space="preserve">: integración continua (CI), pruebas de integración, despliegue continuo (CD) y evidenciar el ciclo </w:t>
      </w:r>
      <w:r>
        <w:rPr>
          <w:b/>
          <w:bCs/>
          <w:sz w:val="22"/>
          <w:szCs w:val="22"/>
        </w:rPr>
        <w:t xml:space="preserve">Red–Green–Refactor</w:t>
      </w:r>
      <w:r>
        <w:rPr>
          <w:sz w:val="22"/>
          <w:szCs w:val="22"/>
        </w:rPr>
        <w:t xml:space="preserve"> junto con el patrón </w:t>
      </w:r>
      <w:r>
        <w:rPr>
          <w:b/>
          <w:bCs/>
          <w:sz w:val="22"/>
          <w:szCs w:val="22"/>
        </w:rPr>
        <w:t xml:space="preserve">AAA (Arrange–Act–Assert)</w:t>
      </w:r>
      <w:r>
        <w:rPr>
          <w:sz w:val="22"/>
          <w:szCs w:val="22"/>
        </w:rPr>
        <w:t xml:space="preserve"> en las pruebas.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define </w:t>
      </w:r>
      <w:r>
        <w:rPr>
          <w:b/>
          <w:bCs/>
          <w:sz w:val="22"/>
          <w:szCs w:val="22"/>
        </w:rPr>
        <w:t xml:space="preserve">qué hace cada integrante</w:t>
      </w:r>
      <w:r>
        <w:rPr>
          <w:sz w:val="22"/>
          <w:szCs w:val="22"/>
        </w:rPr>
        <w:t xml:space="preserve"> y </w:t>
      </w:r>
      <w:r>
        <w:rPr>
          <w:b/>
          <w:bCs/>
          <w:sz w:val="22"/>
          <w:szCs w:val="22"/>
        </w:rPr>
        <w:t xml:space="preserve">qué debe entregar</w:t>
      </w:r>
      <w:r>
        <w:rPr>
          <w:sz w:val="22"/>
          <w:szCs w:val="22"/>
        </w:rPr>
        <w:t xml:space="preserve">, de modo que Anderson pueda armar el informe en Word y las presentaciones sin tener que perseguir información.</w:t>
      </w:r>
    </w:p>
    <w:tbl>
      <w:tblPr>
        <w:tblW w:type="dxa" w:w="9360"/>
        <w:tblBorders>
          <w:top w:val="single" w:color="1F4E79" w:sz="4"/>
          <w:left w:val="single" w:color="1F4E79" w:sz="18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Reparto de responsabilidades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Molina → </w:t>
            </w:r>
            <w:r>
              <w:rPr>
                <w:sz w:val="22"/>
                <w:szCs w:val="22"/>
              </w:rPr>
              <w:t xml:space="preserve">modelo reactivo (WebFlux / Netty / R2DBC)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Juan Jiménez → </w:t>
            </w:r>
            <w:r>
              <w:rPr>
                <w:sz w:val="22"/>
                <w:szCs w:val="22"/>
              </w:rPr>
              <w:t xml:space="preserve">modelo bloqueante (Spring MVC / Tomcat / JPA)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Anderson Lara → </w:t>
            </w:r>
            <w:r>
              <w:rPr>
                <w:sz w:val="22"/>
                <w:szCs w:val="22"/>
              </w:rPr>
              <w:t xml:space="preserve">redacción del informe, integración de resultados y presentaciones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2. Conceptos que ambos deben aplicar por igual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Para que el informe sea comparable, </w:t>
      </w:r>
      <w:r>
        <w:rPr>
          <w:b/>
          <w:bCs/>
          <w:sz w:val="22"/>
          <w:szCs w:val="22"/>
        </w:rPr>
        <w:t xml:space="preserve">los dos modelos deben documentarse con la misma estructura</w:t>
      </w:r>
      <w:r>
        <w:rPr>
          <w:sz w:val="22"/>
          <w:szCs w:val="22"/>
        </w:rPr>
        <w:t xml:space="preserve">. Antes de repartir tareas conviene alinear el vocabulario.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2.1. TDD: Red–Green–Refactor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Cada funcionalidad probada debe evidenciar el ciclo de tres fases. En el informe se muestra con una captura o fragmento por fase: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C00000"/>
          <w:sz w:val="22"/>
          <w:szCs w:val="22"/>
        </w:rPr>
        <w:t xml:space="preserve">Red (rojo): </w:t>
      </w:r>
      <w:r>
        <w:rPr>
          <w:sz w:val="22"/>
          <w:szCs w:val="22"/>
        </w:rPr>
        <w:t xml:space="preserve">se escribe primero la prueba, que falla porque la funcionalidad aún no existe o no cumple. Se adjunta la evidencia del test en rojo.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548235"/>
          <w:sz w:val="22"/>
          <w:szCs w:val="22"/>
        </w:rPr>
        <w:t xml:space="preserve">Green (verde): </w:t>
      </w:r>
      <w:r>
        <w:rPr>
          <w:sz w:val="22"/>
          <w:szCs w:val="22"/>
        </w:rPr>
        <w:t xml:space="preserve">se implementa el mínimo código necesario para que la prueba pase. Evidencia del test en verde.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BF8F00"/>
          <w:sz w:val="22"/>
          <w:szCs w:val="22"/>
        </w:rPr>
        <w:t xml:space="preserve">Refactor: </w:t>
      </w:r>
      <w:r>
        <w:rPr>
          <w:sz w:val="22"/>
          <w:szCs w:val="22"/>
        </w:rPr>
        <w:t xml:space="preserve">se mejora el código (nombres, duplicación, estructura) manteniendo las pruebas en verde. Se explica qué se refactorizó y por qué.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2.2. Patrón AAA (Arrange–Act–Assert)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Toda prueba debe estar estructurada visiblemente en tres bloques, idealmente separados con comentarios: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Arrange: </w:t>
      </w:r>
      <w:r>
        <w:rPr>
          <w:sz w:val="22"/>
          <w:szCs w:val="22"/>
        </w:rPr>
        <w:t xml:space="preserve">preparar datos, mocks, cliente HTTP, estado inicial.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Act: </w:t>
      </w:r>
      <w:r>
        <w:rPr>
          <w:sz w:val="22"/>
          <w:szCs w:val="22"/>
        </w:rPr>
        <w:t xml:space="preserve">ejecutar la acción bajo prueba (la llamada al endpoint o al servicio).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Assert: </w:t>
      </w:r>
      <w:r>
        <w:rPr>
          <w:sz w:val="22"/>
          <w:szCs w:val="22"/>
        </w:rPr>
        <w:t xml:space="preserve">verificar el resultado esperado (status, cuerpo, número de elementos, tiempo, etc.).</w:t>
      </w:r>
    </w:p>
    <w:tbl>
      <w:tblPr>
        <w:tblW w:type="dxa" w:w="9360"/>
        <w:tblBorders>
          <w:top w:val="single" w:color="595959" w:sz="4"/>
          <w:left w:val="single" w:color="595959" w:sz="18"/>
          <w:bottom w:val="single" w:color="595959" w:sz="4"/>
          <w:right w:val="single" w:color="59595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595959"/>
                <w:sz w:val="22"/>
                <w:szCs w:val="22"/>
              </w:rPr>
              <w:t xml:space="preserve">Ejemplo mínimo del patrón AAA (a incluir en cada modelo)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9C27B0"/>
                <w:sz w:val="20"/>
                <w:szCs w:val="20"/>
              </w:rPr>
              <w:t xml:space="preserve">// Arrange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9C27B0"/>
                <w:sz w:val="20"/>
                <w:szCs w:val="20"/>
              </w:rPr>
              <w:t xml:space="preserve">var request = new ProductoDTO("Teclado", 25.0);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9C27B0"/>
                <w:sz w:val="20"/>
                <w:szCs w:val="20"/>
              </w:rPr>
              <w:t xml:space="preserve">// Act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9C27B0"/>
                <w:sz w:val="20"/>
                <w:szCs w:val="20"/>
              </w:rPr>
              <w:t xml:space="preserve">var response = webTestClient.post().uri("/productos").bodyValue(request).exchange();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9C27B0"/>
                <w:sz w:val="20"/>
                <w:szCs w:val="20"/>
              </w:rPr>
              <w:t xml:space="preserve">// Assert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9C27B0"/>
                <w:sz w:val="20"/>
                <w:szCs w:val="20"/>
              </w:rPr>
              <w:t xml:space="preserve">response.expectStatus().isCreated();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2.3. Definiciones de la parte de automatización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Concepto</w:t>
            </w:r>
          </w:p>
        </w:tc>
        <w:tc>
          <w:tcPr>
            <w:tcW w:type="dxa" w:w="676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Qué se espera evidenciar</w:t>
            </w:r>
          </w:p>
        </w:tc>
      </w:tr>
      <w:tr>
        <w:tc>
          <w:tcPr>
            <w:tcW w:type="dxa" w:w="26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Integración Continua (CI)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pipeline que, ante cada push/PR, compila y ejecuta las pruebas automáticamente. Evidencia: archivo de workflow + ejecución en verde.</w:t>
            </w:r>
          </w:p>
        </w:tc>
      </w:tr>
      <w:tr>
        <w:tc>
          <w:tcPr>
            <w:tcW w:type="dxa" w:w="26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Pruebas de integración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Pruebas que levantan el contexto de Spring y validan el endpoint contra una base de datos real (o Testcontainers), no solo unitarias.</w:t>
            </w:r>
          </w:p>
        </w:tc>
      </w:tr>
      <w:tr>
        <w:tc>
          <w:tcPr>
            <w:tcW w:type="dxa" w:w="26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Despliegue Continuo (CD)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 al pasar CI, la aplicación se empaquete y despliegue automáticamente (imagen Docker, Render/Railway, etc.). Evidencia: pipeline de deploy + URL o contenedor corriendo.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3. Juan Jiménez — Modelo Bloqueante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Stack: </w:t>
      </w:r>
      <w:r>
        <w:rPr>
          <w:sz w:val="22"/>
          <w:szCs w:val="22"/>
        </w:rPr>
        <w:t xml:space="preserve">Spring MVC + Tomcat + Spring Data JPA. </w:t>
      </w:r>
      <w:r>
        <w:rPr>
          <w:sz w:val="22"/>
          <w:szCs w:val="22"/>
        </w:rPr>
        <w:t xml:space="preserve">Es el modelo que satura hilos (hasta 224) y colapsa alrededor de los 500 usuarios concurrentes; ese comportamiento es parte del resultado a documentar.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3.1. Qué debe hacer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Pruebas de integración con AAA. </w:t>
      </w:r>
      <w:r>
        <w:rPr>
          <w:sz w:val="22"/>
          <w:szCs w:val="22"/>
        </w:rPr>
        <w:t xml:space="preserve">Crear pruebas con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@SpringBootTest</w:t>
      </w:r>
      <w:r>
        <w:rPr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MockMvc</w:t>
      </w:r>
      <w:r>
        <w:rPr>
          <w:sz w:val="22"/>
          <w:szCs w:val="22"/>
        </w:rPr>
        <w:t xml:space="preserve"> (o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TestRestTemplate</w:t>
      </w:r>
      <w:r>
        <w:rPr>
          <w:sz w:val="22"/>
          <w:szCs w:val="22"/>
        </w:rPr>
        <w:t xml:space="preserve">) que levanten el contexto y validen los endpoints principales contra la base de datos (usar Testcontainers o H2). Cada test estructurado en Arrange–Act–Assert.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Ciclo Red–Green–Refactor documentado. </w:t>
      </w:r>
      <w:r>
        <w:rPr>
          <w:sz w:val="22"/>
          <w:szCs w:val="22"/>
        </w:rPr>
        <w:t xml:space="preserve">Elegir al menos </w:t>
      </w:r>
      <w:r>
        <w:rPr>
          <w:b/>
          <w:bCs/>
          <w:sz w:val="22"/>
          <w:szCs w:val="22"/>
        </w:rPr>
        <w:t xml:space="preserve">2 funcionalidades</w:t>
      </w:r>
      <w:r>
        <w:rPr>
          <w:sz w:val="22"/>
          <w:szCs w:val="22"/>
        </w:rPr>
        <w:t xml:space="preserve"> (por ejemplo, crear y listar) y capturar las tres fases: test en rojo, implementación mínima en verde, y una refactorización con las pruebas aún en verde.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Integración continua. </w:t>
      </w:r>
      <w:r>
        <w:rPr>
          <w:sz w:val="22"/>
          <w:szCs w:val="22"/>
        </w:rPr>
        <w:t xml:space="preserve">Configurar un workflow (GitHub Actions) que ejecute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mvn -B verify</w:t>
      </w:r>
      <w:r>
        <w:rPr>
          <w:sz w:val="22"/>
          <w:szCs w:val="22"/>
        </w:rPr>
        <w:t xml:space="preserve"> en cada push. Debe correr las pruebas de integración del modelo bloqueante y quedar en verde.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Despliegue continuo. </w:t>
      </w:r>
      <w:r>
        <w:rPr>
          <w:sz w:val="22"/>
          <w:szCs w:val="22"/>
        </w:rPr>
        <w:t xml:space="preserve">Dockerizar el servicio bloqueante y configurar el job de deploy (imagen a registry, o despliegue a Render/Railway) que se dispare tras un CI exitoso.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Prueba de carga (evidencia del colapso). </w:t>
      </w:r>
      <w:r>
        <w:rPr>
          <w:sz w:val="22"/>
          <w:szCs w:val="22"/>
        </w:rPr>
        <w:t xml:space="preserve">Ejecutar una prueba de concurrencia (JMeter, k6 o Gatling) subiendo usuarios hasta ~500 y registrar cómo se saturan los hilos y sube la latencia. Esto alimenta la comparación.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3.2. Qué debe entregar a Anderson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Código y tests</w:t>
      </w:r>
      <w:r>
        <w:rPr>
          <w:sz w:val="22"/>
          <w:szCs w:val="22"/>
        </w:rPr>
        <w:t xml:space="preserve"> en el repositorio, en su rama/carpeta del modelo bloqueante.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Capturas Red–Green–Refactor</w:t>
      </w:r>
      <w:r>
        <w:rPr>
          <w:sz w:val="22"/>
          <w:szCs w:val="22"/>
        </w:rPr>
        <w:t xml:space="preserve"> (una por fase, por cada funcionalidad) nombradas claramente, p. ej.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bloqueante_crear_red.png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Archivo del workflow de CI/CD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.github/workflows/*.yml</w:t>
      </w:r>
      <w:r>
        <w:rPr>
          <w:sz w:val="22"/>
          <w:szCs w:val="22"/>
        </w:rPr>
        <w:t xml:space="preserve">) y captura de la ejecución en verde en GitHub Actions.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Evidencia del despliegue</w:t>
      </w:r>
      <w:r>
        <w:rPr>
          <w:sz w:val="22"/>
          <w:szCs w:val="22"/>
        </w:rPr>
        <w:t xml:space="preserve">: captura del contenedor/servicio corriendo o URL activa.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Resultados de la prueba de carga</w:t>
      </w:r>
      <w:r>
        <w:rPr>
          <w:sz w:val="22"/>
          <w:szCs w:val="22"/>
        </w:rPr>
        <w:t xml:space="preserve">: tabla o gráfico con usuarios concurrentes vs. latencia / hilos / throughput, más el CSV crudo.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Redacción breve</w:t>
      </w:r>
      <w:r>
        <w:rPr>
          <w:sz w:val="22"/>
          <w:szCs w:val="22"/>
        </w:rPr>
        <w:t xml:space="preserve"> (media página): explicación de sus tests, qué refactorizó y qué observó en la carga.</w:t>
      </w:r>
    </w:p>
    <w:tbl>
      <w:tblPr>
        <w:tblW w:type="dxa" w:w="9360"/>
        <w:tblBorders>
          <w:top w:val="single" w:color="2E75B6" w:sz="4"/>
          <w:left w:val="single" w:color="2E75B6" w:sz="18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Formato pedido a Juan para que Anderson no reprocese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Imágenes en PNG, mínimo 1200 px de ancho, legibles.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Tablas de resultados en un mismo .xlsx o .csv (columnas: usuarios, latencia_ms, throughput, hilos, errores).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Texto en un .docx o .md aparte, en español, sin capturas incrustadas (las capturas van sueltas).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4. Molina — Modelo Reactivo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Stack: </w:t>
      </w:r>
      <w:r>
        <w:rPr>
          <w:sz w:val="22"/>
          <w:szCs w:val="22"/>
        </w:rPr>
        <w:t xml:space="preserve">Spring WebFlux + Netty + R2DBC. </w:t>
      </w:r>
      <w:r>
        <w:rPr>
          <w:sz w:val="22"/>
          <w:szCs w:val="22"/>
        </w:rPr>
        <w:t xml:space="preserve">Trabaja con ~12 hilos constantes bajo la misma carga. El punto experimental central son las </w:t>
      </w:r>
      <w:r>
        <w:rPr>
          <w:b/>
          <w:bCs/>
          <w:sz w:val="22"/>
          <w:szCs w:val="22"/>
        </w:rPr>
        <w:t xml:space="preserve">estrategias de backpressure</w:t>
      </w:r>
      <w:r>
        <w:rPr>
          <w:sz w:val="22"/>
          <w:szCs w:val="22"/>
        </w:rPr>
        <w:t xml:space="preserve"> (none, limitRate, buffer, drop/latest), que deben quedar bien evidenciadas.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4.1. Qué debe hacer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Pruebas de integración con AAA. </w:t>
      </w:r>
      <w:r>
        <w:rPr>
          <w:sz w:val="22"/>
          <w:szCs w:val="22"/>
        </w:rPr>
        <w:t xml:space="preserve">Usar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@SpringBootTest</w:t>
      </w:r>
      <w:r>
        <w:rPr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WebTestClient</w:t>
      </w:r>
      <w:r>
        <w:rPr>
          <w:sz w:val="22"/>
          <w:szCs w:val="22"/>
        </w:rPr>
        <w:t xml:space="preserve"> contra los endpoints reactivos, validando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Flux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Mono</w:t>
      </w:r>
      <w:r>
        <w:rPr>
          <w:sz w:val="22"/>
          <w:szCs w:val="22"/>
        </w:rPr>
        <w:t xml:space="preserve"> (con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StepVerifier</w:t>
      </w:r>
      <w:r>
        <w:rPr>
          <w:sz w:val="22"/>
          <w:szCs w:val="22"/>
        </w:rPr>
        <w:t xml:space="preserve"> cuando se prueba el flujo). Cada test en Arrange–Act–Assert.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Ciclo Red–Green–Refactor documentado. </w:t>
      </w:r>
      <w:r>
        <w:rPr>
          <w:sz w:val="22"/>
          <w:szCs w:val="22"/>
        </w:rPr>
        <w:t xml:space="preserve">Sobre las </w:t>
      </w:r>
      <w:r>
        <w:rPr>
          <w:b/>
          <w:bCs/>
          <w:sz w:val="22"/>
          <w:szCs w:val="22"/>
        </w:rPr>
        <w:t xml:space="preserve">mismas 2 funcionalidades que Juan</w:t>
      </w:r>
      <w:r>
        <w:rPr>
          <w:sz w:val="22"/>
          <w:szCs w:val="22"/>
        </w:rPr>
        <w:t xml:space="preserve"> (crear y listar) para que la comparación sea justa: rojo, verde y refactor con evidencia.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Estrategias de backpressure. </w:t>
      </w:r>
      <w:r>
        <w:rPr>
          <w:sz w:val="22"/>
          <w:szCs w:val="22"/>
        </w:rPr>
        <w:t xml:space="preserve">Implementar y probar las variantes (none, limitRate, buffer, drop/latest) y registrar cómo se comporta cada una bajo carga. Este es el aporte diferenciador del modelo reactivo.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Integración continua. </w:t>
      </w:r>
      <w:r>
        <w:rPr>
          <w:sz w:val="22"/>
          <w:szCs w:val="22"/>
        </w:rPr>
        <w:t xml:space="preserve">Workflow (GitHub Actions) que ejecute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mvn -B verify</w:t>
      </w:r>
      <w:r>
        <w:rPr>
          <w:sz w:val="22"/>
          <w:szCs w:val="22"/>
        </w:rPr>
        <w:t xml:space="preserve"> del módulo reactivo en cada push, en verde.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Despliegue continuo. </w:t>
      </w:r>
      <w:r>
        <w:rPr>
          <w:sz w:val="22"/>
          <w:szCs w:val="22"/>
        </w:rPr>
        <w:t xml:space="preserve">Dockerizar el servicio reactivo y configurar el deploy automático tras CI exitoso, igual que el bloqueante para poder compararlos.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2"/>
          <w:szCs w:val="22"/>
        </w:rPr>
        <w:t xml:space="preserve">Prueba de carga equivalente. </w:t>
      </w:r>
      <w:r>
        <w:rPr>
          <w:sz w:val="22"/>
          <w:szCs w:val="22"/>
        </w:rPr>
        <w:t xml:space="preserve">Misma prueba de concurrencia hasta ~500 usuarios que Juan, con la misma herramienta y parámetros, para que los números sean comparables. Repetir por cada estrategia de backpressure.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4.2. Qué debe entregar a Anderson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Código y tests</w:t>
      </w:r>
      <w:r>
        <w:rPr>
          <w:sz w:val="22"/>
          <w:szCs w:val="22"/>
        </w:rPr>
        <w:t xml:space="preserve"> en su rama/carpeta del modelo reactivo.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Capturas Red–Green–Refactor</w:t>
      </w:r>
      <w:r>
        <w:rPr>
          <w:sz w:val="22"/>
          <w:szCs w:val="22"/>
        </w:rPr>
        <w:t xml:space="preserve"> por funcionalidad, nombradas p. ej.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reactivo_listar_green.png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Tabla comparativa de backpressure</w:t>
      </w:r>
      <w:r>
        <w:rPr>
          <w:sz w:val="22"/>
          <w:szCs w:val="22"/>
        </w:rPr>
        <w:t xml:space="preserve">: estrategia vs. latencia / throughput / memoria / errores.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Archivo del workflow de CI/CD</w:t>
      </w:r>
      <w:r>
        <w:rPr>
          <w:sz w:val="22"/>
          <w:szCs w:val="22"/>
        </w:rPr>
        <w:t xml:space="preserve"> y captura de la ejecución en verde.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Evidencia del despliegue</w:t>
      </w:r>
      <w:r>
        <w:rPr>
          <w:sz w:val="22"/>
          <w:szCs w:val="22"/>
        </w:rPr>
        <w:t xml:space="preserve"> (contenedor o URL).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Resultados de carga</w:t>
      </w:r>
      <w:r>
        <w:rPr>
          <w:sz w:val="22"/>
          <w:szCs w:val="22"/>
        </w:rPr>
        <w:t xml:space="preserve"> en el mismo formato de columnas que Juan, más un campo extra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estrategia_backpressure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Redacción breve</w:t>
      </w:r>
      <w:r>
        <w:rPr>
          <w:sz w:val="22"/>
          <w:szCs w:val="22"/>
        </w:rPr>
        <w:t xml:space="preserve"> (media página): explicación de sus tests, refactor y hallazgos de backpressure.</w:t>
      </w:r>
    </w:p>
    <w:tbl>
      <w:tblPr>
        <w:tblW w:type="dxa" w:w="9360"/>
        <w:tblBorders>
          <w:top w:val="single" w:color="548235" w:sz="4"/>
          <w:left w:val="single" w:color="548235" w:sz="18"/>
          <w:bottom w:val="single" w:color="548235" w:sz="4"/>
          <w:right w:val="single" w:color="54823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Clave para la comparación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Molina y Juan deben usar la MISMA herramienta de carga, los MISMOS niveles de usuarios y el MISMO formato de tabla.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Sin eso, Anderson no puede poner los dos modelos lado a lado en el informe.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5. Anderson Lara — Informe y presentaciones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Con los entregables de ambos, Anderson consolida. Su trabajo será mucho más rápido si los dos entregan en el formato pedido.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5.1. Tareas de Anderson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Informe en Word</w:t>
      </w:r>
      <w:r>
        <w:rPr>
          <w:sz w:val="22"/>
          <w:szCs w:val="22"/>
        </w:rPr>
        <w:t xml:space="preserve">: introducción, marco (bloqueante vs. reactivo, CI/CD, TDD, AAA), metodología, resultados comparados, discusión y conclusiones.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Sección de resultados</w:t>
      </w:r>
      <w:r>
        <w:rPr>
          <w:sz w:val="22"/>
          <w:szCs w:val="22"/>
        </w:rPr>
        <w:t xml:space="preserve">: tablas y gráficos unificados con los datos de carga de ambos modelos y las estrategias de backpressure.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Presentación</w:t>
      </w:r>
      <w:r>
        <w:rPr>
          <w:sz w:val="22"/>
          <w:szCs w:val="22"/>
        </w:rPr>
        <w:t xml:space="preserve">: versión resumida con las gráficas comparativas y las evidencias Red–Green–Refactor más representativas.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5.2. Checklist antes de cerrar el informe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¿Están las 3 fases (rojo/verde/refactor) de ambos modelos?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¿Hay evidencia de CI en verde y de CD funcionando para los dos?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¿Las tablas de carga usan las mismas columnas y niveles de usuarios?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¿Se explican las 4 estrategias de backpressure con datos?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¿Cada prueba mostrada respeta el patrón AAA?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6. Orden sugerido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80"/>
        <w:gridCol w:w="298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498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Actividad</w:t>
            </w:r>
          </w:p>
        </w:tc>
        <w:tc>
          <w:tcPr>
            <w:tcW w:type="dxa" w:w="298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Responsable</w:t>
            </w:r>
          </w:p>
        </w:tc>
      </w:tr>
      <w:tr>
        <w:tc>
          <w:tcPr>
            <w:tcW w:type="dxa" w:w="14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Acordar funcionalidades a probar, herramienta de carga y formato de tablas</w:t>
            </w:r>
          </w:p>
        </w:tc>
        <w:tc>
          <w:tcPr>
            <w:tcW w:type="dxa" w:w="2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tres</w:t>
            </w:r>
          </w:p>
        </w:tc>
      </w:tr>
      <w:tr>
        <w:tc>
          <w:tcPr>
            <w:tcW w:type="dxa" w:w="14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Escribir pruebas de integración (AAA) y ciclo Red–Green–Refactor</w:t>
            </w:r>
          </w:p>
        </w:tc>
        <w:tc>
          <w:tcPr>
            <w:tcW w:type="dxa" w:w="2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Juan (bloqueante) / Molina (reactivo)</w:t>
            </w:r>
          </w:p>
        </w:tc>
      </w:tr>
      <w:tr>
        <w:tc>
          <w:tcPr>
            <w:tcW w:type="dxa" w:w="14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Configurar CI (GitHub Actions) en verde</w:t>
            </w:r>
          </w:p>
        </w:tc>
        <w:tc>
          <w:tcPr>
            <w:tcW w:type="dxa" w:w="2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Juan / Molina</w:t>
            </w:r>
          </w:p>
        </w:tc>
      </w:tr>
      <w:tr>
        <w:tc>
          <w:tcPr>
            <w:tcW w:type="dxa" w:w="14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Dockerizar y configurar CD</w:t>
            </w:r>
          </w:p>
        </w:tc>
        <w:tc>
          <w:tcPr>
            <w:tcW w:type="dxa" w:w="2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Juan / Molina</w:t>
            </w:r>
          </w:p>
        </w:tc>
      </w:tr>
      <w:tr>
        <w:tc>
          <w:tcPr>
            <w:tcW w:type="dxa" w:w="14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Pruebas de carga y recolección de datos</w:t>
            </w:r>
          </w:p>
        </w:tc>
        <w:tc>
          <w:tcPr>
            <w:tcW w:type="dxa" w:w="2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Juan / Molina</w:t>
            </w:r>
          </w:p>
        </w:tc>
      </w:tr>
      <w:tr>
        <w:tc>
          <w:tcPr>
            <w:tcW w:type="dxa" w:w="1400"/>
            <w:shd w:fill="EAF1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Consolidar informe Word y presentaciones</w:t>
            </w:r>
          </w:p>
        </w:tc>
        <w:tc>
          <w:tcPr>
            <w:tcW w:type="dxa" w:w="2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Anderson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75B6"/>
      </w:r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trabajo — Bloqueante vs Reactivo</dc:title>
  <dc:creator>Anderson Lara</dc:creator>
  <cp:lastModifiedBy>Un-named</cp:lastModifiedBy>
  <cp:revision>1</cp:revision>
  <dcterms:created xsi:type="dcterms:W3CDTF">2026-07-29T20:12:54.473Z</dcterms:created>
  <dcterms:modified xsi:type="dcterms:W3CDTF">2026-07-29T20:12:54.492Z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