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name_header_1"/>
        <w:jc w:val="center"/>
      </w:pPr>
      <w:r>
        <w:t>TANZANIA BUREAU OF STANDARDS</w:t>
      </w:r>
    </w:p>
    <w:p>
      <w:pPr>
        <w:pStyle w:val="Stylename2"/>
        <w:jc w:val="center"/>
      </w:pPr>
      <w:r>
        <w:t>METROLOGY LABORATORY</w:t>
        <w:br/>
        <w:t>“a SADCAS Accredited Calibration Laboratory, No. CAL-15001”</w:t>
      </w:r>
    </w:p>
    <w:p>
      <w:pPr>
        <w:pStyle w:val="Stylename3"/>
        <w:jc w:val="both"/>
      </w:pPr>
      <w:r>
        <w:t>This certificate of calibration is issued in accordance with section 4 (1) (b) of the Standards Act No.2 of 2009. The certificate has been issued without any alteration and may not be published other than in full, except with the prior written approval of the Director General of Tanzania Bureau of Standards (TBS), P O Box 9524, Dar es Salaam, Physical Address: Morogoro / Sam Nujoma Road, Ubungo.Tel. +255 22 2450206, Dir. +255 22 2450298, Fax No. +255 22 2450959</w:t>
      </w:r>
    </w:p>
    <w:p>
      <w:pPr>
        <w:pStyle w:val="Stylename_2"/>
        <w:jc w:val="both"/>
      </w:pPr>
      <w:r>
        <w:t>IDENTIFICATION:</w:t>
      </w:r>
    </w:p>
    <w:p>
      <w:pPr>
        <w:pStyle w:val="Stylename_3"/>
        <w:spacing w:lineRule="auto" w:line="360"/>
        <w:jc w:val="left"/>
      </w:pPr>
      <w:r>
        <w:t xml:space="preserve">EQUIPMENT: TIMER </w:t>
        <w:br/>
        <w:t xml:space="preserve">MANUFACTURER: Germany </w:t>
        <w:br/>
        <w:t>IDENTIFICATION NUMBER: TBS/LAB/01</w:t>
        <w:br/>
        <w:t xml:space="preserve">SERIAL NUMBER:99999 </w:t>
        <w:br/>
        <w:t xml:space="preserve">READABILITY: 1s </w:t>
        <w:br/>
        <w:t>LOCATION: TBS Time and Frequency Lab Ubungo</w:t>
        <w:br/>
        <w:t xml:space="preserve">TBS JOB NO: 2021 - 999 </w:t>
        <w:br/>
        <w:t>DATE OF CALIBRATION: 2021-11-04</w:t>
        <w:br/>
        <w:t xml:space="preserve">DATE OF ISSUE: 2021-11-04 </w:t>
        <w:br/>
        <w:t>CALIBRATED FOR:</w:t>
        <w:tab/>
        <w:t>Lordrick Apps,</w:t>
        <w:br/>
        <w:tab/>
        <w:tab/>
        <w:tab/>
        <w:t>P.O.BOX ,7713,</w:t>
        <w:br/>
        <w:tab/>
        <w:tab/>
        <w:tab/>
        <w:t>Dodoma,Tanzania.</w:t>
      </w:r>
    </w:p>
    <w:p>
      <w:pPr>
        <w:sectPr>
          <w:headerReference w:type="default" r:id="rId9"/>
          <w:footerReference w:type="default" r:id="rId10"/>
          <w:pgSz w:w="12240" w:h="15840"/>
          <w:pgMar w:top="1022" w:right="792" w:bottom="1022" w:left="1022" w:header="720" w:footer="720" w:gutter="0"/>
          <w:cols w:space="720"/>
          <w:docGrid w:linePitch="360"/>
          <w:pgBorders w:offsetFrom="page">
            <w:top w:val="double" w:sz="20" w:space="24" w:color="auto"/>
            <w:left w:val="double" w:sz="20" w:space="24" w:color="auto"/>
            <w:bottom w:val="double" w:sz="20" w:space="24" w:color="auto"/>
            <w:right w:val="double" w:sz="20" w:space="24" w:color="auto"/>
          </w:pgBorders>
        </w:sectPr>
      </w:pPr>
    </w:p>
    <w:p>
      <w:pPr>
        <w:pStyle w:val="Stylename_4"/>
        <w:spacing w:lineRule="auto" w:line="360" w:after="0"/>
        <w:jc w:val="left"/>
      </w:pPr>
      <w:r>
        <w:t>1. CALIBRATION CONDITIONS</w:t>
      </w:r>
    </w:p>
    <w:p>
      <w:pPr>
        <w:pStyle w:val="Stylename_5"/>
        <w:spacing w:lineRule="auto" w:line="360"/>
        <w:jc w:val="both"/>
      </w:pPr>
      <w:r>
        <w:t xml:space="preserve">    The calibration was carried out at an ambient temperature of 22,46°C and relative humidity of</w:t>
        <w:tab/>
        <w:t xml:space="preserve">50,0% RH </w:t>
      </w:r>
    </w:p>
    <w:p>
      <w:pPr>
        <w:pStyle w:val="Stylename_6"/>
        <w:spacing w:lineRule="auto" w:line="360" w:after="0"/>
        <w:jc w:val="left"/>
      </w:pPr>
      <w:r>
        <w:t>2. EQUIPMENT AND STANDARDS USED</w:t>
      </w:r>
    </w:p>
    <w:p>
      <w:pPr>
        <w:pStyle w:val="Stylename_7"/>
        <w:spacing w:lineRule="auto" w:line="360"/>
        <w:jc w:val="both"/>
      </w:pPr>
      <w:r>
        <w:t xml:space="preserve">    Standard Timer with Identification number TBS 8-381, with certificate number 58469 Thermo-hygrometer with serial MAC:98:8B:AD:20:C2:9F, certificate number 45326 valid up to Dec -2021</w:t>
      </w:r>
    </w:p>
    <w:p>
      <w:pPr>
        <w:pStyle w:val="Stylename_8"/>
        <w:spacing w:lineRule="auto" w:line="360" w:after="0"/>
        <w:jc w:val="left"/>
      </w:pPr>
      <w:r>
        <w:t>3. CALIBRATION PROCEDURE</w:t>
      </w:r>
    </w:p>
    <w:p>
      <w:pPr>
        <w:pStyle w:val="Stylename_9"/>
        <w:spacing w:lineRule="auto" w:line="360"/>
        <w:jc w:val="both"/>
      </w:pPr>
      <w:r>
        <w:t xml:space="preserve">    Timer was calibrated by comparison with the standard timer using Method MET - TF - 03 </w:t>
      </w:r>
    </w:p>
    <w:p>
      <w:pPr>
        <w:pStyle w:val="Stylename_10"/>
        <w:spacing w:lineRule="auto" w:line="360" w:after="0"/>
        <w:jc w:val="left"/>
      </w:pPr>
      <w:r>
        <w:t>4. TRACEABILITY</w:t>
      </w:r>
    </w:p>
    <w:p>
      <w:pPr>
        <w:pStyle w:val="Stylename_11"/>
        <w:spacing w:lineRule="auto" w:line="360"/>
        <w:jc w:val="both"/>
      </w:pPr>
      <w:r>
        <w:t xml:space="preserve">    The results are through regular calibration of the used equipment traceable to the Swedish National Laboratory for electrical quantities (RMP 01) at RISE Research Institutes of Sweden.</w:t>
      </w:r>
      <w:r>
        <w:t xml:space="preserve">    </w:t>
      </w:r>
    </w:p>
    <w:p>
      <w:pPr>
        <w:pStyle w:val="Stylename_12"/>
        <w:spacing w:lineRule="auto" w:line="360" w:after="0"/>
        <w:jc w:val="left"/>
      </w:pPr>
      <w:r>
        <w:t>5. CALIBRATION RESULTS</w:t>
      </w:r>
    </w:p>
    <w:tbl>
      <w:tblPr>
        <w:tblStyle w:val="TableGrid"/>
        <w:tblW w:type="auto" w:w="0"/>
        <w:jc w:val="center"/>
        <w:tblLook w:firstColumn="1" w:firstRow="1" w:lastColumn="0" w:lastRow="0" w:noHBand="0" w:noVBand="1" w:val="04A0"/>
      </w:tblPr>
      <w:tblGrid>
        <w:gridCol w:w="2606"/>
        <w:gridCol w:w="2606"/>
        <w:gridCol w:w="2606"/>
        <w:gridCol w:w="2606"/>
      </w:tblGrid>
      <w:tr>
        <w:tc>
          <w:tcPr>
            <w:tcW w:type="dxa" w:w="2606"/>
          </w:tcPr>
          <w:p/>
          <w:p>
            <w:pPr>
              <w:pStyle w:val="Stylename_hdr"/>
              <w:jc w:val="center"/>
            </w:pPr>
            <w:r>
              <w:t xml:space="preserve">DUT Time </w:t>
              <w:br/>
              <w:t xml:space="preserve"> interval </w:t>
              <w:br/>
              <w:t xml:space="preserve"> (seconds)</w:t>
            </w:r>
          </w:p>
        </w:tc>
        <w:tc>
          <w:tcPr>
            <w:tcW w:type="dxa" w:w="2606"/>
          </w:tcPr>
          <w:p/>
          <w:p>
            <w:pPr>
              <w:jc w:val="center"/>
            </w:pPr>
            <w:r>
              <w:t xml:space="preserve">Standard Time </w:t>
              <w:br/>
              <w:t xml:space="preserve"> interval </w:t>
              <w:br/>
              <w:t xml:space="preserve"> (seconds)</w:t>
            </w:r>
          </w:p>
        </w:tc>
        <w:tc>
          <w:tcPr>
            <w:tcW w:type="dxa" w:w="2606"/>
          </w:tcPr>
          <w:p/>
          <w:p>
            <w:pPr>
              <w:jc w:val="center"/>
            </w:pPr>
            <w:r>
              <w:t xml:space="preserve">DUT Correction </w:t>
              <w:br/>
              <w:t xml:space="preserve"> (seconds)</w:t>
            </w:r>
          </w:p>
        </w:tc>
        <w:tc>
          <w:tcPr>
            <w:tcW w:type="dxa" w:w="2606"/>
          </w:tcPr>
          <w:p/>
          <w:p>
            <w:pPr>
              <w:jc w:val="center"/>
            </w:pPr>
            <w:r>
              <w:t xml:space="preserve">Uncertainty of </w:t>
              <w:br/>
              <w:t xml:space="preserve"> Measurement </w:t>
              <w:br/>
              <w:t xml:space="preserve"> ±(seconds)</w:t>
            </w:r>
          </w:p>
        </w:tc>
      </w:tr>
      <w:tr>
        <w:tc>
          <w:tcPr>
            <w:tcW w:type="dxa" w:w="2606"/>
          </w:tcPr>
          <w:p/>
          <w:p>
            <w:pPr>
              <w:jc w:val="center"/>
            </w:pPr>
            <w:r>
              <w:t>60</w:t>
            </w:r>
          </w:p>
        </w:tc>
        <w:tc>
          <w:tcPr>
            <w:tcW w:type="dxa" w:w="2606"/>
          </w:tcPr>
          <w:p/>
          <w:p>
            <w:pPr>
              <w:jc w:val="center"/>
            </w:pPr>
            <w:r>
              <w:t>61</w:t>
            </w:r>
          </w:p>
        </w:tc>
        <w:tc>
          <w:tcPr>
            <w:tcW w:type="dxa" w:w="2606"/>
          </w:tcPr>
          <w:p/>
          <w:p>
            <w:pPr>
              <w:jc w:val="center"/>
            </w:pPr>
            <w:r>
              <w:t>+1</w:t>
            </w:r>
          </w:p>
        </w:tc>
        <w:tc>
          <w:tcPr>
            <w:tcW w:type="dxa" w:w="2606"/>
          </w:tcPr>
          <w:p/>
          <w:p>
            <w:pPr>
              <w:jc w:val="center"/>
            </w:pPr>
            <w:r>
              <w:t>1</w:t>
            </w:r>
          </w:p>
        </w:tc>
      </w:tr>
      <w:tr>
        <w:tc>
          <w:tcPr>
            <w:tcW w:type="dxa" w:w="2606"/>
          </w:tcPr>
          <w:p/>
          <w:p>
            <w:pPr>
              <w:jc w:val="center"/>
            </w:pPr>
            <w:r>
              <w:t>300</w:t>
            </w:r>
          </w:p>
        </w:tc>
        <w:tc>
          <w:tcPr>
            <w:tcW w:type="dxa" w:w="2606"/>
          </w:tcPr>
          <w:p/>
          <w:p>
            <w:pPr>
              <w:jc w:val="center"/>
            </w:pPr>
            <w:r>
              <w:t>301</w:t>
            </w:r>
          </w:p>
        </w:tc>
        <w:tc>
          <w:tcPr>
            <w:tcW w:type="dxa" w:w="2606"/>
          </w:tcPr>
          <w:p/>
          <w:p>
            <w:pPr>
              <w:jc w:val="center"/>
            </w:pPr>
            <w:r>
              <w:t>+1</w:t>
            </w:r>
          </w:p>
        </w:tc>
        <w:tc>
          <w:tcPr>
            <w:tcW w:type="dxa" w:w="2606"/>
          </w:tcPr>
          <w:p/>
          <w:p>
            <w:pPr>
              <w:jc w:val="center"/>
            </w:pPr>
            <w:r>
              <w:t>1</w:t>
            </w:r>
          </w:p>
        </w:tc>
      </w:tr>
      <w:tr>
        <w:tc>
          <w:tcPr>
            <w:tcW w:type="dxa" w:w="2606"/>
          </w:tcPr>
          <w:p/>
          <w:p>
            <w:pPr>
              <w:jc w:val="center"/>
            </w:pPr>
            <w:r>
              <w:t>600</w:t>
            </w:r>
          </w:p>
        </w:tc>
        <w:tc>
          <w:tcPr>
            <w:tcW w:type="dxa" w:w="2606"/>
          </w:tcPr>
          <w:p/>
          <w:p>
            <w:pPr>
              <w:jc w:val="center"/>
            </w:pPr>
            <w:r>
              <w:t>600</w:t>
            </w:r>
          </w:p>
        </w:tc>
        <w:tc>
          <w:tcPr>
            <w:tcW w:type="dxa" w:w="2606"/>
          </w:tcPr>
          <w:p/>
          <w:p>
            <w:pPr>
              <w:jc w:val="center"/>
            </w:pPr>
            <w:r>
              <w:t>0</w:t>
            </w:r>
          </w:p>
        </w:tc>
        <w:tc>
          <w:tcPr>
            <w:tcW w:type="dxa" w:w="2606"/>
          </w:tcPr>
          <w:p/>
          <w:p>
            <w:pPr>
              <w:jc w:val="center"/>
            </w:pPr>
            <w:r>
              <w:t>1</w:t>
            </w:r>
          </w:p>
        </w:tc>
      </w:tr>
      <w:tr>
        <w:tc>
          <w:tcPr>
            <w:tcW w:type="dxa" w:w="2606"/>
          </w:tcPr>
          <w:p/>
          <w:p>
            <w:pPr>
              <w:jc w:val="center"/>
            </w:pPr>
            <w:r>
              <w:t>900</w:t>
            </w:r>
          </w:p>
        </w:tc>
        <w:tc>
          <w:tcPr>
            <w:tcW w:type="dxa" w:w="2606"/>
          </w:tcPr>
          <w:p/>
          <w:p>
            <w:pPr>
              <w:jc w:val="center"/>
            </w:pPr>
            <w:r>
              <w:t>899</w:t>
            </w:r>
          </w:p>
        </w:tc>
        <w:tc>
          <w:tcPr>
            <w:tcW w:type="dxa" w:w="2606"/>
          </w:tcPr>
          <w:p/>
          <w:p>
            <w:pPr>
              <w:jc w:val="center"/>
            </w:pPr>
            <w:r>
              <w:t>-1</w:t>
            </w:r>
          </w:p>
        </w:tc>
        <w:tc>
          <w:tcPr>
            <w:tcW w:type="dxa" w:w="2606"/>
          </w:tcPr>
          <w:p/>
          <w:p>
            <w:pPr>
              <w:jc w:val="center"/>
            </w:pPr>
            <w:r>
              <w:t>1</w:t>
            </w:r>
          </w:p>
        </w:tc>
      </w:tr>
      <w:tr>
        <w:tc>
          <w:tcPr>
            <w:tcW w:type="dxa" w:w="2606"/>
          </w:tcPr>
          <w:p/>
          <w:p>
            <w:pPr>
              <w:jc w:val="center"/>
            </w:pPr>
            <w:r>
              <w:t>1200</w:t>
            </w:r>
          </w:p>
        </w:tc>
        <w:tc>
          <w:tcPr>
            <w:tcW w:type="dxa" w:w="2606"/>
          </w:tcPr>
          <w:p/>
          <w:p>
            <w:pPr>
              <w:jc w:val="center"/>
            </w:pPr>
            <w:r>
              <w:t>1199</w:t>
            </w:r>
          </w:p>
        </w:tc>
        <w:tc>
          <w:tcPr>
            <w:tcW w:type="dxa" w:w="2606"/>
          </w:tcPr>
          <w:p/>
          <w:p>
            <w:pPr>
              <w:jc w:val="center"/>
            </w:pPr>
            <w:r>
              <w:t>-1</w:t>
            </w:r>
          </w:p>
        </w:tc>
        <w:tc>
          <w:tcPr>
            <w:tcW w:type="dxa" w:w="2606"/>
          </w:tcPr>
          <w:p/>
          <w:p>
            <w:pPr>
              <w:jc w:val="center"/>
            </w:pPr>
            <w:r>
              <w:t>1</w:t>
            </w:r>
          </w:p>
        </w:tc>
      </w:tr>
    </w:tbl>
    <w:p>
      <w:pPr>
        <w:sectPr>
          <w:headerReference w:type="default" r:id="rId11"/>
          <w:footerReference w:type="default" r:id="rId12"/>
          <w:pgSz w:w="12240" w:h="15840"/>
          <w:pgMar w:top="1022" w:right="792" w:bottom="1022" w:left="1022" w:header="720" w:footer="720" w:gutter="0"/>
          <w:cols w:space="720"/>
          <w:docGrid w:linePitch="360"/>
          <w:pgBorders w:offsetFrom="page">
            <w:top w:val="double" w:sz="20" w:space="24" w:color="auto"/>
            <w:left w:val="double" w:sz="20" w:space="24" w:color="auto"/>
            <w:bottom w:val="double" w:sz="20" w:space="24" w:color="auto"/>
            <w:right w:val="double" w:sz="20" w:space="24" w:color="auto"/>
          </w:pgBorders>
        </w:sectPr>
      </w:pPr>
    </w:p>
    <w:p>
      <w:pPr>
        <w:pStyle w:val="Stylename_18"/>
        <w:spacing w:lineRule="auto" w:line="360" w:after="0"/>
        <w:jc w:val="left"/>
      </w:pPr>
      <w:r>
        <w:t>6.0 UNCERTAINTY</w:t>
      </w:r>
    </w:p>
    <w:p>
      <w:pPr>
        <w:pStyle w:val="Stylename_19"/>
        <w:spacing w:lineRule="auto" w:line="360"/>
        <w:jc w:val="both"/>
      </w:pPr>
      <w:r>
        <w:t xml:space="preserve">    6.1</w:t>
        <w:tab/>
        <w:t xml:space="preserve">The reported uncertainties of measurement were calculated in accordance with the BIPM,IEC, ISO, </w:t>
        <w:tab/>
        <w:t xml:space="preserve">IUPAP, OIML document entitled “Guide to the Expression of Uncertainty in </w:t>
        <w:tab/>
        <w:t>Measurement“(International Organisation for Standardisation, Geneva, Switzerland, 2008).</w:t>
      </w:r>
    </w:p>
    <w:p>
      <w:pPr>
        <w:pStyle w:val="Stylename_20"/>
        <w:spacing w:lineRule="auto" w:line="360"/>
        <w:jc w:val="both"/>
      </w:pPr>
      <w:r>
        <w:t xml:space="preserve">    6.2 </w:t>
        <w:tab/>
        <w:t xml:space="preserve">The reported expanded uncertainty of measurement is stated as the standard uncertainty of </w:t>
        <w:tab/>
        <w:t xml:space="preserve">measurement multiplied by a coverage factor of k=2, which for a normal distribution approximates a </w:t>
        <w:tab/>
        <w:t>level of confidence of 95%.</w:t>
      </w:r>
    </w:p>
    <w:p>
      <w:pPr>
        <w:pStyle w:val="Stylename_21"/>
        <w:spacing w:lineRule="auto" w:line="360" w:after="0"/>
        <w:jc w:val="left"/>
      </w:pPr>
      <w:r>
        <w:t>7.0 REMARKS</w:t>
      </w:r>
    </w:p>
    <w:p>
      <w:pPr>
        <w:pStyle w:val="Stylename_22"/>
        <w:spacing w:lineRule="auto" w:line="360"/>
        <w:jc w:val="both"/>
      </w:pPr>
      <w:r>
        <w:t xml:space="preserve">    7.1</w:t>
        <w:tab/>
        <w:t>DUT Means device under test</w:t>
      </w:r>
    </w:p>
    <w:p>
      <w:pPr>
        <w:pStyle w:val="Stylename_25"/>
        <w:spacing w:lineRule="auto" w:line="360" w:after="0"/>
        <w:jc w:val="center"/>
      </w:pPr>
      <w:r>
        <w:br/>
        <w:br/>
        <w:br/>
        <w:t>“END OF CERTIFICATE”</w:t>
      </w:r>
    </w:p>
    <w:sectPr w:rsidR="00FC693F" w:rsidRPr="0006063C" w:rsidSect="00034616">
      <w:headerReference w:type="default" r:id="rId13"/>
      <w:pgSz w:w="12240" w:h="15840"/>
      <w:pgMar w:top="1022" w:right="792" w:bottom="1022" w:left="1022" w:header="720" w:footer="720" w:gutter="0"/>
      <w:cols w:space="720"/>
      <w:docGrid w:linePitch="360"/>
      <w:pgBorders w:offsetFrom="page">
        <w:top w:val="double" w:sz="20" w:space="24" w:color="auto"/>
        <w:left w:val="double" w:sz="20" w:space="24" w:color="auto"/>
        <w:bottom w:val="double" w:sz="20" w:space="24" w:color="auto"/>
        <w:right w:val="double" w:sz="20"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rPr>
        <w:rFonts w:ascii="Arial" w:hAnsi="Arial"/>
        <w:b w:val="0"/>
        <w:i/>
        <w:sz w:val="22"/>
      </w:rPr>
      <w:t>Calibrated by</w:t>
      <w:tab/>
      <w:tab/>
      <w:tab/>
      <w:tab/>
      <w:tab/>
      <w:t>Checked by</w:t>
      <w:tab/>
      <w:tab/>
      <w:tab/>
      <w:tab/>
      <w:tab/>
      <w:t>Approvedby</w:t>
      <w:br/>
      <w:br/>
      <w:br/>
      <w:t xml:space="preserve"> J. Yarrot</w:t>
      <w:tab/>
      <w:tab/>
      <w:tab/>
      <w:tab/>
      <w:tab/>
      <w:t>K. Shemhilu</w:t>
      <w:tab/>
      <w:tab/>
      <w:tab/>
      <w:tab/>
      <w:tab/>
      <w:t>J. Mahilla</w:t>
      <w:br/>
      <w:t>Metrologist</w:t>
      <w:tab/>
      <w:tab/>
      <w:tab/>
      <w:tab/>
      <w:tab/>
      <w:t>Technical Signatory</w:t>
      <w:tab/>
      <w:tab/>
      <w:t>Head of Metrology Laboratory</w:t>
    </w:r>
  </w:p>
  <w:p>
    <w:pPr>
      <w:spacing w:lineRule="auto"/>
      <w:jc w:val="center"/>
    </w:pPr>
    <w:r>
      <w:rPr>
        <w:rFonts w:ascii="Arial" w:hAnsi="Arial"/>
        <w:b/>
        <w:i w:val="0"/>
        <w:sz w:val="16"/>
        <w:u w:val="single"/>
      </w:rPr>
      <w:t>VALIDITY OF CALIBRATION</w:t>
    </w:r>
  </w:p>
  <w:p>
    <w:pPr>
      <w:spacing w:line="240" w:lineRule="auto"/>
      <w:jc w:val="both"/>
    </w:pPr>
    <w:r>
      <w:rPr>
        <w:rFonts w:ascii="Arial" w:hAnsi="Arial"/>
        <w:b/>
        <w:i w:val="0"/>
        <w:sz w:val="16"/>
        <w:u w:val="none"/>
      </w:rPr>
      <w:t xml:space="preserve">The values in this certificate are correct at the time of calibration.  Subsequently the accuracy will depend on such factors as the care exercised in handling and use of the instrument and the frequency of use.  Recalibration should be performed after a period which has been chosen to ensure that the instrument’s accuracy remains within the desired limits. The results applies only to the equipment specified in this document. </w:t>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rPr>
        <w:rFonts w:ascii="Arial" w:hAnsi="Arial"/>
        <w:b w:val="0"/>
        <w:i/>
        <w:sz w:val="22"/>
      </w:rPr>
      <w:t>Calibrated by</w:t>
      <w:tab/>
      <w:tab/>
      <w:tab/>
      <w:tab/>
      <w:tab/>
      <w:t>Checked by</w:t>
      <w:tab/>
      <w:tab/>
      <w:tab/>
      <w:tab/>
      <w:tab/>
      <w:t>Approved by</w:t>
      <w:br/>
      <w:br/>
      <w:br/>
      <w:t xml:space="preserve"> J. Yarrot</w:t>
      <w:tab/>
      <w:tab/>
      <w:tab/>
      <w:tab/>
      <w:tab/>
      <w:t>K. Shemhilu</w:t>
      <w:tab/>
      <w:tab/>
      <w:tab/>
      <w:tab/>
      <w:tab/>
      <w:t>J. Mahilla</w:t>
      <w:br/>
      <w:t>Metrologist</w:t>
      <w:tab/>
      <w:tab/>
      <w:tab/>
      <w:tab/>
      <w:tab/>
      <w:t>Technical Signatory</w:t>
      <w:tab/>
      <w:tab/>
      <w:t>Head of Metrology Laboratory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after="0" w:before="0"/>
    </w:pPr>
    <w:r>
      <w:drawing>
        <wp:inline xmlns:a="http://schemas.openxmlformats.org/drawingml/2006/main" xmlns:pic="http://schemas.openxmlformats.org/drawingml/2006/picture">
          <wp:extent cx="1381125" cy="1123950"/>
          <wp:docPr id="1" name="Picture 1"/>
          <wp:cNvGraphicFramePr>
            <a:graphicFrameLocks noChangeAspect="1"/>
          </wp:cNvGraphicFramePr>
          <a:graphic>
            <a:graphicData uri="http://schemas.openxmlformats.org/drawingml/2006/picture">
              <pic:pic>
                <pic:nvPicPr>
                  <pic:cNvPr id="0" name="tbs logo.png"/>
                  <pic:cNvPicPr/>
                </pic:nvPicPr>
                <pic:blipFill>
                  <a:blip r:embed="rId1"/>
                  <a:stretch>
                    <a:fillRect/>
                  </a:stretch>
                </pic:blipFill>
                <pic:spPr>
                  <a:xfrm>
                    <a:off x="0" y="0"/>
                    <a:ext cx="1381125" cy="1123950"/>
                  </a:xfrm>
                  <a:prstGeom prst="rect"/>
                </pic:spPr>
              </pic:pic>
            </a:graphicData>
          </a:graphic>
        </wp:inline>
      </w:drawing>
    </w:r>
    <w:r>
      <w:tab/>
      <w:tab/>
      <w:tab/>
      <w:tab/>
      <w:tab/>
      <w:tab/>
      <w:tab/>
      <w:tab/>
    </w:r>
    <w:r>
      <w:drawing>
        <wp:inline xmlns:a="http://schemas.openxmlformats.org/drawingml/2006/main" xmlns:pic="http://schemas.openxmlformats.org/drawingml/2006/picture">
          <wp:extent cx="1562100" cy="695325"/>
          <wp:docPr id="2" name="Picture 2"/>
          <wp:cNvGraphicFramePr>
            <a:graphicFrameLocks noChangeAspect="1"/>
          </wp:cNvGraphicFramePr>
          <a:graphic>
            <a:graphicData uri="http://schemas.openxmlformats.org/drawingml/2006/picture">
              <pic:pic>
                <pic:nvPicPr>
                  <pic:cNvPr id="0" name="sadcas.png"/>
                  <pic:cNvPicPr/>
                </pic:nvPicPr>
                <pic:blipFill>
                  <a:blip r:embed="rId2"/>
                  <a:stretch>
                    <a:fillRect/>
                  </a:stretch>
                </pic:blipFill>
                <pic:spPr>
                  <a:xfrm>
                    <a:off x="0" y="0"/>
                    <a:ext cx="1562100" cy="695325"/>
                  </a:xfrm>
                  <a:prstGeom prst="rect"/>
                </pic:spPr>
              </pic:pic>
            </a:graphicData>
          </a:graphic>
        </wp:inline>
      </w:drawing>
    </w:r>
  </w:p>
  <w:p>
    <w:pPr>
      <w:pStyle w:val="Stylename"/>
      <w:jc w:val="left"/>
    </w:pPr>
    <w:r>
      <w:tab/>
      <w:tab/>
      <w:tab/>
      <w:tab/>
      <w:tab/>
      <w:t>CERTIFICATE NO: 34552</w:t>
    </w:r>
    <w:r>
      <w:rPr>
        <w:rFonts w:ascii="Arial" w:hAnsi="Arial"/>
        <w:b w:val="0"/>
        <w:sz w:val="24"/>
      </w:rPr>
      <w:tab/>
      <w:tab/>
      <w:tab/>
      <w:tab/>
      <w:t xml:space="preserve">  Page 1 of 3</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after="0" w:before="0"/>
    </w:pPr>
    <w:r>
      <w:drawing>
        <wp:inline xmlns:a="http://schemas.openxmlformats.org/drawingml/2006/main" xmlns:pic="http://schemas.openxmlformats.org/drawingml/2006/picture">
          <wp:extent cx="1381125" cy="1123950"/>
          <wp:docPr id="1" name="Picture 1"/>
          <wp:cNvGraphicFramePr>
            <a:graphicFrameLocks noChangeAspect="1"/>
          </wp:cNvGraphicFramePr>
          <a:graphic>
            <a:graphicData uri="http://schemas.openxmlformats.org/drawingml/2006/picture">
              <pic:pic>
                <pic:nvPicPr>
                  <pic:cNvPr id="0" name="tbs logo.png"/>
                  <pic:cNvPicPr/>
                </pic:nvPicPr>
                <pic:blipFill>
                  <a:blip r:embed="rId1"/>
                  <a:stretch>
                    <a:fillRect/>
                  </a:stretch>
                </pic:blipFill>
                <pic:spPr>
                  <a:xfrm>
                    <a:off x="0" y="0"/>
                    <a:ext cx="1381125" cy="1123950"/>
                  </a:xfrm>
                  <a:prstGeom prst="rect"/>
                </pic:spPr>
              </pic:pic>
            </a:graphicData>
          </a:graphic>
        </wp:inline>
      </w:drawing>
    </w:r>
    <w:r>
      <w:tab/>
      <w:tab/>
      <w:tab/>
      <w:tab/>
      <w:tab/>
      <w:tab/>
      <w:tab/>
      <w:tab/>
    </w:r>
    <w:r>
      <w:drawing>
        <wp:inline xmlns:a="http://schemas.openxmlformats.org/drawingml/2006/main" xmlns:pic="http://schemas.openxmlformats.org/drawingml/2006/picture">
          <wp:extent cx="1562100" cy="695325"/>
          <wp:docPr id="2" name="Picture 2"/>
          <wp:cNvGraphicFramePr>
            <a:graphicFrameLocks noChangeAspect="1"/>
          </wp:cNvGraphicFramePr>
          <a:graphic>
            <a:graphicData uri="http://schemas.openxmlformats.org/drawingml/2006/picture">
              <pic:pic>
                <pic:nvPicPr>
                  <pic:cNvPr id="0" name="sadcas.png"/>
                  <pic:cNvPicPr/>
                </pic:nvPicPr>
                <pic:blipFill>
                  <a:blip r:embed="rId2"/>
                  <a:stretch>
                    <a:fillRect/>
                  </a:stretch>
                </pic:blipFill>
                <pic:spPr>
                  <a:xfrm>
                    <a:off x="0" y="0"/>
                    <a:ext cx="1562100" cy="695325"/>
                  </a:xfrm>
                  <a:prstGeom prst="rect"/>
                </pic:spPr>
              </pic:pic>
            </a:graphicData>
          </a:graphic>
        </wp:inline>
      </w:drawing>
    </w:r>
  </w:p>
  <w:p>
    <w:pPr>
      <w:pStyle w:val="Stylename_h_2"/>
      <w:jc w:val="left"/>
    </w:pPr>
    <w:r>
      <w:tab/>
      <w:tab/>
      <w:tab/>
      <w:tab/>
      <w:tab/>
      <w:t>CERTIFICATE NO: 34552</w:t>
    </w:r>
    <w:r>
      <w:rPr>
        <w:rFonts w:ascii="Arial" w:hAnsi="Arial"/>
        <w:b w:val="0"/>
        <w:sz w:val="24"/>
      </w:rPr>
      <w:tab/>
      <w:tab/>
      <w:tab/>
      <w:tab/>
      <w:t xml:space="preserve">  Page 2 of 3</w: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after="0" w:before="0"/>
    </w:pPr>
    <w:r>
      <w:drawing>
        <wp:inline xmlns:a="http://schemas.openxmlformats.org/drawingml/2006/main" xmlns:pic="http://schemas.openxmlformats.org/drawingml/2006/picture">
          <wp:extent cx="1381125" cy="1123950"/>
          <wp:docPr id="1" name="Picture 1"/>
          <wp:cNvGraphicFramePr>
            <a:graphicFrameLocks noChangeAspect="1"/>
          </wp:cNvGraphicFramePr>
          <a:graphic>
            <a:graphicData uri="http://schemas.openxmlformats.org/drawingml/2006/picture">
              <pic:pic>
                <pic:nvPicPr>
                  <pic:cNvPr id="0" name="tbs logo.png"/>
                  <pic:cNvPicPr/>
                </pic:nvPicPr>
                <pic:blipFill>
                  <a:blip r:embed="rId1"/>
                  <a:stretch>
                    <a:fillRect/>
                  </a:stretch>
                </pic:blipFill>
                <pic:spPr>
                  <a:xfrm>
                    <a:off x="0" y="0"/>
                    <a:ext cx="1381125" cy="1123950"/>
                  </a:xfrm>
                  <a:prstGeom prst="rect"/>
                </pic:spPr>
              </pic:pic>
            </a:graphicData>
          </a:graphic>
        </wp:inline>
      </w:drawing>
    </w:r>
    <w:r>
      <w:tab/>
      <w:tab/>
      <w:tab/>
      <w:tab/>
      <w:tab/>
      <w:tab/>
      <w:tab/>
      <w:tab/>
    </w:r>
    <w:r>
      <w:drawing>
        <wp:inline xmlns:a="http://schemas.openxmlformats.org/drawingml/2006/main" xmlns:pic="http://schemas.openxmlformats.org/drawingml/2006/picture">
          <wp:extent cx="1562100" cy="695325"/>
          <wp:docPr id="2" name="Picture 2"/>
          <wp:cNvGraphicFramePr>
            <a:graphicFrameLocks noChangeAspect="1"/>
          </wp:cNvGraphicFramePr>
          <a:graphic>
            <a:graphicData uri="http://schemas.openxmlformats.org/drawingml/2006/picture">
              <pic:pic>
                <pic:nvPicPr>
                  <pic:cNvPr id="0" name="sadcas.png"/>
                  <pic:cNvPicPr/>
                </pic:nvPicPr>
                <pic:blipFill>
                  <a:blip r:embed="rId2"/>
                  <a:stretch>
                    <a:fillRect/>
                  </a:stretch>
                </pic:blipFill>
                <pic:spPr>
                  <a:xfrm>
                    <a:off x="0" y="0"/>
                    <a:ext cx="1562100" cy="695325"/>
                  </a:xfrm>
                  <a:prstGeom prst="rect"/>
                </pic:spPr>
              </pic:pic>
            </a:graphicData>
          </a:graphic>
        </wp:inline>
      </w:drawing>
    </w:r>
  </w:p>
  <w:p>
    <w:pPr>
      <w:pStyle w:val="Stylename_h_3"/>
      <w:jc w:val="left"/>
    </w:pPr>
    <w:r>
      <w:tab/>
      <w:tab/>
      <w:tab/>
      <w:tab/>
      <w:tab/>
      <w:t>CERTIFICATE NO: 34552</w:t>
    </w:r>
    <w:r>
      <w:rPr>
        <w:rFonts w:ascii="Arial" w:hAnsi="Arial"/>
        <w:b w:val="0"/>
        <w:sz w:val="24"/>
      </w:rPr>
      <w:tab/>
      <w:tab/>
      <w:tab/>
      <w:tab/>
      <w:t xml:space="preserve">  Page 3 of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name">
    <w:name w:val="Style name"/>
    <w:rPr>
      <w:rFonts w:ascii="Arial" w:hAnsi="Arial"/>
      <w:b/>
      <w:sz w:val="24"/>
    </w:rPr>
  </w:style>
  <w:style w:type="paragraph" w:customStyle="1" w:styleId="Stylename_header_1">
    <w:name w:val="Style name_header_1"/>
    <w:rPr>
      <w:rFonts w:ascii="Arial Black" w:hAnsi="Arial Black"/>
      <w:b/>
      <w:sz w:val="40"/>
    </w:rPr>
  </w:style>
  <w:style w:type="paragraph" w:customStyle="1" w:styleId="Stylename2">
    <w:name w:val="Style name2"/>
    <w:rPr>
      <w:rFonts w:ascii="Arial" w:hAnsi="Arial"/>
      <w:b/>
      <w:sz w:val="32"/>
    </w:rPr>
  </w:style>
  <w:style w:type="paragraph" w:customStyle="1" w:styleId="Stylename3">
    <w:name w:val="Style name3"/>
    <w:rPr>
      <w:rFonts w:ascii="Arial" w:hAnsi="Arial"/>
      <w:b/>
      <w:sz w:val="20"/>
    </w:rPr>
  </w:style>
  <w:style w:type="paragraph" w:customStyle="1" w:styleId="Stylename_2">
    <w:name w:val="Style name_2"/>
    <w:rPr>
      <w:rFonts w:ascii="Arial" w:hAnsi="Arial"/>
      <w:b/>
      <w:sz w:val="24"/>
    </w:rPr>
  </w:style>
  <w:style w:type="paragraph" w:customStyle="1" w:styleId="Stylename_3">
    <w:name w:val="Style name_3"/>
    <w:rPr>
      <w:rFonts w:ascii="Arial" w:hAnsi="Arial"/>
      <w:b w:val="0"/>
      <w:sz w:val="20"/>
    </w:rPr>
  </w:style>
  <w:style w:type="paragraph" w:customStyle="1" w:styleId="Stylename_h_2">
    <w:name w:val="Style name_h_2"/>
    <w:rPr>
      <w:rFonts w:ascii="Arial" w:hAnsi="Arial"/>
      <w:b/>
      <w:sz w:val="24"/>
    </w:rPr>
  </w:style>
  <w:style w:type="paragraph" w:customStyle="1" w:styleId="Stylename_4">
    <w:name w:val="Style name_4"/>
    <w:rPr>
      <w:rFonts w:ascii="Arial" w:hAnsi="Arial"/>
      <w:b/>
      <w:sz w:val="22"/>
    </w:rPr>
  </w:style>
  <w:style w:type="paragraph" w:customStyle="1" w:styleId="Stylename_5">
    <w:name w:val="Style name_5"/>
    <w:rPr>
      <w:rFonts w:ascii="Arial" w:hAnsi="Arial"/>
      <w:b w:val="0"/>
      <w:sz w:val="22"/>
    </w:rPr>
  </w:style>
  <w:style w:type="paragraph" w:customStyle="1" w:styleId="Stylename_6">
    <w:name w:val="Style name_6"/>
    <w:rPr>
      <w:rFonts w:ascii="Arial" w:hAnsi="Arial"/>
      <w:b/>
      <w:sz w:val="22"/>
    </w:rPr>
  </w:style>
  <w:style w:type="paragraph" w:customStyle="1" w:styleId="Stylename_7">
    <w:name w:val="Style name_7"/>
    <w:rPr>
      <w:rFonts w:ascii="Arial" w:hAnsi="Arial"/>
      <w:b w:val="0"/>
      <w:sz w:val="22"/>
    </w:rPr>
  </w:style>
  <w:style w:type="paragraph" w:customStyle="1" w:styleId="Stylename_8">
    <w:name w:val="Style name_8"/>
    <w:rPr>
      <w:rFonts w:ascii="Arial" w:hAnsi="Arial"/>
      <w:b/>
      <w:sz w:val="22"/>
    </w:rPr>
  </w:style>
  <w:style w:type="paragraph" w:customStyle="1" w:styleId="Stylename_9">
    <w:name w:val="Style name_9"/>
    <w:rPr>
      <w:rFonts w:ascii="Arial" w:hAnsi="Arial"/>
      <w:b w:val="0"/>
      <w:sz w:val="22"/>
    </w:rPr>
  </w:style>
  <w:style w:type="paragraph" w:customStyle="1" w:styleId="Stylename_10">
    <w:name w:val="Style name_10"/>
    <w:rPr>
      <w:rFonts w:ascii="Arial" w:hAnsi="Arial"/>
      <w:b/>
      <w:sz w:val="22"/>
    </w:rPr>
  </w:style>
  <w:style w:type="paragraph" w:customStyle="1" w:styleId="Stylename_11">
    <w:name w:val="Style name_11"/>
    <w:rPr>
      <w:rFonts w:ascii="Arial" w:hAnsi="Arial"/>
      <w:b w:val="0"/>
      <w:sz w:val="22"/>
    </w:rPr>
  </w:style>
  <w:style w:type="paragraph" w:customStyle="1" w:styleId="Stylename_12">
    <w:name w:val="Style name_12"/>
    <w:rPr>
      <w:rFonts w:ascii="Arial" w:hAnsi="Arial"/>
      <w:b/>
      <w:sz w:val="22"/>
    </w:rPr>
  </w:style>
  <w:style w:type="paragraph" w:customStyle="1" w:styleId="Stylename_hdr">
    <w:name w:val="Style name_hdr"/>
    <w:rPr>
      <w:rFonts w:ascii="Arial" w:hAnsi="Arial"/>
      <w:b w:val="0"/>
      <w:sz w:val="22"/>
    </w:rPr>
  </w:style>
  <w:style w:type="paragraph" w:customStyle="1" w:styleId="Stylename_h_3">
    <w:name w:val="Style name_h_3"/>
    <w:rPr>
      <w:rFonts w:ascii="Arial" w:hAnsi="Arial"/>
      <w:b/>
      <w:sz w:val="24"/>
    </w:rPr>
  </w:style>
  <w:style w:type="paragraph" w:customStyle="1" w:styleId="Stylename_18">
    <w:name w:val="Style name_18"/>
    <w:rPr>
      <w:rFonts w:ascii="Arial" w:hAnsi="Arial"/>
      <w:b/>
      <w:sz w:val="22"/>
    </w:rPr>
  </w:style>
  <w:style w:type="paragraph" w:customStyle="1" w:styleId="Stylename_19">
    <w:name w:val="Style name_19"/>
    <w:rPr>
      <w:rFonts w:ascii="Arial" w:hAnsi="Arial"/>
      <w:b w:val="0"/>
      <w:sz w:val="22"/>
    </w:rPr>
  </w:style>
  <w:style w:type="paragraph" w:customStyle="1" w:styleId="Stylename_20">
    <w:name w:val="Style name_20"/>
    <w:rPr>
      <w:rFonts w:ascii="Arial" w:hAnsi="Arial"/>
      <w:b w:val="0"/>
      <w:sz w:val="22"/>
    </w:rPr>
  </w:style>
  <w:style w:type="paragraph" w:customStyle="1" w:styleId="Stylename_21">
    <w:name w:val="Style name_21"/>
    <w:rPr>
      <w:rFonts w:ascii="Arial" w:hAnsi="Arial"/>
      <w:b/>
      <w:sz w:val="22"/>
    </w:rPr>
  </w:style>
  <w:style w:type="paragraph" w:customStyle="1" w:styleId="Stylename_22">
    <w:name w:val="Style name_22"/>
    <w:rPr>
      <w:rFonts w:ascii="Arial" w:hAnsi="Arial"/>
      <w:b w:val="0"/>
      <w:sz w:val="22"/>
    </w:rPr>
  </w:style>
  <w:style w:type="paragraph" w:customStyle="1" w:styleId="Stylename_25">
    <w:name w:val="Style name_25"/>
    <w:rPr>
      <w:rFonts w:ascii="Arial" w:hAnsi="Arial"/>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