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Grandes fonctions de l’entreprise et fonctions impliquées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10F7FB58" w14:textId="0765D6C9" w:rsidR="007969FC" w:rsidRDefault="00BD794B" w:rsidP="00E707D6">
      <w:pPr>
        <w:ind w:left="720"/>
        <w:rPr>
          <w:color w:val="auto"/>
          <w:lang w:val="fr-FR"/>
        </w:rPr>
      </w:pPr>
      <w:r w:rsidRPr="00BD794B">
        <w:rPr>
          <w:color w:val="auto"/>
          <w:lang w:val="fr-FR"/>
        </w:rPr>
        <w:t>Le médicament est d’ailleurs l’un des produits les plus encadrés qui soient : chaque étape, de la recherche à la commercialisation, obéit à une réglementation stricte, contrôlée en France par l’ANSM (Agence nationale de sécurité du médicament et des produits de santé), dans un cadre de plus en plus européen. Ce parcours est aussi très sélectif : sur environ 10 000 molécules ciblées au départ, une dizaine seulement deviennent des candidats médicaments, et une seule aboutit à un médicament commercialisé. Il s’étale enfin sur de longues années — souvent 8 à 10 ans de recherche et développement, auxquels s’ajoutent 1 à 3 ans pour les autorisations et la production.</w:t>
      </w:r>
      <w:r w:rsidRPr="00BD794B">
        <w:rPr>
          <w:color w:val="auto"/>
          <w:lang w:val="fr-FR"/>
        </w:rPr>
      </w:r>
      <w:r w:rsidRPr="00BD794B">
        <w:rPr>
          <w:color w:val="auto"/>
          <w:lang w:val="fr-FR"/>
        </w:rPr>
      </w:r>
      <w:r w:rsidR="00CB5D62" w:rsidRPr="00CB5D62">
        <w:rPr>
          <w:color w:val="auto"/>
          <w:lang w:val="fr-FR"/>
        </w:rPr>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r>
        <w:rPr/>
        <w:t xml:space="preserve"> Les axes de recherche sont d’ailleurs orientés par les avancées de la recherche fondamentale (universités, hôpitaux, entreprises), par les besoins médicaux et par la stratégie de l’entreprise.</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lastRenderedPageBreak/>
        <w:t xml:space="preserve">Le développement CMC (Chimie, Fabrication et Contrôles) sert à définir et à stabiliser </w:t>
      </w:r>
      <w:r w:rsidRPr="00F512D2">
        <w:rPr>
          <w:color w:val="auto"/>
          <w:lang w:val="fr-FR"/>
        </w:rPr>
        <w:t>tout ce</w:t>
      </w:r>
      <w:r w:rsidRPr="00F512D2">
        <w:rPr>
          <w:color w:val="auto"/>
          <w:lang w:val="fr-FR"/>
        </w:rPr>
        <w:t xml:space="preserve"> qui touche à la fabrication du produit : son procédé de fabrication et </w:t>
      </w:r>
      <w:r w:rsidRPr="00F512D2">
        <w:rPr>
          <w:color w:val="auto"/>
          <w:lang w:val="fr-FR"/>
        </w:rPr>
        <w:t>les méthodes</w:t>
      </w:r>
      <w:r w:rsidRPr="00F512D2">
        <w:rPr>
          <w:color w:val="auto"/>
          <w:lang w:val="fr-FR"/>
        </w:rPr>
        <w:t xml:space="preserve"> qui garantissent sa qualité et sa reproductibilité dans le temps. Ce </w:t>
      </w:r>
      <w:r w:rsidRPr="00F512D2">
        <w:rPr>
          <w:color w:val="auto"/>
          <w:lang w:val="fr-FR"/>
        </w:rPr>
        <w:t>travail démarre</w:t>
      </w:r>
      <w:r w:rsidRPr="00F512D2">
        <w:rPr>
          <w:color w:val="auto"/>
          <w:lang w:val="fr-FR"/>
        </w:rPr>
        <w:t xml:space="preserve"> tôt et se poursuit en parallèle des étapes suivantes. C’est la partie du cycle </w:t>
      </w:r>
      <w:r w:rsidRPr="00F512D2">
        <w:rPr>
          <w:color w:val="auto"/>
          <w:lang w:val="fr-FR"/>
        </w:rPr>
        <w:t>que j’ai</w:t>
      </w:r>
      <w:r w:rsidRPr="00F512D2">
        <w:rPr>
          <w:color w:val="auto"/>
          <w:lang w:val="fr-FR"/>
        </w:rPr>
        <w:t xml:space="preserve"> eu le plus de mal à cerner au début de mon stage.</w:t>
      </w:r>
      <w:r>
        <w:rPr/>
        <w:t xml:space="preserve"> Ce développement industriel se déroule en parallèle des essais cliniques et porte notamment sur la production du principe actif ; avec les résultats des essais, il constitue le dossier de demande d’AMM.</w:t>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Pr/>
        <w:t xml:space="preserve"> L’objectif est aussi de sélectionner, parmi de nombreuses molécules, celles qui pourront être testées chez l’homme ; cette étape s’appuie en partie sur des tests sur l’animal.</w:t>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r>
        <w:rPr/>
        <w:t xml:space="preserve"> Concrètement, une première phase évalue la tolérance sur un nombre limité de volontaires sains, une deuxième l’efficacité chez des patients, et une troisième le rapport efficacité/tolérance sur une population plus large. Ces essais se déroulent le plus souvent en milieu hospitalier.</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r>
        <w:rPr/>
        <w:t xml:space="preserve"> Cette autorisation peut suivre une voie européenne (via l’EMA) ou nationale (via l’ANSM). Une fois l’AMM obtenue, le dossier passe encore devant la Commission de la Transparence (HAS), qui évalue le service médical rendu (SMR) et son amélioration (ASMR), avant la fixation du prix et du taux de remboursement.</w:t>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r>
        <w:rPr/>
        <w:t xml:space="preserve"> Le médicament est alors fabriqué à l’échelle industrielle, puis distribué en pharmacies, à l’hôpital et auprès des médecins. Au-delà de la pharmacovigilance, il fait l’objet d’études post-AMM. Enfin, à l’expiration du brevet, il peut être commercialisé sous forme de générique, et de nouvelles indications peuvent donner lieu à une nouvelle AMM.</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 xml:space="preserve">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w:t>
      </w:r>
      <w:r w:rsidRPr="00004E23">
        <w:rPr>
          <w:color w:val="auto"/>
          <w:lang w:val="fr-FR"/>
        </w:rPr>
        <w:t>marché : les modifications apportées au produit par la suite ne sont pas gérées dans ce cadre. Le périmètre des projets s’étend donc, pour l’essentiel, de l’initiation à la première commercialisation, comme le montre la figure ci-dessus.</w:t>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14:paraId="5292AAB5" w14:textId="77777777" w:rsidR="003376D4" w:rsidRPr="003376D4" w:rsidRDefault="003376D4" w:rsidP="003376D4">
      <w:pPr>
        <w:pStyle w:val="Paragraphedeliste"/>
        <w:ind w:left="1440"/>
        <w:rPr>
          <w:color w:val="auto"/>
          <w:lang w:val="fr-FR"/>
        </w:rPr>
      </w:pPr>
      <w:r w:rsidRPr="003376D4">
        <w:rPr>
          <w:color w:val="auto"/>
          <w:lang w:val="fr-FR"/>
        </w:rPr>
        <w:t xml:space="preserve">J’ai ensuite analysé les procédures internes — celle du médicament, puis celle du dispositif médical, arrivée plus tard, environ deux semaines avant la fin du stage. </w:t>
      </w:r>
      <w:r w:rsidRPr="003376D4">
        <w:rPr>
          <w:color w:val="auto"/>
          <w:lang w:val="fr-FR"/>
        </w:rPr>
        <w:t>Cette analyse m’a permis de dégager les grandes lignes que les modèles devaient suivre.</w:t>
      </w:r>
    </w:p>
    <w:p w14:paraId="5FABB30D" w14:textId="77777777" w:rsidR="003376D4" w:rsidRPr="003376D4" w:rsidRDefault="003376D4" w:rsidP="003376D4">
      <w:pPr>
        <w:pStyle w:val="Paragraphedeliste"/>
        <w:ind w:left="1440"/>
        <w:rPr>
          <w:color w:val="auto"/>
          <w:lang w:val="fr-FR"/>
        </w:rPr>
      </w:pPr>
      <w:r w:rsidRPr="003376D4">
        <w:rPr>
          <w:color w:val="auto"/>
          <w:lang w:val="fr-FR"/>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entretiens en tête-à-tête ; d’autres se faisaient en équipe, lors de réunions avec le référent du département concerné. Des discussions plus informelles m’ont également aidée à orienter l’organisation dans Wrike. En parallèle, un point hebdomadaire, en début de semaine, permettait de faire le bilan de mon avancement et de cadrer le travail à venir.</w:t>
      </w:r>
    </w:p>
    <w:p w14:paraId="29FC6BF4" w14:textId="5900D6A2" w:rsidR="003376D4" w:rsidRDefault="003376D4" w:rsidP="003376D4">
      <w:pPr>
        <w:pStyle w:val="Paragraphedeliste"/>
        <w:ind w:left="1440"/>
        <w:rPr>
          <w:color w:val="auto"/>
          <w:lang w:val="fr-FR"/>
        </w:rPr>
      </w:pPr>
      <w:r w:rsidRPr="003376D4">
        <w:rPr>
          <w:color w:val="auto"/>
          <w:lang w:val="fr-FR"/>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et je les ai réattribuées au bon service, tout en restant fidèle à la procédure.</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se compose de deux modèles de projet distincts dans Wrike : un pour les projets de type médicament et un pour les projets de type dispositif médical. Tous deux suivent la même logique d’organisation, par service.</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le détail, chaque modèle présente un projet de la façon suivante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14:paraId="21AC4EF1" w14:textId="6C528A4C" w:rsidR="000A27F9" w:rsidRDefault="000A27F9" w:rsidP="000A27F9">
      <w:pPr>
        <w:pStyle w:val="Paragraphedeliste"/>
        <w:ind w:left="1440"/>
        <w:rPr>
          <w:color w:val="auto"/>
          <w:lang w:val="fr-FR"/>
        </w:rPr>
      </w:pPr>
      <w:r w:rsidRPr="000A27F9">
        <w:rPr>
          <w:color w:val="auto"/>
          <w:lang w:val="fr-FR"/>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p w14:paraId="3ACD70D1" w14:textId="77777777" w:rsidR="005E4355" w:rsidRPr="00E707D6" w:rsidRDefault="005E4355" w:rsidP="00B81F57">
      <w:pPr>
        <w:pStyle w:val="Listepuces"/>
        <w:numPr>
          <w:ilvl w:val="0"/>
          <w:numId w:val="0"/>
        </w:numPr>
        <w:ind w:left="360"/>
        <w:rPr>
          <w:color w:val="auto"/>
          <w:lang w:val="fr-FR"/>
        </w:rPr>
      </w:pPr>
      <w:r>
        <w:rPr>
          <w:sz w:val="20"/>
        </w:rPr>
        <w:t>LEEM, Les Français et leurs médicaments — 100 questions que l’on nous pose, fiche « Le cycle du médicament » (juin 2012).</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