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de la Direction Projet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et ne correspondait plus assez aux pratiques réelles des équipes. Mon travail a consisté à le reprendre et à le compléter.</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Fondés en 1994 et basés à Clermont-Ferrand, 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à travers plusieurs filiales.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officielle de présence internationale des Laboratoires Théa (disponible sur thea.com) — Figure 1  </w:t>
      </w:r>
    </w:p>
    <w:p>
      <w:pPr>
        <w:jc w:val="center"/>
      </w:pPr>
      <w:r>
        <w:rPr>
          <w:i/>
          <w:color w:val="606060"/>
          <w:sz w:val="20"/>
        </w:rPr>
        <w:t>Source des éléments de présentation : site officiel des Laboratoires Théa (thea.com).</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C'est un poste de direction à part entière,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Il garde cette vue d'ensemble, arbitre les priorités, répartit les moyens entre les projets et veille à la cohérence avec la stratégie de l'entreprise. Cette dimension de pilotage global le distingue d'un simple rôle d'encadrement — c'est, en somme, ce que recouvre le mot « portfolio » dans son intitulé.</w:t>
      </w:r>
    </w:p>
    <w:p>
      <w:pPr>
        <w:spacing w:after="160" w:line="312" w:lineRule="auto"/>
        <w:jc w:val="both"/>
      </w:pPr>
      <w:r>
        <w:rPr>
          <w:b w:val="0"/>
        </w:rPr>
        <w:t>Le service et le poste de Cyrille Boussard ne se confondent pas. Le service s'appelle la Direction Projet Innovation, à laquelle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apportent un soutien mutualisé à l'ensemble de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Elles définissent les attendus des chefs de projet sur l'année, les encadrent au jour le jour et interviennent en cas de litige ou de tension au sein du service. Ces responsables sont d'ailleurs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comme le montre la figure ci-dessous.</w:t>
      </w:r>
    </w:p>
    <w:p>
      <w:pPr>
        <w:spacing w:before="160"/>
        <w:jc w:val="center"/>
      </w:pPr>
      <w:r>
        <w:drawing>
          <wp:inline xmlns:a="http://schemas.openxmlformats.org/drawingml/2006/main" xmlns:pic="http://schemas.openxmlformats.org/drawingml/2006/picture">
            <wp:extent cx="5940000" cy="2037926"/>
            <wp:docPr id="2" name="Picture 2"/>
            <wp:cNvGraphicFramePr>
              <a:graphicFrameLocks noChangeAspect="1"/>
            </wp:cNvGraphicFramePr>
            <a:graphic>
              <a:graphicData uri="http://schemas.openxmlformats.org/drawingml/2006/picture">
                <pic:pic>
                  <pic:nvPicPr>
                    <pic:cNvPr id="0" name="orgchart-fonctions.png"/>
                    <pic:cNvPicPr/>
                  </pic:nvPicPr>
                  <pic:blipFill>
                    <a:blip r:embed="rId10"/>
                    <a:stretch>
                      <a:fillRect/>
                    </a:stretch>
                  </pic:blipFill>
                  <pic:spPr>
                    <a:xfrm>
                      <a:off x="0" y="0"/>
                      <a:ext cx="5940000" cy="2037926"/>
                    </a:xfrm>
                    <a:prstGeom prst="rect"/>
                  </pic:spPr>
                </pic:pic>
              </a:graphicData>
            </a:graphic>
          </wp:inline>
        </w:drawing>
      </w:r>
    </w:p>
    <w:p>
      <w:pPr>
        <w:spacing w:after="200"/>
        <w:jc w:val="center"/>
      </w:pPr>
      <w:r>
        <w:rPr>
          <w:i/>
          <w:color w:val="606060"/>
          <w:sz w:val="20"/>
        </w:rPr>
        <w:t>Figure 3 — Grandes fonctions de l'entreprise et fonctions impliquées dans les projets</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ses missions à plus forte valeur ajoutée. La mission qui m'a été confiée, que je détaille plus loin, répond directement à ce constat.</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3" name="Picture 3"/>
            <wp:cNvGraphicFramePr>
              <a:graphicFrameLocks noChangeAspect="1"/>
            </wp:cNvGraphicFramePr>
            <a:graphic>
              <a:graphicData uri="http://schemas.openxmlformats.org/drawingml/2006/picture">
                <pic:pic>
                  <pic:nvPicPr>
                    <pic:cNvPr id="0" name="frise-scope.png"/>
                    <pic:cNvPicPr/>
                  </pic:nvPicPr>
                  <pic:blipFill>
                    <a:blip r:embed="rId11"/>
                    <a:stretch>
                      <a:fillRect/>
                    </a:stretch>
                  </pic:blipFill>
                  <pic:spPr>
                    <a:xfrm>
                      <a:off x="0" y="0"/>
                      <a:ext cx="5940000" cy="1623490"/>
                    </a:xfrm>
                    <a:prstGeom prst="rect"/>
                  </pic:spPr>
                </pic:pic>
              </a:graphicData>
            </a:graphic>
          </wp:inline>
        </w:drawing>
      </w:r>
    </w:p>
    <w:p>
      <w:pPr>
        <w:spacing w:after="200"/>
        <w:jc w:val="center"/>
      </w:pPr>
      <w:r>
        <w:rPr>
          <w:i/>
          <w:color w:val="606060"/>
          <w:sz w:val="20"/>
        </w:rPr>
        <w:t>Figure 4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l'homme, le produit est étudié in vitro et in vivo,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les essais chez l'homme.</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Cette phase est déterminante et longue, soumise à des exigences méthodologiques et éthiques strictes.</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la plateforme de gestion de projet utilisée par l'équipe pour planifier, répartir les tâches et suivre l'avancement des projets.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5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pPr>
        <w:spacing w:after="160" w:line="312" w:lineRule="auto"/>
        <w:jc w:val="both"/>
      </w:pPr>
      <w:r>
        <w:rPr>
          <w:b w:val="0"/>
        </w:rPr>
        <w:t>J'ai ensuite analysé les procédures internes — celle du médicament, puis celle du dispositif médical, arrivée plus tard, environ deux semaines avant la fin du stage. Cette analyse m'a permis de dégager les grandes lignes que les modèles devaient suivre.</w:t>
      </w:r>
    </w:p>
    <w:p>
      <w:pPr>
        <w:spacing w:after="160" w:line="312" w:lineRule="auto"/>
        <w:jc w:val="both"/>
      </w:pPr>
      <w:r>
        <w:rPr>
          <w:b w:val="0"/>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entretiens en tête-à-tête ; d'autres se faisaient en équipe, lors de réunions avec le référent du département concerné. Des discussions plus informelles m'ont également aidée à orienter l'organisation dans Wrike. En parallèle, un point hebdomadaire, en début de semaine, permettait de faire le bilan de mon avancement et de cadrer le travail à venir.</w:t>
      </w:r>
    </w:p>
    <w:p>
      <w:pPr>
        <w:spacing w:after="160" w:line="312" w:lineRule="auto"/>
        <w:jc w:val="both"/>
      </w:pPr>
      <w:r>
        <w:rPr>
          <w:b w:val="0"/>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et je les ai réattribuées au bon service, tout en restant fidèle à la procédure.</w:t>
      </w:r>
    </w:p>
    <w:p>
      <w:pPr>
        <w:spacing w:before="240" w:after="80"/>
      </w:pPr>
      <w:r>
        <w:rPr>
          <w:b/>
          <w:color w:val="14375E"/>
          <w:sz w:val="26"/>
        </w:rPr>
        <w:t>Le rendu</w:t>
      </w:r>
    </w:p>
    <w:p>
      <w:pPr>
        <w:spacing w:after="160" w:line="312" w:lineRule="auto"/>
        <w:jc w:val="both"/>
      </w:pPr>
      <w:r>
        <w:rPr>
          <w:b w:val="0"/>
        </w:rPr>
        <w:t xml:space="preserve">Le rendu final se compose de </w:t>
      </w:r>
      <w:r>
        <w:rPr>
          <w:b/>
        </w:rPr>
        <w:t>deux modèles de projet distincts</w:t>
      </w:r>
      <w:r>
        <w:rPr>
          <w:b w:val="0"/>
        </w:rPr>
        <w:t xml:space="preserve"> dans Wrike : un pour les projets de type </w:t>
      </w:r>
      <w:r>
        <w:rPr>
          <w:b/>
        </w:rPr>
        <w:t>médicament</w:t>
      </w:r>
      <w:r>
        <w:rPr>
          <w:b w:val="0"/>
        </w:rPr>
        <w:t xml:space="preserve"> et un pour les projets de type </w:t>
      </w:r>
      <w:r>
        <w:rPr>
          <w:b/>
        </w:rPr>
        <w:t>dispositif médical</w:t>
      </w:r>
      <w:r>
        <w:rPr>
          <w:b w:val="0"/>
        </w:rPr>
        <w:t>. Tous deux suivent la même logique d'organisation, par service.</w:t>
      </w:r>
    </w:p>
    <w:p>
      <w:pPr>
        <w:spacing w:after="160" w:line="312" w:lineRule="auto"/>
        <w:jc w:val="both"/>
      </w:pPr>
      <w:r>
        <w:rPr>
          <w:b w:val="0"/>
        </w:rPr>
        <w:t>Dans le détail, chaque modèle présente un projet de la façon suivante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pPr>
        <w:spacing w:after="160" w:line="312" w:lineRule="auto"/>
        <w:jc w:val="both"/>
      </w:pPr>
      <w:r>
        <w:rPr>
          <w:b w:val="0"/>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pPr>
        <w:spacing w:after="160" w:line="312" w:lineRule="auto"/>
        <w:jc w:val="both"/>
      </w:pPr>
      <w:r>
        <w:rPr>
          <w:b w:val="0"/>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6  </w:t>
      </w:r>
    </w:p>
    <w:p>
      <w:pPr>
        <w:spacing w:before="240" w:after="80"/>
      </w:pPr>
      <w:r>
        <w:rPr>
          <w:b/>
          <w:color w:val="14375E"/>
          <w:sz w:val="26"/>
        </w:rPr>
        <w:t>Difficultés et apprentissages</w:t>
      </w:r>
    </w:p>
    <w:p>
      <w:pPr>
        <w:spacing w:after="160" w:line="312" w:lineRule="auto"/>
        <w:jc w:val="both"/>
      </w:pPr>
      <w:r>
        <w:rPr>
          <w:b w:val="0"/>
        </w:rPr>
        <w:t>La difficulté la plus marquante a été de repérer les tâches mal attribuées : une tâche rattachée à la partie clinique appartenait parfois, en réalité, au 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pPr>
        <w:spacing w:after="160" w:line="312" w:lineRule="auto"/>
        <w:jc w:val="both"/>
      </w:pPr>
      <w:r>
        <w:rPr>
          <w:b w:val="0"/>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deux modèles de projet retravaillés dans Wrike, plus proches de l'activité réelle des équipes. Pour y parvenir, j'ai surtout mobilisé de la rigueur, indispensable pour traduire fidèlement des processus complexes dans un outil structuré, et le sens du travail en équipe : sans lui, je n'aurais rien pu construire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en plus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