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des pays de commercialisation des produits Théa — Figure 1  </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 la R&amp;D et les affaires médicales, les affaires réglementaires, la qualité, la vigilance, la production, la supply chain ou encore le marketing.</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2" name="Picture 2"/>
            <wp:cNvGraphicFramePr>
              <a:graphicFrameLocks noChangeAspect="1"/>
            </wp:cNvGraphicFramePr>
            <a:graphic>
              <a:graphicData uri="http://schemas.openxmlformats.org/drawingml/2006/picture">
                <pic:pic>
                  <pic:nvPicPr>
                    <pic:cNvPr id="0" name="frise-scope.png"/>
                    <pic:cNvPicPr/>
                  </pic:nvPicPr>
                  <pic:blipFill>
                    <a:blip r:embed="rId10"/>
                    <a:stretch>
                      <a:fillRect/>
                    </a:stretch>
                  </pic:blipFill>
                  <pic:spPr>
                    <a:xfrm>
                      <a:off x="0" y="0"/>
                      <a:ext cx="5940000" cy="1623490"/>
                    </a:xfrm>
                    <a:prstGeom prst="rect"/>
                  </pic:spPr>
                </pic:pic>
              </a:graphicData>
            </a:graphic>
          </wp:inline>
        </w:drawing>
      </w:r>
    </w:p>
    <w:p>
      <w:pPr>
        <w:spacing w:after="200"/>
        <w:jc w:val="center"/>
      </w:pPr>
      <w:r>
        <w:rPr>
          <w:i/>
          <w:color w:val="606060"/>
          <w:sz w:val="20"/>
        </w:rPr>
        <w:t>Figure 3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marché : les modifications apportées au produit par la suite ne sont pas gérées dans ce cadre. Le périmètre des projets s'étend donc, pour l'essentiel, de l'initiation à la première commercialisation, comme le montre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4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pPr>
        <w:spacing w:before="240" w:after="80"/>
      </w:pPr>
      <w:r>
        <w:rPr>
          <w:b/>
          <w:color w:val="14375E"/>
          <w:sz w:val="26"/>
        </w:rPr>
        <w:t>La démarche</w:t>
      </w:r>
    </w:p>
    <w:p>
      <w:pPr>
        <w:spacing w:after="160" w:line="312" w:lineRule="auto"/>
        <w:jc w:val="both"/>
      </w:pPr>
      <w:r>
        <w:rPr>
          <w:b w:val="0"/>
        </w:rPr>
        <w:t>Je suis partie de l'ancien modèle et, surtout, des listes de tâches fournies par les différents services — principalement les affaires cliniques et le développement CMC, qui m'ont transmis le détail de leurs activités. Mon travail a d'abord consisté à comprendre ces tâches, puis à les retranscrire dans Wrike. Il a fallu me familiariser avec leur enchaînement, c'est-à-dire leurs prédécesseurs et leurs successeurs, pour respecter l'ordre logique du projet. Le planning ne contient d'ailleurs pas seulement les activités du chef de projet, mais l'ensemble des activités du projet, portées par les différentes fonctions.</w:t>
      </w:r>
    </w:p>
    <w:p>
      <w:pPr>
        <w:spacing w:after="160" w:line="312" w:lineRule="auto"/>
        <w:jc w:val="both"/>
      </w:pPr>
      <w:r>
        <w:rPr>
          <w:b w:val="0"/>
        </w:rPr>
        <w:t>Au-delà de la simple transcription, j'ai cherché à harmoniser l'ensemble pour que chaque département retrouve clairement sa propre liste de tâches, sans que les activités des uns et des autres se mélangent. Certaines tâches figuraient en effet au mauvais endroit : par exemple, une tâche classée dans la partie clinique était en réalité réalisée par les affaires réglementaires. J'ai donc réattribué ces tâches au bon service, tout en restant fidèle à la procédure, comme dans l'ancien modèle.</w:t>
      </w:r>
    </w:p>
    <w:p>
      <w:pPr>
        <w:spacing w:before="240" w:after="80"/>
      </w:pPr>
      <w:r>
        <w:rPr>
          <w:b/>
          <w:color w:val="14375E"/>
          <w:sz w:val="26"/>
        </w:rPr>
        <w:t>Le résultat</w:t>
      </w:r>
    </w:p>
    <w:p>
      <w:pPr>
        <w:spacing w:after="160" w:line="312" w:lineRule="auto"/>
        <w:jc w:val="both"/>
      </w:pPr>
      <w:r>
        <w:rPr>
          <w:b w:val="0"/>
        </w:rPr>
        <w:t>Ce travail constitue une première base. En l'état, il ne permet pas encore de fournir un modèle définitif, prêt à faciliter le quotidien de tous les chefs de projet : c'est un point de départ, qui demande à être retravaillé. D'autres personnes de l'équipe, notamment avec ma tutrice, poursuivront sur cette base pour l'affiner, la faire mieux coller à la réalité des projets et, à terme, la déployer auprès de l'ensemble des chefs de projet.</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5  </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