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Verarbeitungspipeline für Impulsantworten</w:t>
      </w:r>
    </w:p>
    <w:p>
      <w:pPr>
        <w:pStyle w:val="Heading2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Systemparameter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Parameter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Wert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Abtastrate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500 kHz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IR-Länge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ms (15.000 Samples)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Terzbänder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 Bänder nach IEC 61260, 4 kHz – 63 kHz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T30-Auswertungsfenster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−5 dB bis −35 dB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Temperatur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20 °C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Relative Luftfeuchte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LF = 50 %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Luftdruck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p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= 101,325 kPa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Empfängerpositionen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 Positionen, 4×4-m-Raster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Schallquellenposition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Ursprung (0, 0)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Initialisierung und Datenladen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Verzeichnisstruktur des Projekts wird über die Funktion </w:t>
      </w:r>
      <w:r>
        <w:rPr>
          <w:rFonts w:ascii="Consolas" w:cs="Consolas" w:eastAsia="Consolas" w:hAnsi="Consolas"/>
          <w:sz w:val="22"/>
          <w:szCs w:val="22"/>
        </w:rPr>
        <w:t xml:space="preserve">init_repo_paths()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initialisiert. Sämtliche Pfade für Roh- und Ergebnisdaten, Zwischenprodukte sowie Konfigurationsdateien werden hierbei zentral definiert und an nachgelagerte Verarbeitungsschritte propagiert.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Messgeometrie umfasst 15 Empfängerpositionen, angeordnet auf einem gleichmäßigen 4×4-m-Raster, sowie eine Schallquelle im Koordinatenursprung (0, 0). Der Abruf erfolgt über </w:t>
      </w:r>
      <w:r>
        <w:rPr>
          <w:rFonts w:ascii="Consolas" w:cs="Consolas" w:eastAsia="Consolas" w:hAnsi="Consolas"/>
          <w:sz w:val="22"/>
          <w:szCs w:val="22"/>
        </w:rPr>
        <w:t xml:space="preserve">get_geometry()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Die Rohdaten werden durch einen rekursiven Scan aller </w:t>
      </w:r>
      <w:r>
        <w:rPr>
          <w:rFonts w:ascii="Consolas" w:cs="Consolas" w:eastAsia="Consolas" w:hAnsi="Consolas"/>
          <w:sz w:val="22"/>
          <w:szCs w:val="22"/>
        </w:rPr>
        <w:t xml:space="preserve">.mat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-Dateien im Verzeichnis </w:t>
      </w:r>
      <w:r>
        <w:rPr>
          <w:rFonts w:ascii="Consolas" w:cs="Consolas" w:eastAsia="Consolas" w:hAnsi="Consolas"/>
          <w:sz w:val="22"/>
          <w:szCs w:val="22"/>
        </w:rPr>
        <w:t xml:space="preserve">dataraw/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erfasst. Jede identifizierte Datei durchläuft anschließend die mehrstufige Verarbeitungskette.</w:t>
      </w:r>
    </w:p>
    <w:p>
      <w:pPr>
        <w:pStyle w:val="Heading2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Pass 1 – IR-Extraktion und Vorverarbeitung</w:t>
      </w:r>
    </w:p>
    <w:p>
      <w:pPr>
        <w:pStyle w:val="Heading3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Metadaten-Parsing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Funktion </w:t>
      </w:r>
      <w:r>
        <w:rPr>
          <w:rFonts w:ascii="Consolas" w:cs="Consolas" w:eastAsia="Consolas" w:hAnsi="Consolas"/>
          <w:sz w:val="22"/>
          <w:szCs w:val="22"/>
        </w:rPr>
        <w:t xml:space="preserve">load_and_parse_file()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extrahiert aus jedem Dateinamen die zugehörigen Metadaten: Variante, Positionsnummer und Messtyp (Quelle oder Mikrofon). Sonderzeichen, die die Dateisystemkompatibilität gefährden, werden bereinigt. Die geparsten Metadaten dienen als Schlüssel für die spätere Zuordnung der Ergebnisse.</w:t>
      </w:r>
    </w:p>
    <w:p>
      <w:pPr>
        <w:pStyle w:val="Heading3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IR-Extraktion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Extraktion der Impulsantwort aus dem MATLAB-Struct erfolgt über </w:t>
      </w:r>
      <w:r>
        <w:rPr>
          <w:rFonts w:ascii="Consolas" w:cs="Consolas" w:eastAsia="Consolas" w:hAnsi="Consolas"/>
          <w:sz w:val="22"/>
          <w:szCs w:val="22"/>
        </w:rPr>
        <w:t xml:space="preserve">extract_ir()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Das Struct wird nach Feldern mit definierten Namenskonventionen durchsucht: </w:t>
      </w:r>
      <w:r>
        <w:rPr>
          <w:rFonts w:ascii="Consolas" w:cs="Consolas" w:eastAsia="Consolas" w:hAnsi="Consolas"/>
          <w:sz w:val="22"/>
          <w:szCs w:val="22"/>
        </w:rPr>
        <w:t xml:space="preserve">RiR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RIR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aufn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audio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Das erste gefundene Feld wird als IR interpretiert, nach </w:t>
      </w:r>
      <w:r>
        <w:rPr>
          <w:rFonts w:ascii="Consolas" w:cs="Consolas" w:eastAsia="Consolas" w:hAnsi="Consolas"/>
          <w:sz w:val="22"/>
          <w:szCs w:val="22"/>
        </w:rPr>
        <w:t xml:space="preserve">double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konvertiert und als Spaltenvektor normiert.</w:t>
      </w:r>
    </w:p>
    <w:p>
      <w:pPr>
        <w:pStyle w:val="Heading3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DC-Offset-Entfernung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Zur Entfernung des Gleichanteils wird der arithmetische Mittelwert der gesamten IR subtrahiert: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ir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clean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− mean(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pStyle w:val="Heading3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Truncation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Funktion </w:t>
      </w:r>
      <w:r>
        <w:rPr>
          <w:rFonts w:ascii="Consolas" w:cs="Consolas" w:eastAsia="Consolas" w:hAnsi="Consolas"/>
          <w:sz w:val="22"/>
          <w:szCs w:val="22"/>
        </w:rPr>
        <w:t xml:space="preserve">truncate_ir()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begrenzt die IR auf den signaltragenden Abschnitt. Der Algorithmus gliedert sich in vier Teilschritte: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Peak-Detektion.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Das globale Maximum des Absolutwerts bestimmt die Referenzamplitude und den zeitlichen Ankerpunkt der Impulsantwort.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Onset-Detektion.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Ausgehend vom Peak-Index wird rückwärts nach dem ersten Sample gesucht, dessen Betrag 2 % der Peak-Amplitude unterschreitet. Dem so bestimmten Onset-Index werden 250 Samples als Vorläufer vorangestellt, um sicherzustellen, dass kein signalrelevanter Anteil abgeschnitten wird.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Rauschpegel-Schätzung.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Der Rauschpegel wird aus den letzten 10 % der unkomprimierten IR geschätzt und dient als Grundlage für die SNR-Berechnung der truncierten Antwort.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Feste Länge.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Bei aktiviertem Parameter </w:t>
      </w:r>
      <w:r>
        <w:rPr>
          <w:rFonts w:ascii="Consolas" w:cs="Consolas" w:eastAsia="Consolas" w:hAnsi="Consolas"/>
          <w:sz w:val="22"/>
          <w:szCs w:val="22"/>
        </w:rPr>
        <w:t xml:space="preserve">use_fixed_length=true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wird die IR auf exakt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fixed_duration_s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15.000 Samples (entsprechend 30 ms bei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500 kHz) beschnitten. Unterschreitet die verbleibende Signallänge diesen Wert, erfolgt Zero-Padding.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Über alle im ersten Durchlauf verarbeiteten IRs wird der maximale Absolutwert gesammelt und als </w:t>
      </w:r>
      <w:r>
        <w:rPr>
          <w:rFonts w:ascii="Consolas" w:cs="Consolas" w:eastAsia="Consolas" w:hAnsi="Consolas"/>
          <w:sz w:val="22"/>
          <w:szCs w:val="22"/>
        </w:rPr>
        <w:t xml:space="preserve">FS_global_peak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gespeichert. Dieser Wert repräsentiert die Vollaussteuerungsreferenz im Zeitbereich.</w:t>
      </w:r>
    </w:p>
    <w:p>
      <w:pPr>
        <w:pStyle w:val="Heading2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Pass 2 – Spektralanalyse und Energie-Referenzbestimmung</w:t>
      </w:r>
    </w:p>
    <w:p>
      <w:pPr>
        <w:pStyle w:val="Heading3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Terzband-Spektrum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Berechnung des Terzband-Spektrums via </w:t>
      </w:r>
      <w:r>
        <w:rPr>
          <w:rFonts w:ascii="Consolas" w:cs="Consolas" w:eastAsia="Consolas" w:hAnsi="Consolas"/>
          <w:sz w:val="22"/>
          <w:szCs w:val="22"/>
        </w:rPr>
        <w:t xml:space="preserve">calc_terz_spectrum()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umfasst die folgenden Schritte.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FFT.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Die truncierte IR wird mit Zero-Padding auf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fft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⌈log₂(N)⌉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Punkte erweitert und fouriertransformiert.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Luftabsorptionskorrektur.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 Frequenzbereich wird die Korrektur über </w:t>
      </w:r>
      <w:r>
        <w:rPr>
          <w:rFonts w:ascii="Consolas" w:cs="Consolas" w:eastAsia="Consolas" w:hAnsi="Consolas"/>
          <w:sz w:val="22"/>
          <w:szCs w:val="22"/>
        </w:rPr>
        <w:t xml:space="preserve">airabsorb()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angebracht. Die Funktion berechnet den absorptionsbedingten Dämpfungsfaktor bei Standardbedingungen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101,325 kPa,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20 °C, LF = 50 %) und der jeweiligen Entfernung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zwischen Quelle und Empfänger: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korr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·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lin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Einseitige Energiedichte.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Das einseitige Leistungsdichtespektrum ergibt sich als |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|² /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Terzbandgrenzen.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Die 13 Terzbänder folgen der Norm IEC 61260 mit Mittenfrequenzen von 4 kHz bis 63 kHz. Die unteren und oberen Bandgrenzen berechnen sich nach: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−1/20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,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high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1/20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Bandintegration und Pegelberechnung.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Die spektrale Energie wird innerhalb jeder Bandgrenze integriert. Der Terzbandpegel resultiert als: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Terz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10 · log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Band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FS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ref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²)   [dBFS]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Breitband-Summenpegel.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Der Gesamtpegel über alle Terzbänder: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sum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10 · log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(Σ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Band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FS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ref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²)   [dBFS]</w:t>
      </w:r>
    </w:p>
    <w:p>
      <w:pPr>
        <w:pStyle w:val="Heading3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Nachhallzeit T30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Berechnung der frequenzabhängigen Nachhallzeit erfolgt über </w:t>
      </w:r>
      <w:r>
        <w:rPr>
          <w:rFonts w:ascii="Consolas" w:cs="Consolas" w:eastAsia="Consolas" w:hAnsi="Consolas"/>
          <w:sz w:val="22"/>
          <w:szCs w:val="22"/>
        </w:rPr>
        <w:t xml:space="preserve">calc_rt60_spectrum()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für jedes Terzband separat.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Bandpassfilterung.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Ein Butterworth-Bandpassfilter 4. Ordnung wird mit den Terzband-Grenzfrequenzen entworfen und nullphasig (</w:t>
      </w:r>
      <w:r>
        <w:rPr>
          <w:rFonts w:ascii="Consolas" w:cs="Consolas" w:eastAsia="Consolas" w:hAnsi="Consolas"/>
          <w:sz w:val="22"/>
          <w:szCs w:val="22"/>
        </w:rPr>
        <w:t xml:space="preserve">filtfilt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auf die IR angewendet. Die nullphasige Filterung verhindert Gruppenlaufzeitverzerrungen.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Schroeder-Integration.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Aus dem gefilterten Signal wird die Energieverfall-Kurve (EDC) durch Rückwärtsintegration berechnet: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EDC(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Σ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τ=t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∞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²(τ)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Normierung erfolgt auf den Maximalwert am Anfang der Integration.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Lineare Regression.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 Bereich −5 dB bis −35 dB der normalisierten EDC wird eine lineare Regression (Methode der kleinsten Quadrate) durchgeführt. Die Steigung der Regressionsgeraden beschreibt die Abklingrate des jeweiligen Terzbands.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Extrapolation auf T30.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Die Regressionssteigung wird auf einen Abfall von −60 dB extrapoliert. Der zugehörige Zeitwert ergibt T30.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Luftabsorptionskorrektur der Nachhallzeit.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Der Einfluss der Luftabsorption auf die gemessene Nachhallzeit wird frequenzabhängig kompensiert: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Raum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gemessen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− 1/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Luft</w:t>
      </w:r>
    </w:p>
    <w:p>
      <w:pPr>
        <w:pStyle w:val="Heading3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Globale Energiereferenz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Aus allen verarbeiteten IRs wird die maximale Breitband-Energie bestimmt: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FS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global_energy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√(max über alle IRs: Σ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Band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finale Vollaussteuerungsreferenz ergibt sich als Maximum beider Durchläufe: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FS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global_final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max(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FS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global_peak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FS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global_energy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Diese doppelte Referenzbildung stellt sicher, dass weder der maximale Zeitbereichs-Peak noch die maximale spektrale Gesamtenergie den Wert 0 dBFS übersteigt. Die Konsistenz der relativen Pegelangaben über alle Messungen einer Kampagne wird dadurch gewährleistet.</w:t>
      </w:r>
    </w:p>
    <w:p>
      <w:pPr>
        <w:pStyle w:val="Heading2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Pass 3 – Finale Pegelberechnung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 dritten Durchlauf werden sämtliche Terzbandpegel mit der finalen Referenz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FS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global_final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neu berechnet: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10 · log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FS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global_final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²)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Pegel oberhalb 0 dBFS werden auf 0 dBFS gedeckelt. Dieser Begrenzungsmechanismus verhindert numerisch inkonsistente Darstellungen, die durch Rundungsdifferenzen zwischen Zeit- und Frequenzbereichsreferenz auftreten können.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Ergebnisse werden in einem strukturierten MATLAB-Struct zusammengefasst: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Feld</w:t>
            </w:r>
          </w:p>
        </w:tc>
        <w:tc>
          <w:tcPr>
            <w:tcW w:type="dxa" w:w="6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Inhalt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Result.meta</w:t>
            </w:r>
          </w:p>
        </w:tc>
        <w:tc>
          <w:tcPr>
            <w:tcW w:type="dxa" w:w="6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f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FS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global_used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LF, Variante, Position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Result.time</w:t>
            </w:r>
          </w:p>
        </w:tc>
        <w:tc>
          <w:tcPr>
            <w:tcW w:type="dxa" w:w="6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Truncierte IR, Truncation-Metriken (SNR, Energieerhalt, Start-/Endindizes)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Result.freq</w:t>
            </w:r>
          </w:p>
        </w:tc>
        <w:tc>
          <w:tcPr>
            <w:tcW w:type="dxa" w:w="6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L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Terz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L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</w:rPr>
              <w:t xml:space="preserve">sum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, Mittenfrequenzen, T30 pro Terzband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Speicherung erfolgt unter dem Namensmuster </w:t>
      </w:r>
      <w:r>
        <w:rPr>
          <w:rFonts w:ascii="Consolas" w:cs="Consolas" w:eastAsia="Consolas" w:hAnsi="Consolas"/>
          <w:sz w:val="22"/>
          <w:szCs w:val="22"/>
        </w:rPr>
        <w:t xml:space="preserve">processed/Proc_[Variante]_Pos[N].mat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wobei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die Positionsnummer bezeichnet.</w:t>
      </w:r>
    </w:p>
    <w:p>
      <w:pPr>
        <w:pStyle w:val="Heading2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Zusammenfassung und Mittelwertbildung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Aus allen verarbeiteten Einzelmessungen wird eine Summary-Tabelle erstellt, die pro Datensatz Variante, Position, Breitband-Summenpegel und SNR enthält. Die Tabelle wird in zwei Formaten persistiert: </w:t>
      </w:r>
      <w:r>
        <w:rPr>
          <w:rFonts w:ascii="Consolas" w:cs="Consolas" w:eastAsia="Consolas" w:hAnsi="Consolas"/>
          <w:sz w:val="22"/>
          <w:szCs w:val="22"/>
        </w:rPr>
        <w:t xml:space="preserve">Summary_Database.mat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(MATLAB-nativ) und </w:t>
      </w:r>
      <w:r>
        <w:rPr>
          <w:rFonts w:ascii="Consolas" w:cs="Consolas" w:eastAsia="Consolas" w:hAnsi="Consolas"/>
          <w:sz w:val="22"/>
          <w:szCs w:val="22"/>
        </w:rPr>
        <w:t xml:space="preserve">Summary.xlsx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(tabellarisch, portabel).</w:t>
      </w:r>
    </w:p>
    <w:p>
      <w:pPr>
        <w:pStyle w:val="Heading3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Positions-Mittelwertbildung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 Variante wird ein positionsgemitteltes Ergebnis erzeugt. Der Mittelungsprozess beschränkt sich auf gültige Empfängerpositionen (numerische Indizes 1–15); Quellpositionen sowie geometrische Zwischenpunkte werden ausgeschlossen.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 Mittelung erfolgt im linearen Energiebereich. Zunächst werden die Terzbandpegel in lineare Energien rückgerechnet. Über diese wird das arithmetische Mittel gebildet und anschließend in die logarithmische Darstellung zurücktransformiert: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avg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10 · log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avg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FS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global_final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²)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Dieses Verfahren gewährleistet eine physikalisch korrekte Energieaddition, da die logarithmische Mittelung zu systematischen Unterschätzungen führen würde. Die gemittelten Ergebnisse werden unter </w:t>
      </w:r>
      <w:r>
        <w:rPr>
          <w:rFonts w:ascii="Consolas" w:cs="Consolas" w:eastAsia="Consolas" w:hAnsi="Consolas"/>
          <w:sz w:val="22"/>
          <w:szCs w:val="22"/>
        </w:rPr>
        <w:t xml:space="preserve">processed/Proc_[Variante]_Average.mat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abgelegt und enthalten dieselbe Struct-Struktur wie die Einzelpositions-Ergebnisse.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2026-02-24T20:51:23.385Z</dcterms:created>
  <dcterms:modified xsi:type="dcterms:W3CDTF">2026-02-24T20:51:23.387Z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