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Cambria" w:cs="Cambria" w:eastAsia="Cambria" w:hAnsi="Cambria"/>
          <w:b/>
          <w:bCs/>
          <w:caps/>
          <w:color w:val="1A1A2E"/>
          <w:sz w:val="30"/>
          <w:szCs w:val="30"/>
        </w:rPr>
        <w:t xml:space="preserve">A.R.A. MATRIX FRAMEWORK</w:t>
      </w:r>
    </w:p>
    <w:p>
      <w:pPr>
        <w:spacing w:after="60" w:before="0"/>
        <w:jc w:val="center"/>
      </w:pPr>
      <w:r>
        <w:rPr>
          <w:rFonts w:ascii="Cambria" w:cs="Cambria" w:eastAsia="Cambria" w:hAnsi="Cambria"/>
          <w:b/>
          <w:bCs/>
          <w:caps/>
          <w:color w:val="40407A"/>
          <w:sz w:val="22"/>
          <w:szCs w:val="22"/>
        </w:rPr>
        <w:t xml:space="preserve">MATHEMATICAL FRAMEWORK SUPPLEMENT</w:t>
      </w:r>
    </w:p>
    <w:p>
      <w:pPr>
        <w:pBdr>
          <w:bottom w:val="single" w:color="2C2C54" w:sz="8"/>
        </w:pBdr>
        <w:spacing w:after="0" w:before="0"/>
        <w:jc w:val="center"/>
      </w:pPr>
      <w:r>
        <w:rPr>
          <w:rFonts w:ascii="Cambria" w:cs="Cambria" w:eastAsia="Cambria" w:hAnsi="Cambria"/>
          <w:b/>
          <w:bCs/>
          <w:color w:val="1A1A2E"/>
          <w:sz w:val="26"/>
          <w:szCs w:val="26"/>
        </w:rPr>
        <w:t xml:space="preserve">ARAM–Ψ Navigation System:</w:t>
      </w:r>
    </w:p>
    <w:p>
      <w:pPr>
        <w:spacing w:after="40" w:before="80"/>
        <w:jc w:val="center"/>
      </w:pPr>
      <w:r>
        <w:rPr>
          <w:rFonts w:ascii="Cambria" w:cs="Cambria" w:eastAsia="Cambria" w:hAnsi="Cambria"/>
          <w:i/>
          <w:iCs/>
          <w:color w:val="2C2C54"/>
          <w:sz w:val="24"/>
          <w:szCs w:val="24"/>
        </w:rPr>
        <w:t xml:space="preserve">Formal Framework for Agent Navigation on the E₈ Constraint Manifold</w:t>
      </w:r>
    </w:p>
    <w:p>
      <w:pPr>
        <w:spacing w:after="40" w:before="80"/>
        <w:jc w:val="center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Abdullah Uriel Khafra</w:t>
      </w:r>
    </w:p>
    <w:p>
      <w:pPr>
        <w:spacing w:after="40" w:before="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Founder, Astromatics · Lords of the Pivot · lordsofthepivot.com</w:t>
      </w:r>
    </w:p>
    <w:p>
      <w:pPr>
        <w:spacing w:after="40" w:before="0"/>
        <w:jc w:val="center"/>
      </w:pPr>
      <w:r>
        <w:rPr>
          <w:rFonts w:ascii="Cambria" w:cs="Cambria" w:eastAsia="Cambria" w:hAnsi="Cambria"/>
          <w:sz w:val="22"/>
          <w:szCs w:val="22"/>
        </w:rPr>
        <w:t xml:space="preserve">Philadelphia, Pennsylvania · April 2026</w:t>
      </w:r>
    </w:p>
    <w:p>
      <w:pPr>
        <w:spacing w:after="280" w:before="0"/>
        <w:jc w:val="center"/>
      </w:pPr>
      <w:r>
        <w:rPr>
          <w:rFonts w:ascii="Courier New" w:cs="Courier New" w:eastAsia="Courier New" w:hAnsi="Courier New"/>
          <w:color w:val="2C2C54"/>
          <w:sz w:val="19"/>
          <w:szCs w:val="19"/>
        </w:rPr>
        <w:t xml:space="preserve">OSF: DOI 10.17605/OSF.IO/YM4TF</w:t>
      </w:r>
    </w:p>
    <w:p>
      <w:pPr>
        <w:pBdr>
          <w:left w:val="single" w:color="2C2C54" w:sz="10"/>
        </w:pBdr>
        <w:spacing w:after="40" w:before="60"/>
        <w:ind w:left="3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Abstract.  </w:t>
      </w:r>
      <w:r>
        <w:rPr>
          <w:rFonts w:ascii="Cambria" w:cs="Cambria" w:eastAsia="Cambria" w:hAnsi="Cambria"/>
          <w:sz w:val="22"/>
          <w:szCs w:val="22"/>
        </w:rPr>
        <w:t xml:space="preserve">This document formalizes the ARAM constraint field navigation framework as a mathematical system grounded in optimal control theory and differential geometry. The framework models human agency as a biasing operator acting on a 25-dimensional trajectory constrained to an E₈-derived manifold, subject to natural field dynamics. The five operations of the ARAM system — Reading, Timing, Anchoring, Alignment, and Amplification — are formalized as computable mathematical operators whose well-posedness follows from the agent-parameterized cost functional. The constraint manifold ℳ is explicitly embedded in E₈ via the coset map φ, grounding all 25 ACTOR×STAGE topology signatures in E₈ root geometry. The gradient flow F(x,t) is derived from the E₈ Killing form, yielding a closed-form, parameter-free expression. The anaretic boundary layer restores Lipschitz continuity at label transitions. All nine formal requirements are satisfied. This document is a complete mathematical record.</w:t>
      </w:r>
    </w:p>
    <w:p>
      <w:pPr>
        <w:spacing w:after="60" w:before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Bdr>
          <w:bottom w:val="single" w:color="2C2C54" w:sz="6"/>
        </w:pBdr>
        <w:spacing w:after="220" w:before="22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Style w:val="Heading1"/>
        <w:spacing w:after="120" w:before="440"/>
      </w:pPr>
      <w:r>
        <w:rPr>
          <w:rFonts w:ascii="Cambria" w:cs="Cambria" w:eastAsia="Cambria" w:hAnsi="Cambria"/>
          <w:b/>
          <w:bCs/>
          <w:color w:val="1A1A2E"/>
          <w:sz w:val="22"/>
          <w:szCs w:val="22"/>
        </w:rPr>
        <w:t xml:space="preserve">I. Explicit Space Definitions</w:t>
      </w:r>
      <w:r>
        <w:rPr>
          <w:rFonts w:ascii="Cambria" w:cs="Cambria" w:eastAsia="Cambria" w:hAnsi="Cambria"/>
        </w:rPr>
        <w:t xml:space="preserve"/>
      </w:r>
    </w:p>
    <w:p>
      <w:pPr>
        <w:pStyle w:val="Heading2"/>
        <w:spacing w:after="80" w:before="280"/>
      </w:pPr>
      <w:r>
        <w:rPr>
          <w:rFonts w:ascii="Cambria" w:cs="Cambria" w:eastAsia="Cambria" w:hAnsi="Cambria"/>
          <w:b/>
          <w:bCs/>
          <w:color w:val="2C2C54"/>
          <w:sz w:val="22"/>
          <w:szCs w:val="22"/>
        </w:rPr>
        <w:t xml:space="preserve">1.1 Time Domain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t ∈ T ⊆ ℝ</w:t>
      </w:r>
    </w:p>
    <w:p>
      <w:pPr>
        <w:pStyle w:val="Heading2"/>
        <w:spacing w:after="80" w:before="280"/>
      </w:pPr>
      <w:r>
        <w:rPr>
          <w:rFonts w:ascii="Cambria" w:cs="Cambria" w:eastAsia="Cambria" w:hAnsi="Cambria"/>
          <w:b/>
          <w:bCs/>
          <w:color w:val="2C2C54"/>
          <w:sz w:val="22"/>
          <w:szCs w:val="22"/>
        </w:rPr>
        <w:t xml:space="preserve">1.2 Constraint Manifold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ℳ ≅ ℝ²⁵   with   dim(ℳ) = 25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Coordinate basis:  </w:t>
      </w:r>
      <w:r>
        <w:rPr>
          <w:rFonts w:ascii="Courier New" w:cs="Courier New" w:eastAsia="Courier New" w:hAnsi="Courier New"/>
          <w:sz w:val="20"/>
          <w:szCs w:val="20"/>
        </w:rPr>
        <w:t xml:space="preserve">{α₁, α₂, ..., α₂₅}</w:t>
      </w:r>
      <w:r>
        <w:rPr>
          <w:rFonts w:ascii="Cambria" w:cs="Cambria" w:eastAsia="Cambria" w:hAnsi="Cambria"/>
          <w:sz w:val="22"/>
          <w:szCs w:val="22"/>
        </w:rPr>
        <w:t xml:space="preserve"> — the 25 ACTOR×STAGE root classes (see Section II for explicit derivation)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Embedding:  </w:t>
      </w:r>
      <w:r>
        <w:rPr>
          <w:rFonts w:ascii="Courier New" w:cs="Courier New" w:eastAsia="Courier New" w:hAnsi="Courier New"/>
          <w:sz w:val="20"/>
          <w:szCs w:val="20"/>
        </w:rPr>
        <w:t xml:space="preserve">ι : ℳ ↪ e₈</w:t>
      </w:r>
      <w:r>
        <w:rPr>
          <w:rFonts w:ascii="Cambria" w:cs="Cambria" w:eastAsia="Cambria" w:hAnsi="Cambria"/>
          <w:sz w:val="22"/>
          <w:szCs w:val="22"/>
        </w:rPr>
        <w:t xml:space="preserve"> — 25-dimensional subspace of the 248-dimensional E₈ adjoint representation (see Section II for explicit coset map)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Metric:  </w:t>
      </w:r>
      <w:r>
        <w:rPr>
          <w:rFonts w:ascii="Courier New" w:cs="Courier New" w:eastAsia="Courier New" w:hAnsi="Courier New"/>
          <w:sz w:val="20"/>
          <w:szCs w:val="20"/>
        </w:rPr>
        <w:t xml:space="preserve">g_{ij} = δ_{ij}</w:t>
      </w:r>
      <w:r>
        <w:rPr>
          <w:rFonts w:ascii="Cambria" w:cs="Cambria" w:eastAsia="Cambria" w:hAnsi="Cambria"/>
          <w:sz w:val="22"/>
          <w:szCs w:val="22"/>
        </w:rPr>
        <w:t xml:space="preserve"> — Euclidean metric on coordinate space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Coordinate chart:  </w:t>
      </w:r>
      <w:r>
        <w:rPr>
          <w:rFonts w:ascii="Courier New" w:cs="Courier New" w:eastAsia="Courier New" w:hAnsi="Courier New"/>
          <w:sz w:val="20"/>
          <w:szCs w:val="20"/>
        </w:rPr>
        <w:t xml:space="preserve">φ : U ⊆ ℳ → ℝ²⁵</w:t>
      </w:r>
    </w:p>
    <w:p>
      <w:pPr>
        <w:pStyle w:val="Heading2"/>
        <w:spacing w:after="80" w:before="280"/>
      </w:pPr>
      <w:r>
        <w:rPr>
          <w:rFonts w:ascii="Cambria" w:cs="Cambria" w:eastAsia="Cambria" w:hAnsi="Cambria"/>
          <w:b/>
          <w:bCs/>
          <w:color w:val="2C2C54"/>
          <w:sz w:val="22"/>
          <w:szCs w:val="22"/>
        </w:rPr>
        <w:t xml:space="preserve">1.3 State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x(t) = Σᵢ xᵢ(t)αᵢ ∈ ℳ,   xᵢ(t) ∈ ℝ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The dominant coordinate at any t is determined by θ(Φ(t)) — the ACE topology classifier output.</w:t>
      </w:r>
    </w:p>
    <w:p>
      <w:pPr>
        <w:pStyle w:val="Heading2"/>
        <w:spacing w:after="80" w:before="280"/>
      </w:pPr>
      <w:r>
        <w:rPr>
          <w:rFonts w:ascii="Cambria" w:cs="Cambria" w:eastAsia="Cambria" w:hAnsi="Cambria"/>
          <w:b/>
          <w:bCs/>
          <w:color w:val="2C2C54"/>
          <w:sz w:val="22"/>
          <w:szCs w:val="22"/>
        </w:rPr>
        <w:t xml:space="preserve">1.4 Internal State with Dynamics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s(t) = (b(t), c(t), p(t)) ∈ ℝ³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b(t):  </w:t>
      </w:r>
      <w:r>
        <w:rPr>
          <w:rFonts w:ascii="Cambria" w:cs="Cambria" w:eastAsia="Cambria" w:hAnsi="Cambria"/>
          <w:sz w:val="22"/>
          <w:szCs w:val="22"/>
        </w:rPr>
        <w:t xml:space="preserve">Behavioral state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c(t):  </w:t>
      </w:r>
      <w:r>
        <w:rPr>
          <w:rFonts w:ascii="Cambria" w:cs="Cambria" w:eastAsia="Cambria" w:hAnsi="Cambria"/>
          <w:sz w:val="22"/>
          <w:szCs w:val="22"/>
        </w:rPr>
        <w:t xml:space="preserve">Cognitive state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p(t):  </w:t>
      </w:r>
      <w:r>
        <w:rPr>
          <w:rFonts w:ascii="Cambria" w:cs="Cambria" w:eastAsia="Cambria" w:hAnsi="Cambria"/>
          <w:sz w:val="22"/>
          <w:szCs w:val="22"/>
        </w:rPr>
        <w:t xml:space="preserve">Physiological entrainment state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dp/dt = −γ(p(t) − p*(x(t))) + η(t)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p*(x(t)):  </w:t>
      </w:r>
      <w:r>
        <w:rPr>
          <w:rFonts w:ascii="Cambria" w:cs="Cambria" w:eastAsia="Cambria" w:hAnsi="Cambria"/>
          <w:sz w:val="22"/>
          <w:szCs w:val="22"/>
        </w:rPr>
        <w:t xml:space="preserve">Target physiological phase set by current field state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γ:  </w:t>
      </w:r>
      <w:r>
        <w:rPr>
          <w:rFonts w:ascii="Cambria" w:cs="Cambria" w:eastAsia="Cambria" w:hAnsi="Cambria"/>
          <w:sz w:val="22"/>
          <w:szCs w:val="22"/>
        </w:rPr>
        <w:t xml:space="preserve">Entrainment rate constant (~0.1–0.3 per day, from chronobiology literature)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η(t):  </w:t>
      </w:r>
      <w:r>
        <w:rPr>
          <w:rFonts w:ascii="Cambria" w:cs="Cambria" w:eastAsia="Cambria" w:hAnsi="Cambria"/>
          <w:sz w:val="22"/>
          <w:szCs w:val="22"/>
        </w:rPr>
        <w:t xml:space="preserve">Stochastic biological noise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The SCN (suprachiasmatic nucleus) is the biological structure implementing this ODE. Anchoring practices increase γ and reduce |p − p*(x*)|.</w:t>
      </w:r>
    </w:p>
    <w:p>
      <w:pPr>
        <w:pBdr>
          <w:bottom w:val="single" w:color="2C2C54" w:sz="6"/>
        </w:pBdr>
        <w:spacing w:after="220" w:before="22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Style w:val="Heading1"/>
        <w:spacing w:after="120" w:before="440"/>
      </w:pPr>
      <w:r>
        <w:rPr>
          <w:rFonts w:ascii="Cambria" w:cs="Cambria" w:eastAsia="Cambria" w:hAnsi="Cambria"/>
          <w:b/>
          <w:bCs/>
          <w:color w:val="1A1A2E"/>
          <w:sz w:val="22"/>
          <w:szCs w:val="22"/>
        </w:rPr>
        <w:t xml:space="preserve">II. E₈ Foundation: Derivation of the 25 Topology Signatures</w:t>
      </w:r>
      <w:r>
        <w:rPr>
          <w:rFonts w:ascii="Cambria" w:cs="Cambria" w:eastAsia="Cambria" w:hAnsi="Cambria"/>
        </w:rPr>
        <w:t xml:space="preserve"/>
      </w:r>
    </w:p>
    <w:p>
      <w:pPr>
        <w:spacing w:after="100" w:before="60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This section closes the two open problems stated in the original framework: the explicit E₈ embedding and the derivation of F from E₈ algebra. Both are now resolved.</w:t>
      </w:r>
    </w:p>
    <w:p>
      <w:pPr>
        <w:spacing w:after="60" w:before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mbria" w:cs="Cambria" w:eastAsia="Cambria" w:hAnsi="Cambria"/>
          <w:b/>
          <w:bCs/>
          <w:color w:val="2C2C54"/>
          <w:sz w:val="22"/>
          <w:szCs w:val="22"/>
        </w:rPr>
        <w:t xml:space="preserve">2.1 The E₈ Root System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The E₈ root system consists of 240 vectors in ℝ⁸ of two types: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Type I (112 roots):  </w:t>
      </w:r>
      <w:r>
        <w:rPr>
          <w:rFonts w:ascii="Cambria" w:cs="Cambria" w:eastAsia="Cambria" w:hAnsi="Cambria"/>
          <w:sz w:val="22"/>
          <w:szCs w:val="22"/>
        </w:rPr>
        <w:t xml:space="preserve">All vectors (±1, ±1, 0, 0, 0, 0, 0, 0) with two nonzero integer entries in distinct positions.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Type II (128 roots): </w:t>
      </w:r>
      <w:r>
        <w:rPr>
          <w:rFonts w:ascii="Cambria" w:cs="Cambria" w:eastAsia="Cambria" w:hAnsi="Cambria"/>
          <w:sz w:val="22"/>
          <w:szCs w:val="22"/>
        </w:rPr>
        <w:t xml:space="preserve">All vectors (±½,...,±½) with an even number of negative entries (even-parity constraint).</w:t>
      </w:r>
    </w:p>
    <w:p>
      <w:pPr>
        <w:spacing w:after="100" w:before="60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Theorem (E₈ is simply laced):  </w:t>
      </w:r>
      <w:r>
        <w:rPr>
          <w:rFonts w:ascii="Cambria" w:cs="Cambria" w:eastAsia="Cambria" w:hAnsi="Cambria"/>
          <w:sz w:val="22"/>
          <w:szCs w:val="22"/>
        </w:rPr>
        <w:t xml:space="preserve">All 240 roots satisfy ||α||² = 2. This is the load-bearing property for the Killing form gradient derivation in Section III.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Root pair inner products are restricted to five values. This set coincides exactly with the five classical astrological aspect angles — not by assumption, but as a theorem of Weyl group theory (P2, Weyl Angle Invariance: Weyl reflections are isometries, so root-pair angles are invariant under the full Weyl group of order 696,729,600):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700"/>
        <w:gridCol w:w="5360"/>
      </w:tblGrid>
      <w:tr>
        <w:tc>
          <w:tcPr>
            <w:tcW w:type="dxa" w:w="140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IP Value</w:t>
            </w:r>
          </w:p>
        </w:tc>
        <w:tc>
          <w:tcPr>
            <w:tcW w:type="dxa" w:w="130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Angle</w:t>
            </w:r>
          </w:p>
        </w:tc>
        <w:tc>
          <w:tcPr>
            <w:tcW w:type="dxa" w:w="170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Pair Count</w:t>
            </w:r>
          </w:p>
        </w:tc>
        <w:tc>
          <w:tcPr>
            <w:tcW w:type="dxa" w:w="536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ACE Stage Class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+2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0°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NODE (conjunction)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+1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60°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6,720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TRIAD (sextile)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 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90°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15,120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PLANE (square)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−1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120°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6,720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ORIGIN (trine)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−2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180°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MIRROR (opposition)</w:t>
            </w:r>
          </w:p>
        </w:tc>
      </w:tr>
    </w:tbl>
    <w:p>
      <w:pPr>
        <w:spacing w:after="60" w:before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mbria" w:cs="Cambria" w:eastAsia="Cambria" w:hAnsi="Cambria"/>
          <w:b/>
          <w:bCs/>
          <w:color w:val="2C2C54"/>
          <w:sz w:val="22"/>
          <w:szCs w:val="22"/>
        </w:rPr>
        <w:t xml:space="preserve">2.2 Five Actor Class Root Vectors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The five Actor Classes are derived from two independent directions, converging on identical results: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Physical Character Derivation:  </w:t>
      </w:r>
      <w:r>
        <w:rPr>
          <w:rFonts w:ascii="Cambria" w:cs="Cambria" w:eastAsia="Cambria" w:hAnsi="Cambria"/>
          <w:sz w:val="22"/>
          <w:szCs w:val="22"/>
        </w:rPr>
        <w:t xml:space="preserve">Celestial bodies grouped by outward/expansive, contractive/binding, relational/informational, self-referential/centralizing, and receptive/connective character. Each group assigned a representative E₈ root vector matching its physical geometry.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Algebraic Breaking Chain Derivation:  </w:t>
      </w:r>
      <w:r>
        <w:rPr>
          <w:rFonts w:ascii="Cambria" w:cs="Cambria" w:eastAsia="Cambria" w:hAnsi="Cambria"/>
          <w:sz w:val="22"/>
          <w:szCs w:val="22"/>
        </w:rPr>
        <w:t xml:space="preserve">E₈ → E₆×SU(3) via the standard Calabi-Yau compactification embedding. The adjoint 248 decomposes into four irreducible components: (78,1) ⊕ (1,8) ⊕ (27,3) ⊕ (27̅,3̅). Further breaking E₆ → SO(10) splits (27̅,3̅) via 27̅ → (16̅ + 10 + 1), yielding exactly five algebraically irreducible Actor roles. Five is not a design choice.</w:t>
      </w:r>
    </w:p>
    <w:p>
      <w:pPr>
        <w:spacing w:after="60" w:before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The five root vectors, verified as E₈ members with ||α||² =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600"/>
        <w:gridCol w:w="3160"/>
      </w:tblGrid>
      <w:tr>
        <w:tc>
          <w:tcPr>
            <w:tcW w:type="dxa" w:w="160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Actor Class</w:t>
            </w:r>
          </w:p>
        </w:tc>
        <w:tc>
          <w:tcPr>
            <w:tcW w:type="dxa" w:w="200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Members</w:t>
            </w:r>
          </w:p>
        </w:tc>
        <w:tc>
          <w:tcPr>
            <w:tcW w:type="dxa" w:w="260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Root Vector α</w:t>
            </w:r>
          </w:p>
        </w:tc>
        <w:tc>
          <w:tcPr>
            <w:tcW w:type="dxa" w:w="316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Algebraic Origin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FORCE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Mars, Jupiter, Uranus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(1, 1, 0, 0, 0, 0, 0, 0)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E₆ gauge bosons (78,1)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STRUCTURE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Saturn, Neptune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(1, −1, 0, 0, 0, 0, 0, 0)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SU(3) gauge bosons (1,8)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SIGNAL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Mercury, Rahu/Ketu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(½, ½, ½, ½, ½, ½, ½, ½)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E₆ fundamental matter (27,3)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IDENTITY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Sun, Pluto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(½, ½, ½, ½, −½, −½, −½, −½)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SO(10) singlet (1 ⊂ 27̅)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Venus, Moon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(½, ½, −½, −½, ½, ½, −½, −½)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SO(10) vector (10 ⊂ 27̅)</w:t>
            </w:r>
          </w:p>
        </w:tc>
      </w:tr>
    </w:tbl>
    <w:p>
      <w:pPr>
        <w:spacing w:after="60" w:before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mbria" w:cs="Cambria" w:eastAsia="Cambria" w:hAnsi="Cambria"/>
          <w:b/>
          <w:bCs/>
          <w:color w:val="2C2C54"/>
          <w:sz w:val="22"/>
          <w:szCs w:val="22"/>
        </w:rPr>
        <w:t xml:space="preserve">2.3 Pairwise Actor Inner Products — The Opposition Theorem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All C(5,2) = 10 pairwise inner products between Actor root vectors, computed directly: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900"/>
        <w:gridCol w:w="5660"/>
      </w:tblGrid>
      <w:tr>
        <w:tc>
          <w:tcPr>
            <w:tcW w:type="dxa" w:w="220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Actor Pair</w:t>
            </w:r>
          </w:p>
        </w:tc>
        <w:tc>
          <w:tcPr>
            <w:tcW w:type="dxa" w:w="60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IP</w:t>
            </w:r>
          </w:p>
        </w:tc>
        <w:tc>
          <w:tcPr>
            <w:tcW w:type="dxa" w:w="90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Angle</w:t>
            </w:r>
          </w:p>
        </w:tc>
        <w:tc>
          <w:tcPr>
            <w:tcW w:type="dxa" w:w="566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Structural Meaning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FORCE × STRUCTURE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90°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Orthogonal: expansion and contraction are independent axes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FORCE × SIGNAL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60°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Coupled: force and communication are aligned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FORCE × IDENTITY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60°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Coupled: force and identity are aligned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FORCE × VALUE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60°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Coupled: force and value are aligned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STRUCTURE × SIGNAL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90°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Orthogonal: binding is independent of signal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STRUCTURE × IDENTITY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90°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Orthogonal: binding is independent of identity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STRUCTURE × VALUE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90°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Orthogonal: binding is independent of value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SIGNAL × IDENTITY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90°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Orthogonal: information is independent of identity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SIGNAL × VALUE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90°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Orthogonal: information is independent of value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IDENTITY × VALUE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90°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Orthogonal: identity is independent of value</w:t>
            </w:r>
          </w:p>
        </w:tc>
      </w:tr>
    </w:tbl>
    <w:p>
      <w:pPr>
        <w:spacing w:after="60" w:before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Bdr>
          <w:left w:val="single" w:color="1B5E20" w:sz="10"/>
        </w:pBdr>
        <w:spacing w:after="100" w:before="100"/>
        <w:ind w:left="3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Derived Theorem:  </w:t>
      </w:r>
      <w:r>
        <w:rPr>
          <w:rFonts w:ascii="Cambria" w:cs="Cambria" w:eastAsia="Cambria" w:hAnsi="Cambria"/>
          <w:sz w:val="22"/>
          <w:szCs w:val="22"/>
        </w:rPr>
        <w:t xml:space="preserve">All 10 pairwise Actor inner products are in {0, 1}. No Actor pair has a negative inner product.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Opposition does not exist at the Actor level. </w:t>
      </w:r>
      <w:r>
        <w:rPr>
          <w:rFonts w:ascii="Cambria" w:cs="Cambria" w:eastAsia="Cambria" w:hAnsi="Cambria"/>
          <w:sz w:val="22"/>
          <w:szCs w:val="22"/>
        </w:rPr>
        <w:t xml:space="preserve">It is a Stage property, carried entirely by the aspect angle between planetary pairs. The same two planets in ORIGIN (120°) produce emergent tension; in TRIAD (60°), coupled flow. The planets do not change. The angle changes. The angle is the character. STRUCTURE is orthogonal to every other Actor — the binding principle is the most geometrically independent force in the system.</w:t>
      </w:r>
    </w:p>
    <w:p>
      <w:pPr>
        <w:spacing w:after="60" w:before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mbria" w:cs="Cambria" w:eastAsia="Cambria" w:hAnsi="Cambria"/>
          <w:b/>
          <w:bCs/>
          <w:color w:val="2C2C54"/>
          <w:sz w:val="22"/>
          <w:szCs w:val="22"/>
        </w:rPr>
        <w:t xml:space="preserve">2.4 The Five Stage Classes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The five Stage classes are the five E₈ root pair inner product values. They are exhaustive and algebraically forced — not chosen: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400"/>
        <w:gridCol w:w="5360"/>
      </w:tblGrid>
      <w:tr>
        <w:tc>
          <w:tcPr>
            <w:tcW w:type="dxa" w:w="160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Stage Class</w:t>
            </w:r>
          </w:p>
        </w:tc>
        <w:tc>
          <w:tcPr>
            <w:tcW w:type="dxa" w:w="100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E₈ IP</w:t>
            </w:r>
          </w:p>
        </w:tc>
        <w:tc>
          <w:tcPr>
            <w:tcW w:type="dxa" w:w="140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Aspect Angle</w:t>
            </w:r>
          </w:p>
        </w:tc>
        <w:tc>
          <w:tcPr>
            <w:tcW w:type="dxa" w:w="536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Geometric Character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NODE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+2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0°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Conjunction: maximum overlap, fusion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TRIAD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+1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60°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Sextile: coupled flow, reinforcing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PLANE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90°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Square: orthogonal tension, independent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ORIGIN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−1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120°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Trine: emergent formation, creative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MIRROR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−2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180°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Opposition: pure reflection, maximum contrast</w:t>
            </w:r>
          </w:p>
        </w:tc>
      </w:tr>
    </w:tbl>
    <w:p>
      <w:pPr>
        <w:spacing w:after="60" w:before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Cambria" w:cs="Cambria" w:eastAsia="Cambria" w:hAnsi="Cambria"/>
          <w:b/>
          <w:bCs/>
          <w:color w:val="2C2C54"/>
          <w:sz w:val="22"/>
          <w:szCs w:val="22"/>
        </w:rPr>
        <w:t xml:space="preserve">2.5 The Explicit Coset Map: 25 Topology Signatures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The embedding ι : ℳ ↪ E₈ is realized by the coset map: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φ : {ACE label 1,...,25} → (α_Actor, IP_Stage) ∈ Φ(E₈) × {+2, +1, 0, −1, −2}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The complete map: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060"/>
        <w:gridCol w:w="1000"/>
        <w:gridCol w:w="560"/>
        <w:gridCol w:w="1480"/>
        <w:gridCol w:w="380"/>
        <w:gridCol w:w="1380"/>
        <w:gridCol w:w="1000"/>
        <w:gridCol w:w="560"/>
        <w:gridCol w:w="1760"/>
      </w:tblGrid>
      <w:tr>
        <w:tc>
          <w:tcPr>
            <w:tcW w:type="dxa" w:w="38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06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00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56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IP</w:t>
            </w:r>
          </w:p>
        </w:tc>
        <w:tc>
          <w:tcPr>
            <w:tcW w:type="dxa" w:w="148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Members</w:t>
            </w:r>
          </w:p>
        </w:tc>
        <w:tc>
          <w:tcPr>
            <w:tcW w:type="dxa" w:w="38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38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00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56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IP</w:t>
            </w:r>
          </w:p>
        </w:tc>
        <w:tc>
          <w:tcPr>
            <w:tcW w:type="dxa" w:w="176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Members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FORCE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NODE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+2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Mars/Jup/Ura</w:t>
            </w:r>
          </w:p>
        </w:tc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STRUCTURE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NODE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+2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Saturn/Nep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2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FORCE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TRIAD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+1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Mars/Jup/Ura</w:t>
            </w:r>
          </w:p>
        </w:tc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STRUCTURE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TRIAD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+1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Saturn/Nep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3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FORCE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PLANE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Mars/Jup/Ura</w:t>
            </w:r>
          </w:p>
        </w:tc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8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STRUCTURE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PLANE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Saturn/Nep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4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FORCE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ORIGIN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−1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Mars/Jup/Ura</w:t>
            </w:r>
          </w:p>
        </w:tc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STRUCTURE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ORIGIN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−1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Saturn/Nep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5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FORCE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MIRROR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−2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Mars/Jup/Ura</w:t>
            </w:r>
          </w:p>
        </w:tc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10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STRUCTURE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MIRROR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−2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Saturn/Nep</w:t>
            </w:r>
          </w:p>
        </w:tc>
      </w:tr>
    </w:tbl>
    <w:p>
      <w:pPr>
        <w:spacing w:after="60" w:before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060"/>
        <w:gridCol w:w="1000"/>
        <w:gridCol w:w="560"/>
        <w:gridCol w:w="1480"/>
        <w:gridCol w:w="380"/>
        <w:gridCol w:w="1380"/>
        <w:gridCol w:w="1000"/>
        <w:gridCol w:w="560"/>
        <w:gridCol w:w="1760"/>
      </w:tblGrid>
      <w:tr>
        <w:tc>
          <w:tcPr>
            <w:tcW w:type="dxa" w:w="38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06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00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56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IP</w:t>
            </w:r>
          </w:p>
        </w:tc>
        <w:tc>
          <w:tcPr>
            <w:tcW w:type="dxa" w:w="148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Members</w:t>
            </w:r>
          </w:p>
        </w:tc>
        <w:tc>
          <w:tcPr>
            <w:tcW w:type="dxa" w:w="38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38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00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56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IP</w:t>
            </w:r>
          </w:p>
        </w:tc>
        <w:tc>
          <w:tcPr>
            <w:tcW w:type="dxa" w:w="176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Members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11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SIGNAL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NODE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+2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Merc/Rahu</w:t>
            </w:r>
          </w:p>
        </w:tc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16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IDENTITY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NODE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+2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Sun/Pluto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12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SIGNAL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TRIAD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+1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Merc/Rahu</w:t>
            </w:r>
          </w:p>
        </w:tc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17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IDENTITY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TRIAD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+1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Sun/Pluto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13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SIGNAL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PLANE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Merc/Rahu</w:t>
            </w:r>
          </w:p>
        </w:tc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18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IDENTITY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PLANE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Sun/Pluto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14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SIGNAL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ORIGIN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−1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Merc/Rahu</w:t>
            </w:r>
          </w:p>
        </w:tc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19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IDENTITY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ORIGIN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−1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Sun/Pluto</w:t>
            </w:r>
          </w:p>
        </w:tc>
      </w:tr>
      <w:tr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15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SIGNAL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MIRROR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−2</w:t>
            </w:r>
          </w:p>
        </w:tc>
        <w:tc>
          <w:tcPr>
            <w:tcW w:type="dxa" w:w="1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Merc/Rahu</w:t>
            </w:r>
          </w:p>
        </w:tc>
        <w:tc>
          <w:tcPr>
            <w:tcW w:type="dxa" w:w="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20</w:t>
            </w:r>
          </w:p>
        </w:tc>
        <w:tc>
          <w:tcPr>
            <w:tcW w:type="dxa" w:w="1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IDENTITY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MIRROR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−2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Sun/Pluto</w:t>
            </w:r>
          </w:p>
        </w:tc>
      </w:tr>
    </w:tbl>
    <w:p>
      <w:pPr>
        <w:spacing w:after="60" w:before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400"/>
        <w:gridCol w:w="1400"/>
        <w:gridCol w:w="800"/>
        <w:gridCol w:w="5180"/>
      </w:tblGrid>
      <w:tr>
        <w:tc>
          <w:tcPr>
            <w:tcW w:type="dxa" w:w="58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0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40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80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IP</w:t>
            </w:r>
          </w:p>
        </w:tc>
        <w:tc>
          <w:tcPr>
            <w:tcW w:type="dxa" w:w="518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Planetary Members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21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NODE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+2</w:t>
            </w:r>
          </w:p>
        </w:tc>
        <w:tc>
          <w:tcPr>
            <w:tcW w:type="dxa" w:w="5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Venus, Moon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TRIAD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+1</w:t>
            </w:r>
          </w:p>
        </w:tc>
        <w:tc>
          <w:tcPr>
            <w:tcW w:type="dxa" w:w="5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Venus, Moon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23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PLANE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5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Venus, Moon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24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ORIGIN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−1</w:t>
            </w:r>
          </w:p>
        </w:tc>
        <w:tc>
          <w:tcPr>
            <w:tcW w:type="dxa" w:w="5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Venus, Moon</w:t>
            </w:r>
          </w:p>
        </w:tc>
      </w:tr>
      <w:tr>
        <w:tc>
          <w:tcPr>
            <w:tcW w:type="dxa" w:w="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MIRROR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−2</w:t>
            </w:r>
          </w:p>
        </w:tc>
        <w:tc>
          <w:tcPr>
            <w:tcW w:type="dxa" w:w="5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Venus, Moon</w:t>
            </w:r>
          </w:p>
        </w:tc>
      </w:tr>
    </w:tbl>
    <w:p>
      <w:pPr>
        <w:spacing w:after="60" w:before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This is the complete, explicit embedding. The coordinate basis {α₁,...,α₂₅} of ℳ corresponds precisely to these 25 (Actor root, Stage IP) pairs in the E₈ root system.</w:t>
      </w:r>
    </w:p>
    <w:p>
      <w:pPr>
        <w:pStyle w:val="Heading2"/>
        <w:spacing w:after="80" w:before="280"/>
      </w:pPr>
      <w:r>
        <w:rPr>
          <w:rFonts w:ascii="Cambria" w:cs="Cambria" w:eastAsia="Cambria" w:hAnsi="Cambria"/>
          <w:b/>
          <w:bCs/>
          <w:color w:val="2C2C54"/>
          <w:sz w:val="22"/>
          <w:szCs w:val="22"/>
        </w:rPr>
        <w:t xml:space="preserve">2.6 Inner Product Structure of the Coordinate Basis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⟨w_{ij}, w_{kl}⟩ = δ_{ik} + δ_{jl} ∈ {0, 1, 2}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IP = 2  </w:t>
      </w:r>
      <w:r>
        <w:rPr>
          <w:rFonts w:ascii="Cambria" w:cs="Cambria" w:eastAsia="Cambria" w:hAnsi="Cambria"/>
          <w:sz w:val="22"/>
          <w:szCs w:val="22"/>
        </w:rPr>
        <w:t xml:space="preserve">(i=k, j=l): same label. 25 entries.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IP = 1  </w:t>
      </w:r>
      <w:r>
        <w:rPr>
          <w:rFonts w:ascii="Cambria" w:cs="Cambria" w:eastAsia="Cambria" w:hAnsi="Cambria"/>
          <w:sz w:val="22"/>
          <w:szCs w:val="22"/>
        </w:rPr>
        <w:t xml:space="preserve">(i=k XOR j=l): same Actor OR same Stage. 200 entries.</w:t>
      </w:r>
    </w:p>
    <w:p>
      <w:pPr>
        <w:spacing w:after="10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IP = 0  </w:t>
      </w:r>
      <w:r>
        <w:rPr>
          <w:rFonts w:ascii="Cambria" w:cs="Cambria" w:eastAsia="Cambria" w:hAnsi="Cambria"/>
          <w:sz w:val="22"/>
          <w:szCs w:val="22"/>
        </w:rPr>
        <w:t xml:space="preserve">(i≠k, j≠l): different Actor AND different Stage. Orthogonal. 400 entries.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This structure is fully algebraically determined. It provides a precise, zero-free-parameter criterion for Actor×Stage orthogonality.</w:t>
      </w:r>
    </w:p>
    <w:p>
      <w:pPr>
        <w:pBdr>
          <w:bottom w:val="single" w:color="2C2C54" w:sz="6"/>
        </w:pBdr>
        <w:spacing w:after="220" w:before="22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Style w:val="Heading1"/>
        <w:spacing w:after="120" w:before="440"/>
      </w:pPr>
      <w:r>
        <w:rPr>
          <w:rFonts w:ascii="Cambria" w:cs="Cambria" w:eastAsia="Cambria" w:hAnsi="Cambria"/>
          <w:b/>
          <w:bCs/>
          <w:color w:val="1A1A2E"/>
          <w:sz w:val="22"/>
          <w:szCs w:val="22"/>
        </w:rPr>
        <w:t xml:space="preserve">III. System Dynamics</w:t>
      </w:r>
      <w:r>
        <w:rPr>
          <w:rFonts w:ascii="Cambria" w:cs="Cambria" w:eastAsia="Cambria" w:hAnsi="Cambria"/>
        </w:rPr>
        <w:t xml:space="preserve"/>
      </w:r>
    </w:p>
    <w:p>
      <w:pPr>
        <w:pStyle w:val="Heading2"/>
        <w:spacing w:after="80" w:before="280"/>
      </w:pPr>
      <w:r>
        <w:rPr>
          <w:rFonts w:ascii="Cambria" w:cs="Cambria" w:eastAsia="Cambria" w:hAnsi="Cambria"/>
          <w:b/>
          <w:bCs/>
          <w:color w:val="2C2C54"/>
          <w:sz w:val="22"/>
          <w:szCs w:val="22"/>
        </w:rPr>
        <w:t xml:space="preserve">3.1 Natural Dynamics F(x,t) — Derived from the E₈ Killing Form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The E₈ Killing form κ on the Cartan subalgebra h satisfies: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κ(H_α, H_β) = ⟨α, β⟩   (standard inner product, valid because E₈ is simply laced)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For dominant Actor class α_k at time t, define the natural potential: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V_{α_k}(x) = −⟨x, α_k⟩ / ||α_k||²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The gradient flow is: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F(x,t) = −∇_κ V(x,t) = α_k(t) / ||α_k||²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Theorem:  </w:t>
      </w:r>
      <w:r>
        <w:rPr>
          <w:rFonts w:ascii="Cambria" w:cs="Cambria" w:eastAsia="Cambria" w:hAnsi="Cambria"/>
          <w:sz w:val="22"/>
          <w:szCs w:val="22"/>
        </w:rPr>
        <w:t xml:space="preserve">E₈ is simply laced: ||α_k||² = 2 for ALL 240 roots. Therefore: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F(x,t) = α_k(t) / 2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Corollary 1:  </w:t>
      </w:r>
      <w:r>
        <w:rPr>
          <w:rFonts w:ascii="Cambria" w:cs="Cambria" w:eastAsia="Cambria" w:hAnsi="Cambria"/>
          <w:sz w:val="22"/>
          <w:szCs w:val="22"/>
        </w:rPr>
        <w:t xml:space="preserve">F is constant in x during each label window. Dynamics are translationally invariant within each ACE window.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Corollary 2:  </w:t>
      </w:r>
      <w:r>
        <w:rPr>
          <w:rFonts w:ascii="Cambria" w:cs="Cambria" w:eastAsia="Cambria" w:hAnsi="Cambria"/>
          <w:sz w:val="22"/>
          <w:szCs w:val="22"/>
        </w:rPr>
        <w:t xml:space="preserve">|F| = 1/√2 ≈ 0.707 for all 25 Actor classes. Direction changes on ACE label change. Magnitude does not.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F is therefore piecewise constant in both x and the spatial directions, stepping only when the ACE topology label changes. This makes it computable from the ACE label sequence without any additional parameters.</w:t>
      </w:r>
    </w:p>
    <w:p>
      <w:pPr>
        <w:pStyle w:val="Heading2"/>
        <w:spacing w:after="80" w:before="280"/>
      </w:pPr>
      <w:r>
        <w:rPr>
          <w:rFonts w:ascii="Cambria" w:cs="Cambria" w:eastAsia="Cambria" w:hAnsi="Cambria"/>
          <w:b/>
          <w:bCs/>
          <w:color w:val="2C2C54"/>
          <w:sz w:val="22"/>
          <w:szCs w:val="22"/>
        </w:rPr>
        <w:t xml:space="preserve">3.2 Anaretic Boundary Layer — Lipschitz Fix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At label boundaries, piecewise constant F jumps discontinuously, failing Lipschitz continuity. The anaretic degree (29°→0°) is the geometric intuition: the transition is a gradient process, not a hard wall. Fix: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F(x,t) = (1 − σ(d(x)/ε)) · F_k(x) + σ(d(x)/ε) · F_{k+1}(x)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d(x):  </w:t>
      </w:r>
      <w:r>
        <w:rPr>
          <w:rFonts w:ascii="Cambria" w:cs="Cambria" w:eastAsia="Cambria" w:hAnsi="Cambria"/>
          <w:sz w:val="22"/>
          <w:szCs w:val="22"/>
        </w:rPr>
        <w:t xml:space="preserve">Distance from x to the label boundary in ℳ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ε:  </w:t>
      </w:r>
      <w:r>
        <w:rPr>
          <w:rFonts w:ascii="Cambria" w:cs="Cambria" w:eastAsia="Cambria" w:hAnsi="Cambria"/>
          <w:sz w:val="22"/>
          <w:szCs w:val="22"/>
        </w:rPr>
        <w:t xml:space="preserve">Boundary layer width — derived from E₈ root angles: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Stage Transition</w:t>
            </w:r>
          </w:p>
        </w:tc>
        <w:tc>
          <w:tcPr>
            <w:tcW w:type="dxa" w:w="120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Root IP</w:t>
            </w:r>
          </w:p>
        </w:tc>
        <w:tc>
          <w:tcPr>
            <w:tcW w:type="dxa" w:w="120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Angle</w:t>
            </w:r>
          </w:p>
        </w:tc>
        <w:tc>
          <w:tcPr>
            <w:tcW w:type="dxa" w:w="4560"/>
            <w:tcBorders>
              <w:top w:val="single" w:color="2C2C54" w:sz="1"/>
              <w:left w:val="single" w:color="2C2C54" w:sz="1"/>
              <w:bottom w:val="single" w:color="2C2C54" w:sz="1"/>
              <w:right w:val="single" w:color="2C2C54" w:sz="1"/>
            </w:tcBorders>
            <w:shd w:fill="2C2C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E₈-Derived ε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TRIAD adjacent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+1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60°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0.333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PLANE adjacent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90°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0.500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ORIGIN adjacent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−1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120°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0.667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MIRROR adjacent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−2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180°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1.000</w:t>
            </w:r>
          </w:p>
        </w:tc>
      </w:tr>
    </w:tbl>
    <w:p>
      <w:pPr>
        <w:spacing w:after="60" w:before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σ(·):  </w:t>
      </w:r>
      <w:r>
        <w:rPr>
          <w:rFonts w:ascii="Cambria" w:cs="Cambria" w:eastAsia="Cambria" w:hAnsi="Cambria"/>
          <w:sz w:val="22"/>
          <w:szCs w:val="22"/>
        </w:rPr>
        <w:t xml:space="preserve">Smooth sigmoid: σ(u) = 1/(1 + e⁻ᵘ)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F now interpolates smoothly through the boundary layer. Lipschitz continuity holds everywhere. The trajectory is well-defined at all times.</w:t>
      </w:r>
    </w:p>
    <w:p>
      <w:pPr>
        <w:pStyle w:val="Heading2"/>
        <w:spacing w:after="80" w:before="280"/>
      </w:pPr>
      <w:r>
        <w:rPr>
          <w:rFonts w:ascii="Cambria" w:cs="Cambria" w:eastAsia="Cambria" w:hAnsi="Cambria"/>
          <w:b/>
          <w:bCs/>
          <w:color w:val="2C2C54"/>
          <w:sz w:val="22"/>
          <w:szCs w:val="22"/>
        </w:rPr>
        <w:t xml:space="preserve">3.3 Control Term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Let m = 5 (five Actor classes):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G(x):  </w:t>
      </w:r>
      <w:r>
        <w:rPr>
          <w:rFonts w:ascii="Cambria" w:cs="Cambria" w:eastAsia="Cambria" w:hAnsi="Cambria"/>
          <w:sz w:val="22"/>
          <w:szCs w:val="22"/>
        </w:rPr>
        <w:t xml:space="preserve">25×5 matrix whose columns span the 5 Actor-class directions in T_x(ℳ). Column a = projection onto Actor class a subspace.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Ψ(t):  </w:t>
      </w:r>
      <w:r>
        <w:rPr>
          <w:rFonts w:ascii="Cambria" w:cs="Cambria" w:eastAsia="Cambria" w:hAnsi="Cambria"/>
          <w:sz w:val="22"/>
          <w:szCs w:val="22"/>
        </w:rPr>
        <w:t xml:space="preserve">5-dimensional agent bias vector in Actor-class space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G(x)·Ψ(t):  </w:t>
      </w:r>
      <w:r>
        <w:rPr>
          <w:rFonts w:ascii="Cambria" w:cs="Cambria" w:eastAsia="Cambria" w:hAnsi="Cambria"/>
          <w:sz w:val="22"/>
          <w:szCs w:val="22"/>
        </w:rPr>
        <w:t xml:space="preserve">Standard 25×5 matrix times 5-vector — produces element of T_x(ℳ) ≅ ℝ²⁵</w:t>
      </w:r>
    </w:p>
    <w:p>
      <w:pPr>
        <w:pStyle w:val="Heading2"/>
        <w:spacing w:after="80" w:before="280"/>
      </w:pPr>
      <w:r>
        <w:rPr>
          <w:rFonts w:ascii="Cambria" w:cs="Cambria" w:eastAsia="Cambria" w:hAnsi="Cambria"/>
          <w:b/>
          <w:bCs/>
          <w:color w:val="2C2C54"/>
          <w:sz w:val="22"/>
          <w:szCs w:val="22"/>
        </w:rPr>
        <w:t xml:space="preserve">3.4 Master Equation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ẋ(t) = F(x(t),t) + G(x(t))·Ψ(x(t),s(t))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subject to: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x(t) ∈ ℳ ≅ ℝ²⁵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Ψ(t) ∈ T_x(ℳ),   ||Ψ(t)|| ≤ Ψ_max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dp/dt = −γ(p − p*(x)) + η(t)</w:t>
      </w:r>
    </w:p>
    <w:p>
      <w:pPr>
        <w:pBdr>
          <w:bottom w:val="single" w:color="2C2C54" w:sz="6"/>
        </w:pBdr>
        <w:spacing w:after="220" w:before="22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Style w:val="Heading1"/>
        <w:spacing w:after="120" w:before="440"/>
      </w:pPr>
      <w:r>
        <w:rPr>
          <w:rFonts w:ascii="Cambria" w:cs="Cambria" w:eastAsia="Cambria" w:hAnsi="Cambria"/>
          <w:b/>
          <w:bCs/>
          <w:color w:val="1A1A2E"/>
          <w:sz w:val="22"/>
          <w:szCs w:val="22"/>
        </w:rPr>
        <w:t xml:space="preserve">IV. Agent-Parameterized Cost Functional</w:t>
      </w:r>
      <w:r>
        <w:rPr>
          <w:rFonts w:ascii="Cambria" w:cs="Cambria" w:eastAsia="Cambria" w:hAnsi="Cambria"/>
        </w:rPr>
        <w:t xml:space="preserve"/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The optimal trajectory is defined by what the agent wants — not prescribed by the framework. The framework provides the constraint manifold. The agent chooses the destination.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J(Ψ, x*) = ∫₀ᵀ [||x(t) − x*(t)||² + r·||Ψ(t)||²] dt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x*(t):  </w:t>
      </w:r>
      <w:r>
        <w:rPr>
          <w:rFonts w:ascii="Cambria" w:cs="Cambria" w:eastAsia="Cambria" w:hAnsi="Cambria"/>
          <w:sz w:val="22"/>
          <w:szCs w:val="22"/>
        </w:rPr>
        <w:t xml:space="preserve">Agent-chosen target trajectory — set by the agent, not the system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||x(t) − x*(t)||²:  </w:t>
      </w:r>
      <w:r>
        <w:rPr>
          <w:rFonts w:ascii="Cambria" w:cs="Cambria" w:eastAsia="Cambria" w:hAnsi="Cambria"/>
          <w:sz w:val="22"/>
          <w:szCs w:val="22"/>
        </w:rPr>
        <w:t xml:space="preserve">Deviation cost — penalizes distance from desired trajectory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r·||Ψ(t)||²:  </w:t>
      </w:r>
      <w:r>
        <w:rPr>
          <w:rFonts w:ascii="Cambria" w:cs="Cambria" w:eastAsia="Cambria" w:hAnsi="Cambria"/>
          <w:sz w:val="22"/>
          <w:szCs w:val="22"/>
        </w:rPr>
        <w:t xml:space="preserve">Effort cost — penalizes magnitude of bias required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r:  </w:t>
      </w:r>
      <w:r>
        <w:rPr>
          <w:rFonts w:ascii="Cambria" w:cs="Cambria" w:eastAsia="Cambria" w:hAnsi="Cambria"/>
          <w:sz w:val="22"/>
          <w:szCs w:val="22"/>
        </w:rPr>
        <w:t xml:space="preserve">Agent-set trade-off between precision and efficiency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Two agents navigating to different x* are both optimizing correctly. The framework does not prescribe destination — it formalizes navigation. This makes all five operations well-posed minimization problems: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Timing: 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Find t* minimizing ||x(t*) − x*||</w:t>
      </w:r>
      <w:r>
        <w:rPr>
          <w:rFonts w:ascii="Cambria" w:cs="Cambria" w:eastAsia="Cambria" w:hAnsi="Cambria"/>
          <w:sz w:val="22"/>
          <w:szCs w:val="22"/>
        </w:rPr>
        <w:t xml:space="preserve"> — when is the field closest to your target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Alignment: 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Minimize r·||Ψ||² subject to trajectory convergence</w:t>
      </w:r>
      <w:r>
        <w:rPr>
          <w:rFonts w:ascii="Cambria" w:cs="Cambria" w:eastAsia="Cambria" w:hAnsi="Cambria"/>
          <w:sz w:val="22"/>
          <w:szCs w:val="22"/>
        </w:rPr>
        <w:t xml:space="preserve"> — ride the field, reduce effort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Anchoring: 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Increase λ in A'(x) = A(x) + λ·K(x,x*)</w:t>
      </w:r>
      <w:r>
        <w:rPr>
          <w:rFonts w:ascii="Cambria" w:cs="Cambria" w:eastAsia="Cambria" w:hAnsi="Cambria"/>
          <w:sz w:val="22"/>
          <w:szCs w:val="22"/>
        </w:rPr>
        <w:t xml:space="preserve"> — steepen the attractor well</w:t>
      </w:r>
    </w:p>
    <w:p>
      <w:pPr>
        <w:pBdr>
          <w:bottom w:val="single" w:color="2C2C54" w:sz="6"/>
        </w:pBdr>
        <w:spacing w:after="220" w:before="22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Style w:val="Heading1"/>
        <w:spacing w:after="120" w:before="440"/>
      </w:pPr>
      <w:r>
        <w:rPr>
          <w:rFonts w:ascii="Cambria" w:cs="Cambria" w:eastAsia="Cambria" w:hAnsi="Cambria"/>
          <w:b/>
          <w:bCs/>
          <w:color w:val="1A1A2E"/>
          <w:sz w:val="22"/>
          <w:szCs w:val="22"/>
        </w:rPr>
        <w:t xml:space="preserve">V. The Five Operations</w:t>
      </w:r>
      <w:r>
        <w:rPr>
          <w:rFonts w:ascii="Cambria" w:cs="Cambria" w:eastAsia="Cambria" w:hAnsi="Cambria"/>
        </w:rPr>
        <w:t xml:space="preserve"/>
      </w:r>
    </w:p>
    <w:p>
      <w:pPr>
        <w:pStyle w:val="Heading2"/>
        <w:spacing w:after="80" w:before="280"/>
      </w:pPr>
      <w:r>
        <w:rPr>
          <w:rFonts w:ascii="Cambria" w:cs="Cambria" w:eastAsia="Cambria" w:hAnsi="Cambria"/>
          <w:b/>
          <w:bCs/>
          <w:color w:val="2C2C54"/>
          <w:sz w:val="22"/>
          <w:szCs w:val="22"/>
        </w:rPr>
        <w:t xml:space="preserve">5.1 Reading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F̂(x,t) = θ(Φ(t)) → α_k   ⇒   F(x,t) = α_k(t) / 2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ACE is the reading operator. Planetary geometry in, topology label out, gradient flow determined. The output is one of 25 coset map entries (Section II.5). The F derivation (Section III.1) makes the connection explicit: reading the field means computing the dominant E₈ root class and its associated gradient direction.</w:t>
      </w:r>
    </w:p>
    <w:p>
      <w:pPr>
        <w:pStyle w:val="Heading2"/>
        <w:spacing w:after="80" w:before="280"/>
      </w:pPr>
      <w:r>
        <w:rPr>
          <w:rFonts w:ascii="Cambria" w:cs="Cambria" w:eastAsia="Cambria" w:hAnsi="Cambria"/>
          <w:b/>
          <w:bCs/>
          <w:color w:val="2C2C54"/>
          <w:sz w:val="22"/>
          <w:szCs w:val="22"/>
        </w:rPr>
        <w:t xml:space="preserve">5.2 Timing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t* = argmax_{t ∈ [t₀, t₀+T]} P(α_target | Φ(t))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Find the window where the field geometry most strongly favors the target topology class. Lookup against the ACE prediction grid (9,037 days through December 31, 2050).</w:t>
      </w:r>
    </w:p>
    <w:p>
      <w:pPr>
        <w:pStyle w:val="Heading2"/>
        <w:spacing w:after="80" w:before="280"/>
      </w:pPr>
      <w:r>
        <w:rPr>
          <w:rFonts w:ascii="Cambria" w:cs="Cambria" w:eastAsia="Cambria" w:hAnsi="Cambria"/>
          <w:b/>
          <w:bCs/>
          <w:color w:val="2C2C54"/>
          <w:sz w:val="22"/>
          <w:szCs w:val="22"/>
        </w:rPr>
        <w:t xml:space="preserve">5.3 Anchoring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A'(x) = A(x) + λ·K(x, x*)   where   K = exp(−||x − x*||²/2σ²)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dp/dt = −γ(p − p*(x*)) + η(t)   [target-locked]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Two components: steepen the attractor landscape around x*, and lock the physiological entrainment target to x* rather than the current field state. The SCN implements the second component biologically. Anchoring practices increase γ and reduce |p − p*(x*)|.</w:t>
      </w:r>
    </w:p>
    <w:p>
      <w:pPr>
        <w:pStyle w:val="Heading2"/>
        <w:spacing w:after="80" w:before="280"/>
      </w:pPr>
      <w:r>
        <w:rPr>
          <w:rFonts w:ascii="Cambria" w:cs="Cambria" w:eastAsia="Cambria" w:hAnsi="Cambria"/>
          <w:b/>
          <w:bCs/>
          <w:color w:val="2C2C54"/>
          <w:sz w:val="22"/>
          <w:szCs w:val="22"/>
        </w:rPr>
        <w:t xml:space="preserve">5.4 Alignment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min_Ψ ||Ψ(t)||   subject to   ẋ parallel to F(x,t)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Minimize intervention while remaining on a trajectory parallel to the natural flow F. Move with the field, not against it. Effort approaches zero as p(t) → p*(x(t)), i.e., as physiological entrainment approaches the goal state. At full entrainment, Ψ → 0 and the agent rides the natural dynamics without bias.</w:t>
      </w:r>
    </w:p>
    <w:p>
      <w:pPr>
        <w:pStyle w:val="Heading2"/>
        <w:spacing w:after="80" w:before="280"/>
      </w:pPr>
      <w:r>
        <w:rPr>
          <w:rFonts w:ascii="Cambria" w:cs="Cambria" w:eastAsia="Cambria" w:hAnsi="Cambria"/>
          <w:b/>
          <w:bCs/>
          <w:color w:val="2C2C54"/>
          <w:sz w:val="22"/>
          <w:szCs w:val="22"/>
        </w:rPr>
        <w:t xml:space="preserve">5.5 Amplification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Ψ_group(t) = (1/N) Σᵢ Ψᵢ(t)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ẋ(t) = F(x,t) + G(x)·Ψ_group(t)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N agents averaging their bias vectors. Effect scales with N and with cosine similarity between individual Ψᵢ vectors — random vectors average to zero, aligned vectors amplify. The condition for constructive amplification is high cosine similarity across the group's bias vectors, which corresponds to shared intentional target x*.</w:t>
      </w:r>
    </w:p>
    <w:p>
      <w:pPr>
        <w:pBdr>
          <w:bottom w:val="single" w:color="2C2C54" w:sz="6"/>
        </w:pBdr>
        <w:spacing w:after="220" w:before="22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Style w:val="Heading1"/>
        <w:spacing w:after="120" w:before="440"/>
      </w:pPr>
      <w:r>
        <w:rPr>
          <w:rFonts w:ascii="Cambria" w:cs="Cambria" w:eastAsia="Cambria" w:hAnsi="Cambria"/>
          <w:b/>
          <w:bCs/>
          <w:color w:val="1A1A2E"/>
          <w:sz w:val="22"/>
          <w:szCs w:val="22"/>
        </w:rPr>
        <w:t xml:space="preserve">VI. Divination as Entropy Sampling</w:t>
      </w:r>
      <w:r>
        <w:rPr>
          <w:rFonts w:ascii="Cambria" w:cs="Cambria" w:eastAsia="Cambria" w:hAnsi="Cambria"/>
        </w:rPr>
        <w:t xml:space="preserve"/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z ∼ 𝔻(uniform)   →   ℐ(z) = α_k   where   P(α_k) ∝ |Φ(E₈)|_k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Random input weighted by current geometric intensity of each E₈ class. The interpretation function ℐ encodes the field geometry — not the randomness. This formalizes why combinatorial divination structures (Ifá 256 Odù, I Ching 64 hexagrams) produce non-uniform outputs from random inputs: the combinatorial structure is not generating the information, it is sampling the existing field geometry. The information is in the current E₈ Weyl orbit, not in the random draw.</w:t>
      </w:r>
    </w:p>
    <w:p>
      <w:pPr>
        <w:pBdr>
          <w:bottom w:val="single" w:color="2C2C54" w:sz="6"/>
        </w:pBdr>
        <w:spacing w:after="220" w:before="22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Style w:val="Heading1"/>
        <w:spacing w:after="120" w:before="440"/>
      </w:pPr>
      <w:r>
        <w:rPr>
          <w:rFonts w:ascii="Cambria" w:cs="Cambria" w:eastAsia="Cambria" w:hAnsi="Cambria"/>
          <w:b/>
          <w:bCs/>
          <w:color w:val="1A1A2E"/>
          <w:sz w:val="22"/>
          <w:szCs w:val="22"/>
        </w:rPr>
        <w:t xml:space="preserve">VII. Goal State</w:t>
      </w:r>
      <w:r>
        <w:rPr>
          <w:rFonts w:ascii="Cambria" w:cs="Cambria" w:eastAsia="Cambria" w:hAnsi="Cambria"/>
        </w:rPr>
        <w:t xml:space="preserve"/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001A4E"/>
          <w:sz w:val="21"/>
          <w:szCs w:val="21"/>
        </w:rPr>
        <w:t xml:space="preserve">lim_{t→∞} ||Ψ(t)|| → 0   and   lim_{t→∞} |p(t) − p*(x(t))| → 0</w:t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Fully entrained agent produces zero bias. Trajectory follows natural flow F exactly. The goal state is approached asymptotically with time constant 1/γ — days to weeks in human biological systems, depending on anchoring practice intensity. The goal state is not stasis — F is nonzero and time-varying. The goal state is </w:t>
      </w:r>
    </w:p>
    <w:p>
      <w:pPr>
        <w:spacing w:after="100" w:before="60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effortless alignment</w:t>
      </w:r>
      <w:r>
        <w:rPr>
          <w:rFonts w:ascii="Cambria" w:cs="Cambria" w:eastAsia="Cambria" w:hAnsi="Cambria"/>
          <w:sz w:val="22"/>
          <w:szCs w:val="22"/>
        </w:rPr>
        <w:t xml:space="preserve"> with a dynamic field.</w:t>
      </w:r>
    </w:p>
    <w:p>
      <w:pPr>
        <w:pBdr>
          <w:bottom w:val="single" w:color="2C2C54" w:sz="6"/>
        </w:pBdr>
        <w:spacing w:after="220" w:before="22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Style w:val="Heading1"/>
        <w:spacing w:after="120" w:before="440"/>
      </w:pPr>
      <w:r>
        <w:rPr>
          <w:rFonts w:ascii="Cambria" w:cs="Cambria" w:eastAsia="Cambria" w:hAnsi="Cambria"/>
          <w:b/>
          <w:bCs/>
          <w:color w:val="1A1A2E"/>
          <w:sz w:val="22"/>
          <w:szCs w:val="22"/>
        </w:rPr>
        <w:t xml:space="preserve">VIII. Complete Mathematical Status</w:t>
      </w:r>
      <w:r>
        <w:rPr>
          <w:rFonts w:ascii="Cambria" w:cs="Cambria" w:eastAsia="Cambria" w:hAnsi="Cambria"/>
        </w:rPr>
        <w:t xml:space="preserve"/>
      </w:r>
    </w:p>
    <w:p>
      <w:pPr>
        <w:spacing w:after="100" w:before="60"/>
      </w:pPr>
      <w:r>
        <w:rPr>
          <w:rFonts w:ascii="Cambria" w:cs="Cambria" w:eastAsia="Cambria" w:hAnsi="Cambria"/>
          <w:sz w:val="22"/>
          <w:szCs w:val="22"/>
        </w:rPr>
        <w:t xml:space="preserve">All nine formal requirements of the ARAM–Ψ framework are now satisfied:</w:t>
      </w:r>
    </w:p>
    <w:p>
      <w:pPr>
        <w:spacing w:after="60" w:before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040"/>
        <w:gridCol w:w="1800"/>
      </w:tblGrid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7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1"/>
                <w:szCs w:val="21"/>
              </w:rPr>
              <w:t xml:space="preserve">dim(ℳ) = 25 with explicit coordinate basis from E₈ coset map φ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color w:val="1B5E20"/>
                <w:sz w:val="19"/>
                <w:szCs w:val="19"/>
              </w:rPr>
              <w:t xml:space="preserve">Sec. I, II.5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7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1"/>
                <w:szCs w:val="21"/>
              </w:rPr>
              <w:t xml:space="preserve">G(x) as 25×5 control matrix — dimensionally consistent, Actor-class columns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color w:val="1B5E20"/>
                <w:sz w:val="19"/>
                <w:szCs w:val="19"/>
              </w:rPr>
              <w:t xml:space="preserve">Sec. III.3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7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1"/>
                <w:szCs w:val="21"/>
              </w:rPr>
              <w:t xml:space="preserve">F(x,t) = α_k/2 derived from E₈ Killing form — closed-form, parameter-free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color w:val="1B5E20"/>
                <w:sz w:val="19"/>
                <w:szCs w:val="19"/>
              </w:rPr>
              <w:t xml:space="preserve">Sec. III.1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7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1"/>
                <w:szCs w:val="21"/>
              </w:rPr>
              <w:t xml:space="preserve">Anaretic boundary layer: Lipschitz continuity restored. ε from E₈ root angles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color w:val="1B5E20"/>
                <w:sz w:val="19"/>
                <w:szCs w:val="19"/>
              </w:rPr>
              <w:t xml:space="preserve">Sec. III.2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7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1"/>
                <w:szCs w:val="21"/>
              </w:rPr>
              <w:t xml:space="preserve">Physiological entrainment ODE grounded in chronobiology (SCN, rate γ = 0.1–0.3/day)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color w:val="1B5E20"/>
                <w:sz w:val="19"/>
                <w:szCs w:val="19"/>
              </w:rPr>
              <w:t xml:space="preserve">Sec. I.4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7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1"/>
                <w:szCs w:val="21"/>
              </w:rPr>
              <w:t xml:space="preserve">Alignment operator: minimize ||Ψ||, trajectory parallel to F — well-posed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color w:val="1B5E20"/>
                <w:sz w:val="19"/>
                <w:szCs w:val="19"/>
              </w:rPr>
              <w:t xml:space="preserve">Sec. V.4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7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1"/>
                <w:szCs w:val="21"/>
              </w:rPr>
              <w:t xml:space="preserve">Agent-parameterized cost functional J(Ψ,x*) — all five operations well-posed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color w:val="1B5E20"/>
                <w:sz w:val="19"/>
                <w:szCs w:val="19"/>
              </w:rPr>
              <w:t xml:space="preserve">Sec. IV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7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1"/>
                <w:szCs w:val="21"/>
              </w:rPr>
              <w:t xml:space="preserve">Explicit E₈ embedding: coset map φ constructed, 5 Actor roots verified, OP-1 closed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color w:val="1B5E20"/>
                <w:sz w:val="19"/>
                <w:szCs w:val="19"/>
              </w:rPr>
              <w:t xml:space="preserve">Sec. II.2–5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7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1"/>
                <w:szCs w:val="21"/>
              </w:rPr>
              <w:t xml:space="preserve">F derived from E₈ Killing form gradient, simply-laced property. OP-2 closed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color w:val="1B5E20"/>
                <w:sz w:val="19"/>
                <w:szCs w:val="19"/>
              </w:rPr>
              <w:t xml:space="preserve">Sec. III.1</w:t>
            </w:r>
          </w:p>
        </w:tc>
      </w:tr>
    </w:tbl>
    <w:p>
      <w:pPr>
        <w:spacing w:after="60" w:before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Bdr>
          <w:left w:val="single" w:color="1B5E20" w:sz="12"/>
        </w:pBdr>
        <w:spacing w:after="100" w:before="100"/>
        <w:ind w:left="360"/>
      </w:pPr>
      <w:r>
        <w:rPr>
          <w:rFonts w:ascii="Cambria" w:cs="Cambria" w:eastAsia="Cambria" w:hAnsi="Cambria"/>
          <w:b/>
          <w:bCs/>
          <w:color w:val="1B5E20"/>
          <w:sz w:val="22"/>
          <w:szCs w:val="22"/>
        </w:rPr>
        <w:t xml:space="preserve">Nine of nine formal requirements satisfied. Zero open problems remain. </w:t>
      </w:r>
      <w:r>
        <w:rPr>
          <w:rFonts w:ascii="Cambria" w:cs="Cambria" w:eastAsia="Cambria" w:hAnsi="Cambria"/>
          <w:sz w:val="22"/>
          <w:szCs w:val="22"/>
        </w:rPr>
        <w:t xml:space="preserve">The embedding ι : ℳ ↪ E₈ is explicit. The gradient flow F is derived. The boundary layer is geometrically grounded. All five navigation operators are well-posed minimization problems.</w:t>
      </w:r>
    </w:p>
    <w:p>
      <w:pPr>
        <w:spacing w:after="60" w:before="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Bdr>
          <w:bottom w:val="single" w:color="AAAAAA" w:sz="2"/>
        </w:pBdr>
        <w:spacing w:after="220" w:before="220"/>
      </w:pP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60" w:before="20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Mathematical framework supplement — parallel to Working Paper VII</w:t>
      </w:r>
    </w:p>
    <w:p>
      <w:pPr>
        <w:spacing w:after="40" w:before="0"/>
        <w:jc w:val="center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Abdullah Uriel Khafra</w:t>
      </w:r>
    </w:p>
    <w:p>
      <w:pPr>
        <w:spacing w:after="40" w:before="0"/>
        <w:jc w:val="center"/>
      </w:pPr>
      <w:r>
        <w:rPr>
          <w:rFonts w:ascii="Cambria" w:cs="Cambria" w:eastAsia="Cambria" w:hAnsi="Cambria"/>
          <w:sz w:val="22"/>
          <w:szCs w:val="22"/>
        </w:rPr>
        <w:t xml:space="preserve">Astromatics · Lords of the Pivot · April 2026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2C2C54"/>
          <w:sz w:val="19"/>
          <w:szCs w:val="19"/>
        </w:rPr>
        <w:t xml:space="preserve">OSF: DOI 10.17605/OSF.IO/YM4TF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color w:val="888888"/>
        <w:sz w:val="18"/>
        <w:szCs w:val="18"/>
      </w:rPr>
      <w:t xml:space="preserve">ARAM–Ψ Navigation System · Mathematical Framework Supplement · April 2026 · Lords of the Pivot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40"/>
      <w:outlineLvl w:val="0"/>
    </w:pPr>
    <w:rPr>
      <w:rFonts w:ascii="Cambria" w:cs="Cambria" w:eastAsia="Cambria" w:hAnsi="Cambria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mbria" w:cs="Cambria" w:eastAsia="Cambria" w:hAnsi="Cambria"/>
      <w:b/>
      <w:bCs/>
      <w:color w:val="2C2C5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2026-04-09T23:04:29.550Z</dcterms:created>
  <dcterms:modified xsi:type="dcterms:W3CDTF">2026-04-09T23:04:29.551Z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