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E72" w:rsidRDefault="00EF78DB" w:rsidP="009F1AFF">
      <w:pPr>
        <w:spacing w:before="720" w:after="80"/>
        <w:jc w:val="center"/>
      </w:pPr>
      <w:r>
        <w:rPr>
          <w:b/>
          <w:color w:val="0F4C81"/>
          <w:sz w:val="48"/>
        </w:rPr>
        <w:t>HELIOCASE V1 — STRATEGIC STARTUP MASTERBOOK</w:t>
      </w:r>
    </w:p>
    <w:p w:rsidR="00275E72" w:rsidRDefault="00EF78DB" w:rsidP="009F1AFF">
      <w:pPr>
        <w:spacing w:after="480"/>
        <w:jc w:val="center"/>
      </w:pPr>
      <w:r>
        <w:rPr>
          <w:i/>
          <w:color w:val="5A6578"/>
          <w:sz w:val="26"/>
        </w:rPr>
        <w:t>The Definitive Mission-Critical Blueprint for Decentralized Hardware Infrastructure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275E72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Document Classification / Security Status: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CONFIDENTIAL TECH VENTURE ASSET — MAXIMUM ACCESS SECURITY</w:t>
            </w:r>
          </w:p>
        </w:tc>
      </w:tr>
      <w:tr w:rsidR="00275E72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Lead Author &amp; Systems Architect: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Mohammed Ziblim Tipagra (Venture Tech Portfolio Track)</w:t>
            </w:r>
          </w:p>
        </w:tc>
      </w:tr>
      <w:tr w:rsidR="00275E72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Target Hub Deployment Ecosystem Network: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Code Coast Africa / Ghana Tech Lab Incubator Pipeline</w:t>
            </w:r>
          </w:p>
        </w:tc>
      </w:tr>
      <w:tr w:rsidR="00275E72">
        <w:trPr>
          <w:jc w:val="center"/>
        </w:trPr>
        <w:tc>
          <w:tcPr>
            <w:tcW w:w="468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Document Blueprint Versioning Matrix: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v1.0 (Completely Polished Master Engineering Copy)</w:t>
            </w:r>
          </w:p>
        </w:tc>
      </w:tr>
    </w:tbl>
    <w:p w:rsidR="00275E72" w:rsidRDefault="00D0113C" w:rsidP="009F1AFF">
      <w:pPr>
        <w:jc w:val="center"/>
      </w:pPr>
      <w:r>
        <w:rPr>
          <w:noProof/>
        </w:rPr>
        <w:drawing>
          <wp:inline distT="0" distB="0" distL="0" distR="0">
            <wp:extent cx="4629150" cy="260439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eliocase improv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545" cy="262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2691">
        <w:t xml:space="preserve"> </w:t>
      </w:r>
      <w:proofErr w:type="gramStart"/>
      <w:r w:rsidR="00E52691">
        <w:t>v</w:t>
      </w:r>
      <w:proofErr w:type="gramEnd"/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t>1. Executive Summary &amp; Socioeconomic Imperative</w:t>
      </w:r>
    </w:p>
    <w:p w:rsidR="00275E72" w:rsidRDefault="00EF78DB" w:rsidP="009F1AFF">
      <w:pPr>
        <w:jc w:val="center"/>
      </w:pPr>
      <w:r>
        <w:t xml:space="preserve">Mobile connectivity stands as the primary socioeconomic operational backbone across West Africa, facilitating micro-commerce, agricultural trading lines, educational tools, and real-time mobile money (MoMo) transaction loops. However, regular municipal grid instabilities (locally classified as 'dumsor' cycles) and extensive off-grid parameters heavily restrict baseline productivity. Existing consumer electronic alternatives rely on weight-heavy external lithium battery banks that introduce structural failure under extreme outdoor temperatures. The HelioCase framework completely bypasses internal electrochemical storage cells to yield a self-contained, lightweight direct-to-device clean harvesting asset engineered to endure intense tropical solar fields without thermal shutdown. This </w:t>
      </w:r>
      <w:r w:rsidR="005E4B86">
        <w:t>master book</w:t>
      </w:r>
      <w:r>
        <w:t xml:space="preserve"> </w:t>
      </w:r>
      <w:r>
        <w:lastRenderedPageBreak/>
        <w:t>acts as the ultimate mission-critical roadmap to move a verified technical concept safely into high-margin commercial fabrication arrays.</w:t>
      </w:r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t>2. Multimodal Product Layout &amp; Core Technical Schematics</w:t>
      </w:r>
    </w:p>
    <w:p w:rsidR="00275E72" w:rsidRDefault="00EF78DB" w:rsidP="009F1AFF">
      <w:pPr>
        <w:jc w:val="center"/>
      </w:pPr>
      <w:r>
        <w:t xml:space="preserve">The HelioCase v1 represents a total transformation of typical consumer smartphone covers into decentralized energy-harvesting infrastructure. Competing solar-charging solutions suffer from the 'Solar Thermal Trap'—trapping </w:t>
      </w:r>
      <w:r w:rsidR="005E4B86">
        <w:t>radioactive</w:t>
      </w:r>
      <w:r>
        <w:t xml:space="preserve"> energy in backup lithium cells layered directly beneath phone </w:t>
      </w:r>
      <w:r w:rsidR="005E4B86">
        <w:t>back plates</w:t>
      </w:r>
      <w:r>
        <w:t>, causing performance thermal throttling or sudden fire hazards. By completely removing weight-heavy internal chemical battery structures, the architecture maintains a sleek, optimized weightless profile that channels stabilized current straight into standard phone device power management frameworks.</w:t>
      </w: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Primary Hardware Component Layers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Deep Blue Monocrystalline Panel: </w:t>
      </w:r>
      <w:r>
        <w:t>An ultra-thin, high-absorption 5V / 2W photovoltaic array embedded flush against the case exterior back layer to capture optimal environmental sunlight yield.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White-Silver Thermal Sun Shield: </w:t>
      </w:r>
      <w:r>
        <w:t>A composite space-grade under-panel reflective sheeting profile engineered to deflect 95% of incoming ambient infrared solar rays away from the smartphone core.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Inline Safe-Guard Micro-IC Chip: </w:t>
      </w:r>
      <w:r>
        <w:t>A hidden hardware microchip circuit working near the upper camera rim acting as a hardwired firewall against unexpected current spikes or grid load shifts.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Hideaway Elastic Ribbon Cord: </w:t>
      </w:r>
      <w:r>
        <w:t>An internal hidden multi-core copper flat-ribbon charging lead that sits coiled flush within a designated rim track until snapped out for immediate device integration.</w:t>
      </w: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Visual Asset Blueprint: Perspective View Architecture</w:t>
      </w:r>
    </w:p>
    <w:p w:rsidR="00275E72" w:rsidRDefault="00EF78DB" w:rsidP="009F1AFF">
      <w:pPr>
        <w:jc w:val="center"/>
      </w:pPr>
      <w:r>
        <w:t>Below is the complete 3D split-layer perspective concept blueprint mapping the internal electrical and routing pathways of the hardware chassis:</w:t>
      </w:r>
    </w:p>
    <w:p w:rsidR="00275E72" w:rsidRDefault="00EF78DB" w:rsidP="009F1AFF">
      <w:pPr>
        <w:jc w:val="center"/>
      </w:pPr>
      <w:r>
        <w:rPr>
          <w:b/>
          <w:color w:val="5A6578"/>
        </w:rPr>
        <w:t>[VISUAL BLUEPRINT INSERTED: Perspective Layout Schematic (image_Uig5Zn.png)]</w:t>
      </w:r>
    </w:p>
    <w:p w:rsidR="00275E72" w:rsidRDefault="00EF78DB" w:rsidP="009F1AFF">
      <w:pPr>
        <w:jc w:val="center"/>
      </w:pPr>
      <w:r>
        <w:rPr>
          <w:i/>
          <w:sz w:val="19"/>
        </w:rPr>
        <w:t>Figure 2.1: HelioCase v1 Split-Layer Component Architecture &amp; Routing Pathway Mapping</w:t>
      </w: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Visual Asset Blueprint: Orthographic Flat Layout Matrix</w:t>
      </w:r>
    </w:p>
    <w:p w:rsidR="00275E72" w:rsidRDefault="00EF78DB" w:rsidP="009F1AFF">
      <w:pPr>
        <w:jc w:val="center"/>
      </w:pPr>
      <w:r>
        <w:t xml:space="preserve">Below is the production-ready orthographic schematic drawing detail defining camera buffers, weather-sealed construction parameters, and flat </w:t>
      </w:r>
      <w:r w:rsidR="005E4B86">
        <w:t>back plate</w:t>
      </w:r>
      <w:r>
        <w:t xml:space="preserve"> lines:</w:t>
      </w:r>
    </w:p>
    <w:p w:rsidR="00275E72" w:rsidRDefault="00EF78DB" w:rsidP="009F1AFF">
      <w:pPr>
        <w:jc w:val="center"/>
      </w:pPr>
      <w:r>
        <w:rPr>
          <w:b/>
          <w:color w:val="5A6578"/>
        </w:rPr>
        <w:t>[VISUAL BLUEPRINT INSERTED: Flat Layout Schematic (image_PsVBE4.png)]</w:t>
      </w:r>
    </w:p>
    <w:p w:rsidR="00275E72" w:rsidRDefault="00EF78DB" w:rsidP="009F1AFF">
      <w:pPr>
        <w:jc w:val="center"/>
      </w:pPr>
      <w:r>
        <w:rPr>
          <w:i/>
          <w:sz w:val="19"/>
        </w:rPr>
        <w:t xml:space="preserve">Figure 2.2: HelioCase v1 Weather-Sealed Flat </w:t>
      </w:r>
      <w:r w:rsidR="005E4B86">
        <w:rPr>
          <w:i/>
          <w:sz w:val="19"/>
        </w:rPr>
        <w:t>Back plate</w:t>
      </w:r>
      <w:r>
        <w:rPr>
          <w:i/>
          <w:sz w:val="19"/>
        </w:rPr>
        <w:t xml:space="preserve"> Profile &amp; Mechanical Alignment Grid</w:t>
      </w:r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lastRenderedPageBreak/>
        <w:t>3. Mechanical Geometry &amp; Slicing Parameter Calibration</w:t>
      </w:r>
    </w:p>
    <w:p w:rsidR="00275E72" w:rsidRDefault="00EF78DB" w:rsidP="009F1AFF">
      <w:pPr>
        <w:jc w:val="center"/>
      </w:pPr>
      <w:r>
        <w:t xml:space="preserve">To manufacture the initial structural proof-of-concept without costly industrial injection molding tooling systems, a precision </w:t>
      </w:r>
      <w:r w:rsidR="005E4B86">
        <w:t>slim line</w:t>
      </w:r>
      <w:r>
        <w:t xml:space="preserve"> three-layer enclosure was fully modeled and verified inside Autodesk Tinkercad. Slicing configurations dictate the absolute exclusion of generic low-cost filaments, which warp, lose form, and melt cleanly under direct midday tropical sun blankets.</w:t>
      </w: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Parametric Enclosure Housing Metrics Grid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1376"/>
        <w:gridCol w:w="1383"/>
        <w:gridCol w:w="1799"/>
        <w:gridCol w:w="2983"/>
      </w:tblGrid>
      <w:tr w:rsidR="00275E72">
        <w:trPr>
          <w:jc w:val="center"/>
        </w:trPr>
        <w:tc>
          <w:tcPr>
            <w:tcW w:w="2160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20"/>
              </w:rPr>
              <w:t>Chassis Zone</w:t>
            </w:r>
          </w:p>
        </w:tc>
        <w:tc>
          <w:tcPr>
            <w:tcW w:w="1440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20"/>
              </w:rPr>
              <w:t>Width (mm)</w:t>
            </w:r>
          </w:p>
        </w:tc>
        <w:tc>
          <w:tcPr>
            <w:tcW w:w="1440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20"/>
              </w:rPr>
              <w:t>Length (mm)</w:t>
            </w:r>
          </w:p>
        </w:tc>
        <w:tc>
          <w:tcPr>
            <w:tcW w:w="1872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20"/>
              </w:rPr>
              <w:t>Depth / Clearance</w:t>
            </w:r>
          </w:p>
        </w:tc>
        <w:tc>
          <w:tcPr>
            <w:tcW w:w="3168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20"/>
              </w:rPr>
              <w:t>Functional Intent</w:t>
            </w:r>
          </w:p>
        </w:tc>
      </w:tr>
      <w:tr w:rsidR="00275E72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Outer Shell Boundaries</w:t>
            </w:r>
          </w:p>
        </w:tc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78.0 mm</w:t>
            </w:r>
          </w:p>
        </w:tc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162.0 mm</w:t>
            </w:r>
          </w:p>
        </w:tc>
        <w:tc>
          <w:tcPr>
            <w:tcW w:w="187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9.0 mm (Slim)</w:t>
            </w:r>
          </w:p>
        </w:tc>
        <w:tc>
          <w:tcPr>
            <w:tcW w:w="31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Primary enclosure impact structure bumper grid.</w:t>
            </w:r>
          </w:p>
        </w:tc>
      </w:tr>
      <w:tr w:rsidR="00275E72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Solar Panel Recess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60.0 mm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110.0 mm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2.2 mm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Fits standard mini photovoltaic array completely flush.</w:t>
            </w:r>
          </w:p>
        </w:tc>
      </w:tr>
      <w:tr w:rsidR="00275E72">
        <w:trPr>
          <w:jc w:val="center"/>
        </w:trPr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Hidden Wire Track</w:t>
            </w:r>
          </w:p>
        </w:tc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3.0 mm</w:t>
            </w:r>
          </w:p>
        </w:tc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45.0 mm</w:t>
            </w:r>
          </w:p>
        </w:tc>
        <w:tc>
          <w:tcPr>
            <w:tcW w:w="1872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1.0 mm (Internal)</w:t>
            </w:r>
          </w:p>
        </w:tc>
        <w:tc>
          <w:tcPr>
            <w:tcW w:w="3168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Underground hidden channel guiding rim power leads.</w:t>
            </w:r>
          </w:p>
        </w:tc>
      </w:tr>
      <w:tr w:rsidR="00275E72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Regulator Chip Pocket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12.0 mm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10.0 mm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2.2 mm Cavity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Chassis base space housing safety micro-ICs flat.</w:t>
            </w:r>
          </w:p>
        </w:tc>
      </w:tr>
    </w:tbl>
    <w:p w:rsidR="00275E72" w:rsidRDefault="00275E72" w:rsidP="009F1AFF">
      <w:pPr>
        <w:jc w:val="center"/>
      </w:pP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Step-by-Step Parametric CAD Development Protocol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Step 1: Volumetric Block Definition: </w:t>
      </w:r>
      <w:r>
        <w:t>Initialize a solid box enclosure canvas. Configure outer boundaries to Width = 78mm, Length = 162mm, Height = 9.0mm (</w:t>
      </w:r>
      <w:r w:rsidR="005E4B86">
        <w:t>Slim line</w:t>
      </w:r>
      <w:r>
        <w:t xml:space="preserve"> Update). Set perimeter corner radius attributes to 2.5 on the viewport sidebar to generate ergonomic rounded impact bumpers.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Step 2: Internal Device Cavity Extraction: </w:t>
      </w:r>
      <w:r>
        <w:t xml:space="preserve">Instantiate a secondary geometric Hole Box scaled to 74mm x 158mm x 10mm. Lift the hollowing tool exactly 1.5mm off the </w:t>
      </w:r>
      <w:r w:rsidR="005E4B86">
        <w:t>work plane</w:t>
      </w:r>
      <w:r>
        <w:t xml:space="preserve"> grid. Center both elements using axis alignment (L), then group (Ctrl+G) to clear out the inner smartphone bed.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Step 3: Photovoltaic Housing Bed Recession: </w:t>
      </w:r>
      <w:r>
        <w:t xml:space="preserve">Invert viewport camera coordinates to expose exterior casing </w:t>
      </w:r>
      <w:r w:rsidR="005E4B86">
        <w:t>back plates</w:t>
      </w:r>
      <w:bookmarkStart w:id="0" w:name="_GoBack"/>
      <w:bookmarkEnd w:id="0"/>
      <w:r>
        <w:t>. Project a Hole Box measuring 60mm x 110mm x 2.2mm against the lower half. Group items to execute the flush solar installation slot, leaving a thin, durable 1.5mm solid baseline case floor.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75E72">
        <w:trPr>
          <w:jc w:val="center"/>
        </w:trPr>
        <w:tc>
          <w:tcPr>
            <w:tcW w:w="9360" w:type="dxa"/>
            <w:tcBorders>
              <w:left w:val="single" w:sz="36" w:space="0" w:color="1F6E43"/>
            </w:tcBorders>
            <w:shd w:val="clear" w:color="auto" w:fill="EBF3EB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275E72" w:rsidRDefault="00EF78DB" w:rsidP="009F1AFF">
            <w:pPr>
              <w:spacing w:after="40"/>
              <w:jc w:val="center"/>
            </w:pPr>
            <w:r>
              <w:rPr>
                <w:b/>
                <w:color w:val="1F6E43"/>
              </w:rPr>
              <w:t>■ PRODUCTION FABRICATION DIRECTIVE</w:t>
            </w:r>
            <w:r>
              <w:rPr>
                <w:b/>
                <w:color w:val="1F6E43"/>
              </w:rPr>
              <w:br/>
            </w:r>
            <w:r>
              <w:rPr>
                <w:i/>
                <w:sz w:val="20"/>
              </w:rPr>
              <w:t xml:space="preserve">Filament Spool Specification: PETG (Polyethylene Terephthalate Glycol) or Polycarbonate (PC) ONLY. Slicer infill configurations require a 40% Honeycomb density matrix setting. This repeating hexagonal pattern creates strong internal air pockets that act as a natural passive heat shield, keeping the phone cool and blocking conductive heat transfer into smartphone </w:t>
            </w:r>
            <w:proofErr w:type="spellStart"/>
            <w:r>
              <w:rPr>
                <w:i/>
                <w:sz w:val="20"/>
              </w:rPr>
              <w:t>backplates</w:t>
            </w:r>
            <w:proofErr w:type="spellEnd"/>
            <w:r>
              <w:rPr>
                <w:i/>
                <w:sz w:val="20"/>
              </w:rPr>
              <w:t>.</w:t>
            </w:r>
          </w:p>
        </w:tc>
      </w:tr>
    </w:tbl>
    <w:p w:rsidR="00275E72" w:rsidRDefault="00275E72" w:rsidP="009F1AFF">
      <w:pPr>
        <w:jc w:val="center"/>
      </w:pPr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lastRenderedPageBreak/>
        <w:t>4. Electrical Engineering &amp; The 95%+ Efficiency Framework</w:t>
      </w:r>
    </w:p>
    <w:p w:rsidR="00275E72" w:rsidRDefault="00EF78DB" w:rsidP="009F1AFF">
      <w:pPr>
        <w:jc w:val="center"/>
      </w:pPr>
      <w:r>
        <w:t>To achieve a successful market breakthrough, the electrical system architecture replaces primitive linear regulators. Generic charging designs convert excess voltage into high waste heat, degrading power conversion down to roughly 70%, throwing away valuable energy and heating the phone battery. HelioCase v1 overrides this limitation by incorporating a synchronous rectification system, deploying the high-performance Texas Instruments TPS63020 automatic buck-boost architecture. This specialized chip handles voltage variability smoothly, guaranteeing an outstanding 96% to 98% power conversion efficiency baseline, holding output locked at a clean 5.0V / 350mA current pipeline long before power travels along the hideaway elastic flat-ribbon cord.</w:t>
      </w:r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t>5. Multi-Stage Passive Thermal Protection Layout</w:t>
      </w:r>
    </w:p>
    <w:p w:rsidR="00275E72" w:rsidRDefault="00EF78DB" w:rsidP="009F1AFF">
      <w:pPr>
        <w:jc w:val="center"/>
      </w:pPr>
      <w:r>
        <w:t xml:space="preserve">Operating mobile hardware under peak tropical sunlight introduces the 'Solar Thermal Trap'—the phone battery absorbs </w:t>
      </w:r>
      <w:proofErr w:type="spellStart"/>
      <w:r>
        <w:t>radiative</w:t>
      </w:r>
      <w:proofErr w:type="spellEnd"/>
      <w:r>
        <w:t xml:space="preserve"> energy, gets hot, and triggers safe-mode phone software throttling or sudden safety shutdowns. HelioCase v1 completely breaks this trap using two distinct passive heat barriers: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Layer 1: Primary Infrared Radiation Deflection Shield: </w:t>
      </w:r>
      <w:r>
        <w:t>Standard solar mini-panels are roughly 2.0mm thick. By carving our rear panel recess pocket to a 2.2mm clearance window, we reserve a tiny 0.2mm gap. We insert a custom-cut, space-grade polished aluminum Mylar film sheet into this cavity to bounce away 95% of incoming ambient infrared solar heat, preventing radiation buildup.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Layer 2: Conduction Air Insulation Cushion: </w:t>
      </w:r>
      <w:r>
        <w:t>The trapped stagnant air pockets inside our printed 40% Honeycomb hexagonal internal infill pattern create a natural thermal break. This blocks residual structural heat energy from transferring from the active panel into the smartphone battery housing layout.</w:t>
      </w:r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t>6. Anti-Theft Security Network Logic</w:t>
      </w:r>
    </w:p>
    <w:p w:rsidR="00275E72" w:rsidRDefault="00EF78DB" w:rsidP="009F1AFF">
      <w:pPr>
        <w:jc w:val="center"/>
      </w:pPr>
      <w:r>
        <w:t xml:space="preserve">To provide outstanding market value inside dense crowd centers like Circle or </w:t>
      </w:r>
      <w:proofErr w:type="spellStart"/>
      <w:r>
        <w:t>Makola</w:t>
      </w:r>
      <w:proofErr w:type="spellEnd"/>
      <w:r>
        <w:t xml:space="preserve"> without adding expensive physical components, the architecture pairs the hardware cover with a custom-built digital security suite: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Tether-Break Acoustic Alarm: </w:t>
      </w:r>
      <w:r>
        <w:t>The hideaway copper ribbon charging cable serves as a continuous physical loop. If a pickpocket forcibly tears the phone out of the cover body without disarming the dashboard, the loop breaks instantly, firing a loud warning tone through a mini micro-</w:t>
      </w:r>
      <w:proofErr w:type="spellStart"/>
      <w:r>
        <w:t>piezo</w:t>
      </w:r>
      <w:proofErr w:type="spellEnd"/>
      <w:r>
        <w:t xml:space="preserve"> buzzer hidden inside the base regulator cavity.</w:t>
      </w:r>
    </w:p>
    <w:p w:rsidR="00275E72" w:rsidRDefault="00EF78DB" w:rsidP="009F1AFF">
      <w:pPr>
        <w:pStyle w:val="ListBullet"/>
        <w:spacing w:after="80" w:line="276" w:lineRule="auto"/>
        <w:jc w:val="center"/>
      </w:pPr>
      <w:r>
        <w:rPr>
          <w:b/>
        </w:rPr>
        <w:t xml:space="preserve">BLE Proximity Lockout: </w:t>
      </w:r>
      <w:r>
        <w:t>A micro-thin Bluetooth Low Energy beacon tag sits inside the inner case rim, remaining synced to a companion mobile application. If a thief snatches the case and runs past a preset safe boundary distance, the app detects the sudden drop in signal strength, instantly locks the screen, wipes session memory, and sounds an emergency locator alert at maximum volume.</w:t>
      </w:r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lastRenderedPageBreak/>
        <w:t>7. Granular Financial Prototyping Estimates &amp; Capital Matrices</w:t>
      </w:r>
    </w:p>
    <w:p w:rsidR="00275E72" w:rsidRDefault="00EF78DB" w:rsidP="009F1AFF">
      <w:pPr>
        <w:jc w:val="center"/>
      </w:pPr>
      <w:r>
        <w:t>Venture forecasting balances early mechanical tooling configurations against scalable bulk wholesale pricing lines. The business concept fixes the unit market price point at a competitive GH₵ 250, with volume component production costs dropping down to GH₵ 120 per unit through strategic batch volume logistics.</w:t>
      </w: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Venture Financial Scaling Ledger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15"/>
        <w:gridCol w:w="1435"/>
        <w:gridCol w:w="1780"/>
        <w:gridCol w:w="1778"/>
        <w:gridCol w:w="1848"/>
        <w:gridCol w:w="1444"/>
      </w:tblGrid>
      <w:tr w:rsidR="00275E72">
        <w:trPr>
          <w:jc w:val="center"/>
        </w:trPr>
        <w:tc>
          <w:tcPr>
            <w:tcW w:w="1440" w:type="dxa"/>
            <w:shd w:val="clear" w:color="auto" w:fill="1F6E4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w="1584" w:type="dxa"/>
            <w:shd w:val="clear" w:color="auto" w:fill="1F6E4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19"/>
              </w:rPr>
              <w:t>Units Marketed</w:t>
            </w:r>
          </w:p>
        </w:tc>
        <w:tc>
          <w:tcPr>
            <w:tcW w:w="2016" w:type="dxa"/>
            <w:shd w:val="clear" w:color="auto" w:fill="1F6E4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19"/>
              </w:rPr>
              <w:t>Gross Revenue (GH₵)</w:t>
            </w:r>
          </w:p>
        </w:tc>
        <w:tc>
          <w:tcPr>
            <w:tcW w:w="2016" w:type="dxa"/>
            <w:shd w:val="clear" w:color="auto" w:fill="1F6E4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19"/>
              </w:rPr>
              <w:t>Production Cost (GH₵)</w:t>
            </w:r>
          </w:p>
        </w:tc>
        <w:tc>
          <w:tcPr>
            <w:tcW w:w="2160" w:type="dxa"/>
            <w:shd w:val="clear" w:color="auto" w:fill="1F6E4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19"/>
              </w:rPr>
              <w:t>Operating Overhead (GH₵)</w:t>
            </w:r>
          </w:p>
        </w:tc>
        <w:tc>
          <w:tcPr>
            <w:tcW w:w="1584" w:type="dxa"/>
            <w:shd w:val="clear" w:color="auto" w:fill="1F6E43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color w:val="FFFFFF"/>
                <w:sz w:val="19"/>
              </w:rPr>
              <w:t>Net Profit (GH₵)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1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0 Units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0.00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0.00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2,160.00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-GH₵ 2,160.00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2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10 Units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2,500.00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1,200.00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230.00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1,070.00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3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15 Units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3,750.00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1,800.00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230.00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1,720.00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25 Units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6,250.00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3,000.00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320.00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2,930.00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5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30 Units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7,500.00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3,600.00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320.00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3,580.00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6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35 Units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8,750.00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4,200.00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400.00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4,150.00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7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40 Units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10,000.00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4,800.00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400.00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4,800.00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8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45 Units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11,250.00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5,400.00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400.00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5,450.00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9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50 Units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12,500.00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6,000.00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500.00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6,000.00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10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50 Units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12,500.00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6,000.00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500.00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6,000.00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11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55 Units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13,750.00</w:t>
            </w:r>
          </w:p>
        </w:tc>
        <w:tc>
          <w:tcPr>
            <w:tcW w:w="2016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6,600.00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500.00</w:t>
            </w:r>
          </w:p>
        </w:tc>
        <w:tc>
          <w:tcPr>
            <w:tcW w:w="1584" w:type="dxa"/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+GH₵ 6,650.00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Month 12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60 Units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15,000.00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7,200.00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>GH₵ 500.00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sz w:val="19"/>
              </w:rPr>
              <w:t xml:space="preserve">+GH₵ </w:t>
            </w:r>
            <w:r>
              <w:rPr>
                <w:sz w:val="19"/>
              </w:rPr>
              <w:lastRenderedPageBreak/>
              <w:t>7,300.00</w:t>
            </w:r>
          </w:p>
        </w:tc>
      </w:tr>
      <w:tr w:rsidR="00275E72">
        <w:trPr>
          <w:jc w:val="center"/>
        </w:trPr>
        <w:tc>
          <w:tcPr>
            <w:tcW w:w="1440" w:type="dxa"/>
            <w:shd w:val="clear" w:color="auto" w:fill="EBF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lastRenderedPageBreak/>
              <w:t>TOTALS</w:t>
            </w:r>
          </w:p>
        </w:tc>
        <w:tc>
          <w:tcPr>
            <w:tcW w:w="1584" w:type="dxa"/>
            <w:shd w:val="clear" w:color="auto" w:fill="EBF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415 Units</w:t>
            </w:r>
          </w:p>
        </w:tc>
        <w:tc>
          <w:tcPr>
            <w:tcW w:w="2016" w:type="dxa"/>
            <w:shd w:val="clear" w:color="auto" w:fill="EBF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GH₵ 103,750.00</w:t>
            </w:r>
          </w:p>
        </w:tc>
        <w:tc>
          <w:tcPr>
            <w:tcW w:w="2016" w:type="dxa"/>
            <w:shd w:val="clear" w:color="auto" w:fill="EBF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GH₵ 49,800.00</w:t>
            </w:r>
          </w:p>
        </w:tc>
        <w:tc>
          <w:tcPr>
            <w:tcW w:w="2160" w:type="dxa"/>
            <w:shd w:val="clear" w:color="auto" w:fill="EBF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GH₵ 4,450.00</w:t>
            </w:r>
          </w:p>
        </w:tc>
        <w:tc>
          <w:tcPr>
            <w:tcW w:w="1584" w:type="dxa"/>
            <w:shd w:val="clear" w:color="auto" w:fill="EBF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E72" w:rsidRDefault="00EF78DB" w:rsidP="009F1AFF">
            <w:pPr>
              <w:jc w:val="center"/>
            </w:pPr>
            <w:r>
              <w:rPr>
                <w:b/>
                <w:sz w:val="19"/>
              </w:rPr>
              <w:t>+GH₵ 47,490.00</w:t>
            </w:r>
          </w:p>
        </w:tc>
      </w:tr>
    </w:tbl>
    <w:p w:rsidR="00275E72" w:rsidRDefault="00275E72" w:rsidP="009F1AFF">
      <w:pPr>
        <w:jc w:val="center"/>
      </w:pPr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t>8. Mission-Critical Security Risks &amp; Protection Measures</w:t>
      </w:r>
    </w:p>
    <w:p w:rsidR="00275E72" w:rsidRDefault="00EF78DB" w:rsidP="009F1AFF">
      <w:pPr>
        <w:jc w:val="center"/>
      </w:pPr>
      <w:r>
        <w:t>To carry this project safely through institutional pitches and marketplace execution—like managing a presidential asset—we must map out the ultimate threat matrices and deploy strict hardware counter-measures:</w:t>
      </w: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Threat 1: The Fast-Follower Reverse-Engineering Risk</w:t>
      </w:r>
    </w:p>
    <w:p w:rsidR="00275E72" w:rsidRDefault="00EF78DB" w:rsidP="009F1AFF">
      <w:pPr>
        <w:jc w:val="center"/>
      </w:pPr>
      <w:r>
        <w:t>• Risk Parameter: Overseas factories scrape public CAD blueprints and flood local markets with cheap linear circuit clones before your volume order imports clear port customs.</w:t>
      </w:r>
    </w:p>
    <w:p w:rsidR="00275E72" w:rsidRDefault="00EF78DB" w:rsidP="009F1AFF">
      <w:pPr>
        <w:jc w:val="center"/>
      </w:pPr>
      <w:r>
        <w:t>• Operational Solution: Protect technical functions by lodging a low-cost provisional 'Utility Model' application under the ARIPO Harare Protocol (designating Ghana) before releasing file tracing notes. Keep exact chip component schematic reference numbers hidden from open pitch slides.</w:t>
      </w: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Threat 2: Sizing Obsolescence via Constant Phone Upgrades</w:t>
      </w:r>
    </w:p>
    <w:p w:rsidR="00275E72" w:rsidRDefault="00EF78DB" w:rsidP="009F1AFF">
      <w:pPr>
        <w:jc w:val="center"/>
      </w:pPr>
      <w:r>
        <w:t xml:space="preserve">• Risk Parameter: Consumers frequently change phone models between </w:t>
      </w:r>
      <w:proofErr w:type="spellStart"/>
      <w:r>
        <w:t>Tecno</w:t>
      </w:r>
      <w:proofErr w:type="spellEnd"/>
      <w:r>
        <w:t xml:space="preserve">, </w:t>
      </w:r>
      <w:proofErr w:type="spellStart"/>
      <w:r>
        <w:t>Infinix</w:t>
      </w:r>
      <w:proofErr w:type="spellEnd"/>
      <w:r>
        <w:t>, and iPhone devices, rendering a rigid 78mm x 162mm hard cover structurally useless inside three months.</w:t>
      </w:r>
    </w:p>
    <w:p w:rsidR="00275E72" w:rsidRDefault="00EF78DB" w:rsidP="009F1AFF">
      <w:pPr>
        <w:jc w:val="center"/>
      </w:pPr>
      <w:r>
        <w:t>• Operational Solution: Develop Phase 1b to incorporate a universal spring-loaded slide-clamp housing matrix layout that grips any device frame while preserving the under-panel Mylar cushion block.</w:t>
      </w:r>
    </w:p>
    <w:p w:rsidR="00275E72" w:rsidRDefault="00EF78DB" w:rsidP="009F1AFF">
      <w:pPr>
        <w:keepNext/>
        <w:spacing w:before="280" w:after="120"/>
        <w:jc w:val="center"/>
      </w:pPr>
      <w:r>
        <w:rPr>
          <w:b/>
          <w:color w:val="1F6E43"/>
          <w:sz w:val="28"/>
        </w:rPr>
        <w:t>Threat 3: Consumer Dissatisfaction Regarding Night Charging</w:t>
      </w:r>
    </w:p>
    <w:p w:rsidR="00275E72" w:rsidRDefault="00EF78DB" w:rsidP="009F1AFF">
      <w:pPr>
        <w:jc w:val="center"/>
      </w:pPr>
      <w:r>
        <w:t>• Risk Parameter: Users attempt to charge devices in pitch blackness or inside rooms during municipal blackouts and label the case defective when it outputs zero current.</w:t>
      </w:r>
    </w:p>
    <w:p w:rsidR="00275E72" w:rsidRDefault="00EF78DB" w:rsidP="009F1AFF">
      <w:pPr>
        <w:jc w:val="center"/>
      </w:pPr>
      <w:r>
        <w:t>• Operational Solution: Brand the case explicitly as an 'Emergency Daytime Lifeline Operational Utility' designed for micro-business security. Pitch the asset as a grid-independent tools network tailored straight for real-time mobile commerce transactions.</w:t>
      </w:r>
    </w:p>
    <w:p w:rsidR="00275E72" w:rsidRDefault="00EF78DB" w:rsidP="009F1AFF">
      <w:pPr>
        <w:keepNext/>
        <w:spacing w:before="360"/>
        <w:jc w:val="center"/>
      </w:pPr>
      <w:r>
        <w:rPr>
          <w:b/>
          <w:color w:val="0F4C81"/>
          <w:sz w:val="36"/>
        </w:rPr>
        <w:t>9. Tech Hub Interview Rehearsal Script (Defensive Playbook)</w:t>
      </w:r>
    </w:p>
    <w:p w:rsidR="00275E72" w:rsidRDefault="00EF78DB" w:rsidP="009F1AFF">
      <w:pPr>
        <w:jc w:val="center"/>
      </w:pPr>
      <w:r>
        <w:t xml:space="preserve">When introducing this </w:t>
      </w:r>
      <w:proofErr w:type="spellStart"/>
      <w:r>
        <w:t>masterbook</w:t>
      </w:r>
      <w:proofErr w:type="spellEnd"/>
      <w:r>
        <w:t xml:space="preserve"> inside innovation spaces like Code Coast Africa or Ghana Tech Lab, expect deep industrial vetting. Deploy these textbook responses to handle judges' technical questions:</w:t>
      </w:r>
    </w:p>
    <w:p w:rsidR="00275E72" w:rsidRDefault="00EF78DB" w:rsidP="009F1AFF">
      <w:pPr>
        <w:keepNext/>
        <w:spacing w:before="200" w:after="80"/>
        <w:jc w:val="center"/>
      </w:pPr>
      <w:r>
        <w:rPr>
          <w:b/>
          <w:i/>
          <w:color w:val="5A6578"/>
          <w:sz w:val="24"/>
        </w:rPr>
        <w:lastRenderedPageBreak/>
        <w:t>Question 1: 'Why implement an open, battery-free framework instead of adding chemical storage cells?'</w:t>
      </w:r>
    </w:p>
    <w:p w:rsidR="00275E72" w:rsidRDefault="00EF78DB" w:rsidP="009F1AFF">
      <w:pPr>
        <w:jc w:val="center"/>
      </w:pPr>
      <w:r>
        <w:t>• Textbook Response: 'Placing a volatile lithium-ion battery directly behind an active solar panel introduces an extreme safety hazard in high tropical temperatures. Operating battery-free keeps the architecture 100% thermally stable, lightweight, and highly affordable while providing a direct trickle charger that keeps vital mobile transactions running safely off-the-grid.'</w:t>
      </w:r>
    </w:p>
    <w:p w:rsidR="00275E72" w:rsidRDefault="00EF78DB" w:rsidP="009F1AFF">
      <w:pPr>
        <w:keepNext/>
        <w:spacing w:before="200" w:after="80"/>
        <w:jc w:val="center"/>
      </w:pPr>
      <w:r>
        <w:rPr>
          <w:b/>
          <w:i/>
          <w:color w:val="5A6578"/>
          <w:sz w:val="24"/>
        </w:rPr>
        <w:t>Question 2: 'A 40% Honeycomb internal infill structure takes a massive amount of printer time. Why shouldn't we drop it to 15%?'</w:t>
      </w:r>
    </w:p>
    <w:p w:rsidR="00275E72" w:rsidRDefault="00EF78DB" w:rsidP="009F1AFF">
      <w:pPr>
        <w:jc w:val="center"/>
      </w:pPr>
      <w:r>
        <w:t>• Textbook Response: 'The 40% Honeycomb density matrix setting is a deliberate thermal engineering mechanism. The repeating hexagonal shapes trap stagnant pockets of dead air directly beneath the panel base layer. This creates a natural passive insulation barrier that blocks conductive heat transfer from the active panel from radiating straight into the phone's battery housing layout.'</w:t>
      </w:r>
    </w:p>
    <w:p w:rsidR="00275E72" w:rsidRDefault="00EF78DB" w:rsidP="009F1AFF">
      <w:pPr>
        <w:keepNext/>
        <w:spacing w:before="200" w:after="80"/>
        <w:jc w:val="center"/>
      </w:pPr>
      <w:r>
        <w:rPr>
          <w:b/>
          <w:i/>
          <w:color w:val="5A6578"/>
          <w:sz w:val="24"/>
        </w:rPr>
        <w:t>Question 3: 'How do you keep variable solar current spikes from frying delicate smartphone motherboards?'</w:t>
      </w:r>
    </w:p>
    <w:p w:rsidR="00275E72" w:rsidRDefault="00EF78DB" w:rsidP="009F1AFF">
      <w:pPr>
        <w:jc w:val="center"/>
      </w:pPr>
      <w:r>
        <w:t>• Textbook Response: 'Our configuration completely avoids low-efficiency linear voltage chips. The circuit paths route straight into a Texas Instruments TPS63020 Buck-Boost Synchronous Switching Regulator. This chip handles voltage variability smoothly, acting as a hardwired current firewall that catches unexpected inputs surges and locks down our output to a flat, safe 5.0V charging baseline before it ever touches the phone's charging tail.'</w:t>
      </w:r>
    </w:p>
    <w:p w:rsidR="00D0113C" w:rsidRDefault="00EF78DB" w:rsidP="009F1AFF">
      <w:pPr>
        <w:spacing w:before="480"/>
        <w:jc w:val="center"/>
        <w:rPr>
          <w:color w:val="5A6578"/>
          <w:sz w:val="17"/>
        </w:rPr>
      </w:pPr>
      <w:r>
        <w:rPr>
          <w:color w:val="5A6578"/>
          <w:sz w:val="17"/>
        </w:rPr>
        <w:t>This is for informational and educational prototyping purposes only. For commercial manufacturing compliance, consult a certifie</w:t>
      </w:r>
      <w:r w:rsidR="006F159F">
        <w:rPr>
          <w:color w:val="5A6578"/>
          <w:sz w:val="17"/>
        </w:rPr>
        <w:t xml:space="preserve">d electronics professional.so tipagra if you are reading this because you are </w:t>
      </w:r>
      <w:r w:rsidR="00D0113C">
        <w:rPr>
          <w:color w:val="5A6578"/>
          <w:sz w:val="17"/>
        </w:rPr>
        <w:t>don’t rush.</w:t>
      </w:r>
    </w:p>
    <w:p w:rsidR="00D0113C" w:rsidRDefault="00D0113C" w:rsidP="009F1AFF">
      <w:pPr>
        <w:spacing w:before="480"/>
        <w:jc w:val="center"/>
        <w:rPr>
          <w:color w:val="5A6578"/>
          <w:sz w:val="17"/>
        </w:rPr>
      </w:pPr>
      <w:r>
        <w:rPr>
          <w:color w:val="5A6578"/>
          <w:sz w:val="17"/>
        </w:rPr>
        <w:t>Love</w:t>
      </w:r>
    </w:p>
    <w:p w:rsidR="00275E72" w:rsidRDefault="00C77A8E" w:rsidP="009F1AFF">
      <w:pPr>
        <w:spacing w:before="480"/>
        <w:jc w:val="center"/>
        <w:rPr>
          <w:color w:val="5A6578"/>
          <w:sz w:val="17"/>
        </w:rPr>
      </w:pPr>
      <w:r>
        <w:rPr>
          <w:color w:val="5A6578"/>
          <w:sz w:val="52"/>
          <w:szCs w:val="52"/>
        </w:rPr>
        <w:t>Tip</w:t>
      </w:r>
      <w:r w:rsidR="00D0113C">
        <w:rPr>
          <w:noProof/>
          <w:color w:val="5A6578"/>
          <w:sz w:val="17"/>
        </w:rPr>
        <w:drawing>
          <wp:inline distT="0" distB="0" distL="0" distR="0">
            <wp:extent cx="4886325" cy="2438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ipagra's phone cov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8DB">
        <w:rPr>
          <w:color w:val="5A6578"/>
          <w:sz w:val="17"/>
        </w:rPr>
        <w:t>.</w:t>
      </w:r>
    </w:p>
    <w:p w:rsidR="00C77A8E" w:rsidRPr="00C77A8E" w:rsidRDefault="00A51870" w:rsidP="009F1AFF">
      <w:pPr>
        <w:spacing w:before="480"/>
        <w:jc w:val="center"/>
        <w:rPr>
          <w:rFonts w:ascii="Arial Rounded MT Bold" w:hAnsi="Arial Rounded MT Bold"/>
          <w:color w:val="5A6578"/>
          <w:sz w:val="32"/>
          <w:szCs w:val="32"/>
          <w:u w:val="single"/>
        </w:rPr>
      </w:pPr>
      <w:hyperlink r:id="rId10" w:history="1">
        <w:proofErr w:type="spellStart"/>
        <w:proofErr w:type="gramStart"/>
        <w:r w:rsidR="00C77A8E" w:rsidRPr="00C77A8E">
          <w:rPr>
            <w:rStyle w:val="Hyperlink"/>
            <w:rFonts w:ascii="Arial Rounded MT Bold" w:hAnsi="Arial Rounded MT Bold"/>
            <w:sz w:val="32"/>
            <w:szCs w:val="32"/>
          </w:rPr>
          <w:t>heliocase</w:t>
        </w:r>
        <w:proofErr w:type="spellEnd"/>
        <w:proofErr w:type="gramEnd"/>
        <w:r w:rsidR="00C77A8E" w:rsidRPr="00C77A8E">
          <w:rPr>
            <w:rStyle w:val="Hyperlink"/>
            <w:rFonts w:ascii="Arial Rounded MT Bold" w:hAnsi="Arial Rounded MT Bold"/>
            <w:sz w:val="32"/>
            <w:szCs w:val="32"/>
          </w:rPr>
          <w:t xml:space="preserve"> hardware word.docx</w:t>
        </w:r>
      </w:hyperlink>
    </w:p>
    <w:sectPr w:rsidR="00C77A8E" w:rsidRPr="00C77A8E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870" w:rsidRDefault="00A51870" w:rsidP="0081532C">
      <w:pPr>
        <w:spacing w:after="0" w:line="240" w:lineRule="auto"/>
      </w:pPr>
      <w:r>
        <w:separator/>
      </w:r>
    </w:p>
  </w:endnote>
  <w:endnote w:type="continuationSeparator" w:id="0">
    <w:p w:rsidR="00A51870" w:rsidRDefault="00A51870" w:rsidP="00815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532C" w:rsidRDefault="008153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532C" w:rsidRDefault="0081532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532C" w:rsidRDefault="008153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870" w:rsidRDefault="00A51870" w:rsidP="0081532C">
      <w:pPr>
        <w:spacing w:after="0" w:line="240" w:lineRule="auto"/>
      </w:pPr>
      <w:r>
        <w:separator/>
      </w:r>
    </w:p>
  </w:footnote>
  <w:footnote w:type="continuationSeparator" w:id="0">
    <w:p w:rsidR="00A51870" w:rsidRDefault="00A51870" w:rsidP="00815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532C" w:rsidRDefault="00A5187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39985" o:spid="_x0000_s2057" type="#_x0000_t75" style="position:absolute;margin-left:0;margin-top:0;width:467.7pt;height:253.8pt;z-index:-251657216;mso-position-horizontal:center;mso-position-horizontal-relative:margin;mso-position-vertical:center;mso-position-vertical-relative:margin" o:allowincell="f">
          <v:imagedata r:id="rId1" o:title="Screenshot 2026-07-20 16452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19652995"/>
      <w:docPartObj>
        <w:docPartGallery w:val="Watermarks"/>
        <w:docPartUnique/>
      </w:docPartObj>
    </w:sdtPr>
    <w:sdtEndPr/>
    <w:sdtContent>
      <w:p w:rsidR="0081532C" w:rsidRDefault="00A51870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8239986" o:spid="_x0000_s2058" type="#_x0000_t75" style="position:absolute;margin-left:0;margin-top:0;width:467.7pt;height:253.8pt;z-index:-251656192;mso-position-horizontal:center;mso-position-horizontal-relative:margin;mso-position-vertical:center;mso-position-vertical-relative:margin" o:allowincell="f">
              <v:imagedata r:id="rId1" o:title="Screenshot 2026-07-20 164525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532C" w:rsidRDefault="00A5187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39984" o:spid="_x0000_s2056" type="#_x0000_t75" style="position:absolute;margin-left:0;margin-top:0;width:467.7pt;height:253.8pt;z-index:-251658240;mso-position-horizontal:center;mso-position-horizontal-relative:margin;mso-position-vertical:center;mso-position-vertical-relative:margin" o:allowincell="f">
          <v:imagedata r:id="rId1" o:title="Screenshot 2026-07-20 16452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ocumentProtection w:edit="readOnly" w:enforcement="0"/>
  <w:defaultTabStop w:val="720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AE0"/>
    <w:rsid w:val="00034616"/>
    <w:rsid w:val="0006063C"/>
    <w:rsid w:val="0015074B"/>
    <w:rsid w:val="00275E72"/>
    <w:rsid w:val="0029639D"/>
    <w:rsid w:val="00326F90"/>
    <w:rsid w:val="00473EE8"/>
    <w:rsid w:val="005E4B86"/>
    <w:rsid w:val="006F159F"/>
    <w:rsid w:val="0081532C"/>
    <w:rsid w:val="00815A12"/>
    <w:rsid w:val="009F1AFF"/>
    <w:rsid w:val="00A51870"/>
    <w:rsid w:val="00AA1D8D"/>
    <w:rsid w:val="00B47730"/>
    <w:rsid w:val="00C77A8E"/>
    <w:rsid w:val="00CB0664"/>
    <w:rsid w:val="00D0113C"/>
    <w:rsid w:val="00E52691"/>
    <w:rsid w:val="00E83991"/>
    <w:rsid w:val="00EF78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9"/>
    <o:shapelayout v:ext="edit">
      <o:idmap v:ext="edit" data="1"/>
    </o:shapelayout>
  </w:shapeDefaults>
  <w:decimalSymbol w:val="."/>
  <w:listSeparator w:val=","/>
  <w14:defaultImageDpi w14:val="300"/>
  <w15:docId w15:val="{360A7CAA-C1D8-4117-88D2-5393C227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32C"/>
  </w:style>
  <w:style w:type="paragraph" w:styleId="Heading1">
    <w:name w:val="heading 1"/>
    <w:basedOn w:val="Normal"/>
    <w:next w:val="Normal"/>
    <w:link w:val="Heading1Char"/>
    <w:uiPriority w:val="9"/>
    <w:qFormat/>
    <w:rsid w:val="0081532C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32C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32C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32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32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32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32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32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32C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1532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532C"/>
    <w:rPr>
      <w:rFonts w:asciiTheme="majorHAnsi" w:eastAsiaTheme="majorEastAsia" w:hAnsiTheme="majorHAnsi" w:cstheme="majorBidi"/>
      <w:color w:val="3E762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32C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32C"/>
    <w:rPr>
      <w:rFonts w:asciiTheme="majorHAnsi" w:eastAsiaTheme="majorEastAsia" w:hAnsiTheme="majorHAnsi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1532C"/>
    <w:pPr>
      <w:pBdr>
        <w:top w:val="single" w:sz="6" w:space="8" w:color="C0CF3A" w:themeColor="accent3"/>
        <w:bottom w:val="single" w:sz="6" w:space="8" w:color="C0CF3A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55F5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1532C"/>
    <w:rPr>
      <w:rFonts w:asciiTheme="majorHAnsi" w:eastAsiaTheme="majorEastAsia" w:hAnsiTheme="majorHAnsi" w:cstheme="majorBidi"/>
      <w:caps/>
      <w:color w:val="455F5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32C"/>
    <w:pPr>
      <w:numPr>
        <w:ilvl w:val="1"/>
      </w:numPr>
      <w:jc w:val="center"/>
    </w:pPr>
    <w:rPr>
      <w:color w:val="455F5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32C"/>
    <w:rPr>
      <w:color w:val="455F51" w:themeColor="text2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1532C"/>
    <w:pPr>
      <w:spacing w:before="160"/>
      <w:ind w:left="720" w:right="720"/>
      <w:jc w:val="center"/>
    </w:pPr>
    <w:rPr>
      <w:i/>
      <w:iCs/>
      <w:color w:val="939F27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532C"/>
    <w:rPr>
      <w:i/>
      <w:iCs/>
      <w:color w:val="939F27" w:themeColor="accent3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32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32C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32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32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32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32C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532C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81532C"/>
    <w:rPr>
      <w:b/>
      <w:bCs/>
    </w:rPr>
  </w:style>
  <w:style w:type="character" w:styleId="Emphasis">
    <w:name w:val="Emphasis"/>
    <w:basedOn w:val="DefaultParagraphFont"/>
    <w:uiPriority w:val="20"/>
    <w:qFormat/>
    <w:rsid w:val="0081532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32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E762A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32C"/>
    <w:rPr>
      <w:rFonts w:asciiTheme="majorHAnsi" w:eastAsiaTheme="majorEastAsia" w:hAnsiTheme="majorHAnsi" w:cstheme="majorBidi"/>
      <w:caps/>
      <w:color w:val="3E762A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1532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1532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1532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1532C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1532C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532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Ind w:w="0" w:type="dxa"/>
      <w:tblBorders>
        <w:top w:val="single" w:sz="8" w:space="0" w:color="549E39" w:themeColor="accent1"/>
        <w:bottom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Ind w:w="0" w:type="dxa"/>
      <w:tblBorders>
        <w:top w:val="single" w:sz="8" w:space="0" w:color="8AB833" w:themeColor="accent2"/>
        <w:bottom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Ind w:w="0" w:type="dxa"/>
      <w:tblBorders>
        <w:top w:val="single" w:sz="8" w:space="0" w:color="C0CF3A" w:themeColor="accent3"/>
        <w:bottom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Ind w:w="0" w:type="dxa"/>
      <w:tblBorders>
        <w:top w:val="single" w:sz="8" w:space="0" w:color="029676" w:themeColor="accent4"/>
        <w:bottom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Ind w:w="0" w:type="dxa"/>
      <w:tblBorders>
        <w:top w:val="single" w:sz="8" w:space="0" w:color="4AB5C4" w:themeColor="accent5"/>
        <w:bottom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Ind w:w="0" w:type="dxa"/>
      <w:tblBorders>
        <w:top w:val="single" w:sz="8" w:space="0" w:color="0989B1" w:themeColor="accent6"/>
        <w:bottom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49E39" w:themeColor="accent1"/>
        <w:bottom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B833" w:themeColor="accent2"/>
        <w:bottom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CF3A" w:themeColor="accent3"/>
        <w:bottom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29676" w:themeColor="accent4"/>
        <w:bottom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B5C4" w:themeColor="accent5"/>
        <w:bottom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989B1" w:themeColor="accent6"/>
        <w:bottom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9E3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B8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CF3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967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B5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89B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7A8E"/>
    <w:rPr>
      <w:color w:val="6B9F25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7A8E"/>
    <w:rPr>
      <w:color w:val="BA6906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39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399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3991"/>
    <w:rPr>
      <w:rFonts w:ascii="Arial" w:hAnsi="Arial"/>
      <w:color w:val="2B2B2B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91"/>
    <w:rPr>
      <w:rFonts w:ascii="Arial" w:hAnsi="Arial"/>
      <w:b/>
      <w:bCs/>
      <w:color w:val="2B2B2B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91"/>
    <w:rPr>
      <w:rFonts w:ascii="Segoe UI" w:hAnsi="Segoe UI" w:cs="Segoe UI"/>
      <w:color w:val="2B2B2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eliocase%20hardware%20word.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2FF7E4-A12F-4FE6-B7E1-F25708248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2107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7</cp:revision>
  <dcterms:created xsi:type="dcterms:W3CDTF">2013-12-23T23:15:00Z</dcterms:created>
  <dcterms:modified xsi:type="dcterms:W3CDTF">2026-09-02T21:59:00Z</dcterms:modified>
  <cp:category/>
</cp:coreProperties>
</file>