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Constraint-Transition-Verification as a Cross-Domain Substrate</w:t>
      </w:r>
    </w:p>
    <w:p>
      <w:pPr>
        <w:jc w:val="center"/>
      </w:pPr>
      <w:r>
        <w:rPr>
          <w:b/>
          <w:sz w:val="22"/>
        </w:rPr>
        <w:t>A falsifiable AIL/MoIE hypothesis connecting orbital mission design and merger competitive analysis</w:t>
      </w:r>
    </w:p>
    <w:p>
      <w:pPr>
        <w:jc w:val="center"/>
      </w:pPr>
      <w:r>
        <w:rPr>
          <w:i/>
          <w:sz w:val="18"/>
        </w:rPr>
        <w:t>Prepared 2026-09-27 | Status: preliminary, evidence-gated</w:t>
      </w:r>
    </w:p>
    <w:p/>
    <w:p>
      <w:pPr>
        <w:pStyle w:val="Heading1"/>
      </w:pPr>
      <w:r>
        <w:t>1. Executive finding</w:t>
      </w:r>
    </w:p>
    <w:p>
      <w:r>
        <w:t>The two domain tasks should not be forced into a claim that they obey the same laws. They are materially different: orbital mechanics is governed by physical laws and numerical dynamics; antitrust analysis is governed by law, economics, evidence, and institutional doctrine. The defensible commonality is architectural: both are analyses of proposed state transitions under constraints, scarcity, uncertainty, and verification requirements.</w:t>
      </w:r>
    </w:p>
    <w:p>
      <w:r>
        <w:rPr>
          <w:b/>
        </w:rPr>
        <w:t xml:space="preserve">FACT: </w:t>
      </w:r>
      <w:r>
        <w:t>The domain tasks supplied by the evaluator require closure: dimensional consistency, non-fabricated sources, calculational integrity, explicit assumptions, and coherent counterarguments.</w:t>
      </w:r>
    </w:p>
    <w:p>
      <w:r>
        <w:rPr>
          <w:b/>
        </w:rPr>
        <w:t xml:space="preserve">INFERENCE: </w:t>
      </w:r>
      <w:r>
        <w:t>A common kernel can therefore be tested as a constraint-transition-verification pipeline rather than as a domain theory.</w:t>
      </w:r>
    </w:p>
    <w:p>
      <w:r>
        <w:rPr>
          <w:b/>
        </w:rPr>
        <w:t xml:space="preserve">UNKNOWN: </w:t>
      </w:r>
      <w:r>
        <w:t>Whether using this kernel actually improves expert-artifact quality relative to conventional domain-specific workflows. No baseline experiment has been run in this packet.</w:t>
      </w:r>
    </w:p>
    <w:p>
      <w:pPr>
        <w:pStyle w:val="Heading1"/>
      </w:pPr>
      <w:r>
        <w:t>2. Inverted question</w:t>
      </w:r>
    </w:p>
    <w:p>
      <w:r>
        <w:t>Surface question: Can a system produce an aerospace artifact and an antitrust artifact? Inverted question: Can a system construct a defensible, externally checkable model of a proposed transition without silently importing an unverified premise between the model and the conclusion?</w:t>
      </w:r>
    </w:p>
    <w:p>
      <w:r>
        <w:t>The evaluator is therefore testing whether the artifact closes. A successful artifact makes its state variables, constraints, transformations, evidence, assumptions, and failure conditions reconstructible by another reviewer.</w:t>
      </w:r>
    </w:p>
    <w:p>
      <w:pPr>
        <w:pStyle w:val="Heading1"/>
      </w:pPr>
      <w:r>
        <w:t>3. Candidate substrate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2F3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2541"/>
            <w:vAlign w:val="center"/>
            <w:shd w:fill="D9E2F3"/>
          </w:tcPr>
          <w:p>
            <w:r/>
            <w:r>
              <w:rPr>
                <w:b/>
                <w:sz w:val="18"/>
              </w:rPr>
              <w:t>General form</w:t>
            </w:r>
          </w:p>
        </w:tc>
        <w:tc>
          <w:tcPr>
            <w:tcW w:type="dxa" w:w="2541"/>
            <w:vAlign w:val="center"/>
            <w:shd w:fill="D9E2F3"/>
          </w:tcPr>
          <w:p>
            <w:r/>
            <w:r>
              <w:rPr>
                <w:b/>
                <w:sz w:val="18"/>
              </w:rPr>
              <w:t>Orbital instance</w:t>
            </w:r>
          </w:p>
        </w:tc>
        <w:tc>
          <w:tcPr>
            <w:tcW w:type="dxa" w:w="2541"/>
            <w:vAlign w:val="center"/>
            <w:shd w:fill="D9E2F3"/>
          </w:tcPr>
          <w:p>
            <w:r/>
            <w:r>
              <w:rPr>
                <w:b/>
                <w:sz w:val="18"/>
              </w:rPr>
              <w:t>Merger-analysis instance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State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What is true now?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a, e, i, RAAN, argument of latitude, mass state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firms, shares, products, customers, capacity, observed rivalry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Constraint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What limits feasible states?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gravity, geometry, propellant, power, thermal limits, disposal rules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law, substitution, entry, capacity, buyer power, evidence quality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Transition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What changes the state?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burns, perturbations, drag, launch geometry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merger/control change, price response, entry/repositioning, efficiencies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Reachability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What outcomes can follow?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reachable orbital states and access coverage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plausible competitive effects under the defined market and record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Resource/energy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What is scarce?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propellant, electrical energy, mass, time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capacity, capital, information, time, customer attention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Verification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What independent facts can falsify it?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orbital equations, ephemerides, launch data, telemetry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statute, cases, market evidence, arithmetic, economic tests</w:t>
            </w:r>
          </w:p>
        </w:tc>
      </w:tr>
    </w:tbl>
    <w:p/>
    <w:p>
      <w:pPr>
        <w:pStyle w:val="Heading1"/>
      </w:pPr>
      <w:r>
        <w:t>4. Core invariant</w:t>
      </w:r>
    </w:p>
    <w:p>
      <w:r>
        <w:t>Proposed invariant: A claimed outcome should be reproducible from explicitly named premises, constraints, evidence, and valid transformations. No undocumented quantity, source, or legal/economic step may appear between the premises and the conclusion.</w:t>
      </w:r>
    </w:p>
    <w:p>
      <w:r>
        <w:rPr>
          <w:b/>
        </w:rPr>
        <w:t xml:space="preserve">Closure condition: </w:t>
      </w:r>
      <w:r>
        <w:t>Outcome = f(Premises, Constraints, Evidence, Valid Transformations) with every material input either sourced, computed, or labeled as an assumption/pending item.</w:t>
      </w:r>
    </w:p>
    <w:p>
      <w:pPr>
        <w:pStyle w:val="Heading1"/>
      </w:pPr>
      <w:r>
        <w:t>5. What AIL adds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2F3"/>
          </w:tcPr>
          <w:p>
            <w:r/>
            <w:r>
              <w:rPr>
                <w:b/>
                <w:sz w:val="18"/>
              </w:rPr>
              <w:t>Inversion skill</w:t>
            </w:r>
          </w:p>
        </w:tc>
        <w:tc>
          <w:tcPr>
            <w:tcW w:type="dxa" w:w="3389"/>
            <w:vAlign w:val="center"/>
            <w:shd w:fill="D9E2F3"/>
          </w:tcPr>
          <w:p>
            <w:r/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3389"/>
            <w:vAlign w:val="center"/>
            <w:shd w:fill="D9E2F3"/>
          </w:tcPr>
          <w:p>
            <w:r/>
            <w:r>
              <w:rPr>
                <w:b/>
                <w:sz w:val="18"/>
              </w:rPr>
              <w:t>Failure it hunts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Constraint Inverter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Which "fixed" condition could instead be the binding variable?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A hidden assumption presented as a fact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Anomaly Hunter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Where does the proposed transition require something to appear from nowhere?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Budget leakage, unsupported legal/economic leap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Boundary Auditor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Where does the model stop being valid?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Overgeneralization and domain transfer errors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Countermodel Builder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What plausible alternative state defeats the conclusion?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One-sided analysis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Evidence Auditor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Can every consequential claim be independently checked?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Fabricated source, stale source, uncited number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Synthesis Auditor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Does the common abstraction preserve domain-specific laws?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Analogy mistaken for equivalence</w:t>
            </w:r>
          </w:p>
        </w:tc>
      </w:tr>
    </w:tbl>
    <w:p/>
    <w:p>
      <w:pPr>
        <w:pStyle w:val="Heading1"/>
      </w:pPr>
      <w:r>
        <w:t>6. What MoIE adds</w:t>
      </w:r>
    </w:p>
    <w:p>
      <w:r>
        <w:t>MoIE is used here as a mixture of specialist audits, not as a claim that more agents automatically produce better answers. Each expert has a narrow falsification role. The synthesis step can only promote a claim if domain-specific auditors leave no unresolved contradiction that matters to the claim.</w:t>
      </w:r>
    </w:p>
    <w:p>
      <w:pPr>
        <w:pStyle w:val="Heading1"/>
      </w:pPr>
      <w:r>
        <w:t>7. The scalar-metric trap</w:t>
      </w:r>
    </w:p>
    <w:p>
      <w:r>
        <w:t>A useful cross-domain test is to ask whether a scalar summary is being mistaken for the system itself. In orbital design, a delta-v budget is a constraint summary, not proof of mission feasibility. In antitrust, HHI is a concentration measure, not proof of competitive harm. Both require the scalar to be embedded in a causal and evidentiary model.</w:t>
      </w:r>
    </w:p>
    <w:p>
      <w:pPr>
        <w:pStyle w:val="Heading1"/>
      </w:pPr>
      <w:r>
        <w:t>8. Physical, informational, energetic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2F3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389"/>
            <w:vAlign w:val="center"/>
            <w:shd w:fill="D9E2F3"/>
          </w:tcPr>
          <w:p>
            <w:r/>
            <w:r>
              <w:rPr>
                <w:b/>
                <w:sz w:val="18"/>
              </w:rPr>
              <w:t>Meaning</w:t>
            </w:r>
          </w:p>
        </w:tc>
        <w:tc>
          <w:tcPr>
            <w:tcW w:type="dxa" w:w="3389"/>
            <w:vAlign w:val="center"/>
            <w:shd w:fill="D9E2F3"/>
          </w:tcPr>
          <w:p>
            <w:r/>
            <w:r>
              <w:rPr>
                <w:b/>
                <w:sz w:val="18"/>
              </w:rPr>
              <w:t>Test question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Physical/material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What the material world permits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Can the system physically execute the claimed transition?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Informational/digital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What can be known, modeled, measured, or proven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Which claims rely on unknown or unverified inputs?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Energetic/resource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What scarce quantity limits change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What finite budget, capacity, or resource must be consumed?</w:t>
            </w:r>
          </w:p>
        </w:tc>
      </w:tr>
    </w:tbl>
    <w:p/>
    <w:p>
      <w:r>
        <w:t>Important correction: antitrust does not have an equivalent to Newtonian conservation laws. The resource/constraint analogy is architectural, not a literal physical law.</w:t>
      </w:r>
    </w:p>
    <w:p>
      <w:pPr>
        <w:pStyle w:val="Heading1"/>
      </w:pPr>
      <w:r>
        <w:t>9. Falsifiers of the kernel</w:t>
      </w:r>
    </w:p>
    <w:p>
      <w:pPr>
        <w:pStyle w:val="ListBullet"/>
      </w:pPr>
      <w:r>
        <w:t>A clean, valid artifact is systematically blocked because the kernel interprets uncertainty as defect.</w:t>
      </w:r>
    </w:p>
    <w:p>
      <w:pPr>
        <w:pStyle w:val="ListBullet"/>
      </w:pPr>
      <w:r>
        <w:t>A planted defect is missed by the kernel on replication.</w:t>
      </w:r>
    </w:p>
    <w:p>
      <w:pPr>
        <w:pStyle w:val="ListBullet"/>
      </w:pPr>
      <w:r>
        <w:t>The kernel increases false positives or false negatives relative to a conventional baseline.</w:t>
      </w:r>
    </w:p>
    <w:p>
      <w:pPr>
        <w:pStyle w:val="ListBullet"/>
      </w:pPr>
      <w:r>
        <w:t>The cross-domain substrate causes a valid domain-specific rule to be replaced by an invalid analogy.</w:t>
      </w:r>
    </w:p>
    <w:p>
      <w:pPr>
        <w:pStyle w:val="ListBullet"/>
      </w:pPr>
      <w:r>
        <w:t>The claimed closure depends on hidden inputs or undocumented transformations.</w:t>
      </w:r>
    </w:p>
    <w:p>
      <w:pPr>
        <w:pStyle w:val="ListBullet"/>
      </w:pPr>
      <w:r>
        <w:t>Independent expert review finds the substrate adds no measurable audit value after controlling for effort.</w:t>
      </w:r>
    </w:p>
    <w:p>
      <w:pPr>
        <w:pStyle w:val="Heading1"/>
      </w:pPr>
      <w:r>
        <w:t>10. Status of the experiment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2F3"/>
          </w:tcPr>
          <w:p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3389"/>
            <w:vAlign w:val="center"/>
            <w:shd w:fill="D9E2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3389"/>
            <w:vAlign w:val="center"/>
            <w:shd w:fill="D9E2F3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Common substrate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SPECIFIED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Hypothesis is explicit and falsifiable.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Aerospace instantiation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CALCULATED + SIMULATED PRELIMINARILY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Core orbital, power, thermal, budget, and access calculations are reproducible; detailed trajectory/thermal/drag work remains pending.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Antitrust instantiation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ARITHMETICALLY CLOSED, FACTS SYNTHETIC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HHI and legal framework are checkable; market facts and shares are hypothetical inputs, not empirical evidence.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Three-arm comparison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PENDING EXECUTION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No claim that AIL/MoIE beats baseline has been made.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False-positive run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PENDING EXECUTION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Clean artifacts must be tested before any efficacy claim.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Blind human review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Independent domain reviewers required.</w:t>
            </w:r>
          </w:p>
        </w:tc>
      </w:tr>
    </w:tbl>
    <w:p/>
    <w:p>
      <w:pPr>
        <w:pStyle w:val="Heading1"/>
      </w:pPr>
      <w:r>
        <w:t>11. What this paper does not prove</w:t>
      </w:r>
    </w:p>
    <w:p>
      <w:pPr>
        <w:pStyle w:val="ListBullet"/>
      </w:pPr>
      <w:r>
        <w:t>It does not prove that one abstract theory underlies aerospace and antitrust.</w:t>
      </w:r>
    </w:p>
    <w:p>
      <w:pPr>
        <w:pStyle w:val="ListBullet"/>
      </w:pPr>
      <w:r>
        <w:t>It does not prove the hypothetical merger is unlawful; the merger facts are synthetic.</w:t>
      </w:r>
    </w:p>
    <w:p>
      <w:pPr>
        <w:pStyle w:val="ListBullet"/>
      </w:pPr>
      <w:r>
        <w:t>It does not prove the constellation is flight-ready; several mission analyses are first-order.</w:t>
      </w:r>
    </w:p>
    <w:p>
      <w:pPr>
        <w:pStyle w:val="ListBullet"/>
      </w:pPr>
      <w:r>
        <w:t>It does not prove AIL/MoIE increases accuracy or reduces hallucinations without baseline and replication data.</w:t>
      </w:r>
    </w:p>
    <w:p>
      <w:pPr>
        <w:pStyle w:val="Heading1"/>
      </w:pPr>
      <w:r>
        <w:t>Source ledger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541"/>
            <w:vAlign w:val="center"/>
            <w:shd w:fill="D9E2F3"/>
          </w:tcPr>
          <w:p>
            <w:r/>
            <w:r>
              <w:rPr>
                <w:b/>
                <w:sz w:val="18"/>
              </w:rPr>
              <w:t>Authority</w:t>
            </w:r>
          </w:p>
        </w:tc>
        <w:tc>
          <w:tcPr>
            <w:tcW w:type="dxa" w:w="2541"/>
            <w:vAlign w:val="center"/>
            <w:shd w:fill="D9E2F3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2541"/>
            <w:vAlign w:val="center"/>
            <w:shd w:fill="D9E2F3"/>
          </w:tcPr>
          <w:p>
            <w:r/>
            <w:r>
              <w:rPr>
                <w:b/>
                <w:sz w:val="18"/>
              </w:rPr>
              <w:t>Use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A1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NASA Earth Fact Sheet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https://nssdc.gsfc.nasa.gov/planetary/factsheet/earthfact.html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Earth radius, solar irradiance, albedo, J2 context.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A2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NGA WGS84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https://earth-info.nga.mil/?action=wgs84&amp;dir=wgs84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WGS84 semimajor axis and Earth GM.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A3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NASA Sun-Synchronous Orbit example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https://ntrs.nasa.gov/api/citations/20205004141/downloads/Introduction%20to%20Orbitalaft%20Engineers%20CHARTS%20REV%20A.pdf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J2 nodal-precession equation and SSO example.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A4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NASA SmallSat Power, 2026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https://www.nasa.gov/smallsat-institute/sst-soa/power-subsystems/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Solar-cell performance and EOL power-design considerations.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A5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NASA Deorbit Systems, 2026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https://www.nasa.gov/smallsat-institute/sst-soa/deorbit-systems/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LEO lifetime/deorbit context.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L1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DOJ 2023 Merger Guidelines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https://www.justice.gov/atr/2023-merger-guidelines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Current federal agency merger-guideline framework; non-binding statement.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L2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DOJ Guideline 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https://www.justice.gov/atr/merger-guidelines/applying-merger-guidelines/guideline-1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HHI and structural presumption thresholds.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L3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DOJ Guideline 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https://www.justice.gov/atr/merger-guidelines/applying-merger-guidelines/guideline-2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Elimination of substantial competition framework.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L4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15 U.S.C. §18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https://www.law.cornell.edu/uscode/text/15/18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Clayton Act Section 7 statutory text.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L5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15 U.S.C. §2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https://www.law.cornell.edu/uscode/text/15/2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Sherman Act Section 2 statutory text.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BlackSwanLabz / AIL-MoIE dual-domain test | 2026-09-27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i/>
        <w:sz w:val="16"/>
      </w:rPr>
      <w:t>COMMON SUBSTRATE / AIL-MOIE 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01_Common_Substrate_AIL_MoIE</dc:title>
  <dc:subject>Evidence-gated AIL/MoIE test artifact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