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AURORA-6: Preliminary Sun-Synchronous Constellation Mission Design</w:t>
      </w:r>
    </w:p>
    <w:p>
      <w:pPr>
        <w:jc w:val="center"/>
      </w:pPr>
      <w:r>
        <w:rPr>
          <w:b/>
          <w:sz w:val="22"/>
        </w:rPr>
        <w:t>Six-satellite / three-plane concept for &lt;=24 h access to 30-60 deg N under an explicit preliminary access assumption</w:t>
      </w:r>
    </w:p>
    <w:p>
      <w:pPr>
        <w:jc w:val="center"/>
      </w:pPr>
      <w:r>
        <w:rPr>
          <w:i/>
          <w:sz w:val="18"/>
        </w:rPr>
        <w:t>Prepared 2026-09-27 | Status: preliminary, evidence-gated</w:t>
      </w:r>
    </w:p>
    <w:p/>
    <w:p>
      <w:pPr>
        <w:pStyle w:val="Heading1"/>
      </w:pPr>
      <w:r>
        <w:t>1. Requirement and interpretation</w:t>
      </w:r>
    </w:p>
    <w:p>
      <w:r>
        <w:t>Design target: a six-satellite constellation in circular sun-synchronous orbit (SSO), providing a preliminary maximum revisit gap below 24 hours to a target latitude band of 30 to 60 deg N. Because the prompt does not specify sensor field of view, the access requirement is explicitly modeled as a 4 deg Earth-surface central-angle half-swath. This is a generous first-order access criterion, not a claim about a specific sensor.</w:t>
      </w:r>
    </w:p>
    <w:p>
      <w:r>
        <w:rPr>
          <w:b/>
        </w:rPr>
        <w:t xml:space="preserve">ASSUMPTION: </w:t>
      </w:r>
      <w:r>
        <w:t>The mission is allowed to use three Falcon 9 rideshare launches, with two 25 kg spacecraft per launch/plane.</w:t>
      </w:r>
    </w:p>
    <w:p>
      <w:r>
        <w:rPr>
          <w:b/>
        </w:rPr>
        <w:t xml:space="preserve">CALCULATED: </w:t>
      </w:r>
      <w:r>
        <w:t>At 550 km circular altitude, J2 secular nodal precession requires inclination about 97.59295 deg for a tropical-year-equivalent solar precession target of 0.9856473 deg/day.</w:t>
      </w:r>
    </w:p>
    <w:p>
      <w:r>
        <w:rPr>
          <w:b/>
        </w:rPr>
        <w:t xml:space="preserve">PENDING: </w:t>
      </w:r>
      <w:r>
        <w:t>Mission-specific launch trajectory, atmospheric density/drag environment, detailed thermal model, and real sensor-derived swath.</w:t>
      </w:r>
    </w:p>
    <w:p>
      <w:pPr>
        <w:pStyle w:val="Heading1"/>
      </w:pPr>
      <w:r>
        <w:t>2. Baseline orbital elements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Basis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Altitude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550 km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Design choice; balances revisit, drag, thermal environment, and deorbit practicality.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Semimajor axis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6928.137 km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WGS84 equatorial radius 6378.137 km + 550 km.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Eccentricity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Circular-orbit concept.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Inclination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97.59295 deg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Solved from secular J2 nodal precession equation.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RAAN plane 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0 deg at design epoch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Reference orientation.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RAAN plane 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120 deg at design epoch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Walker-like plane spacing.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RAAN plane 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240 deg at design epoch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Walker-like plane spacing.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Argument of latitude, plane 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0 deg, 180 deg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Two spacecraft 180 deg apart.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Argument of latitude, plane 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120 deg, 300 deg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Walker F=2 phasing.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Argument of latitude, plane 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240 deg, 60 deg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Walker F=2 phasing.</w:t>
            </w:r>
          </w:p>
        </w:tc>
      </w:tr>
    </w:tbl>
    <w:p/>
    <w:p>
      <w:pPr>
        <w:pStyle w:val="Heading1"/>
      </w:pPr>
      <w:r>
        <w:t>3. Orbital mechanics closure</w:t>
      </w:r>
    </w:p>
    <w:p>
      <w:r>
        <w:t>Using mu = 398600.4418 km^3/s^2, Re = 6378.137 km, J2 = 1.08262668e-3, e = 0, and the standard secular nodal-precession equation:</w:t>
      </w:r>
    </w:p>
    <w:p>
      <w:pPr>
        <w:jc w:val="center"/>
      </w:pPr>
      <w:r>
        <w:t>Omega_dot = -3 J2 n Re^2 cos(i) / [2 a^2 (1-e^2)^2]</w:t>
      </w:r>
    </w:p>
    <w:p>
      <w:r>
        <w:t>The computed solution is i = 97.59295 deg. The resulting orbital period is 95.64988 min. These values are internally consistent with the stated semimajor axis and J2 model.</w:t>
      </w:r>
    </w:p>
    <w:p>
      <w:r>
        <w:rPr>
          <w:b/>
        </w:rPr>
        <w:t xml:space="preserve">CROSS-CHECK: </w:t>
      </w:r>
      <w:r>
        <w:t>NASA publishes a 705 km, 98.2 deg SSO example with about 0.986 deg/day nodal precession; the AURORA-6 550 km solution is different because altitude is different, not because the SSO relationship was ignored.</w:t>
      </w:r>
    </w:p>
    <w:p>
      <w:pPr>
        <w:pStyle w:val="Heading1"/>
      </w:pPr>
      <w:r>
        <w:t>4. Revisit / access analysis</w:t>
      </w:r>
    </w:p>
    <w:p>
      <w:r>
        <w:t>Numerical model: six circular spacecraft, three planes, Walker-like F=2 phasing, Earth rotation, secular RAAN drift, spherical Earth access, 1-minute time steps, and a 0.5 deg latitude x 5 deg longitude grid over 30-60 deg N for an 8-day run. A cyclic gap check was applied so the end-of-window to start-of-window interval is not silently omitted.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Grid points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4392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CALCULATED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Time horizon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8 days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CALCULATED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Time step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 min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CALCULATED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Access half-swath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4 deg central angle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ASSUMPTION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All points accessed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CALCULATED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Maximum cyclic access gap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13.17 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CALCULATED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Requirement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&lt;=24 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PASS under stated assumptions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Coarse 16-day check (1 deg x 10 deg grid)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13.87 h max cyclic gap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CALCULATED, sensitivity check</w:t>
            </w:r>
          </w:p>
        </w:tc>
      </w:tr>
    </w:tbl>
    <w:p/>
    <w:p>
      <w:r>
        <w:t>The revisit result is not a proof for a real sensor. The dominant unresolved variable is sensor look angle / true ground swath. Re-run the access model using the actual payload field of regard, elevation mask, Earth ellipsoid, attitude law, terrain/elevation, cloud constraints, and mission-specific imaging rules before flight acceptance.</w:t>
      </w:r>
    </w:p>
    <w:p>
      <w:pPr>
        <w:pStyle w:val="Heading1"/>
      </w:pPr>
      <w:r>
        <w:t>5. Plane-spacing and launch-phasing logic</w:t>
      </w:r>
    </w:p>
    <w:p>
      <w:r>
        <w:t>The nominal SSO precession rate is about 0.9856473 deg/day. A 120 deg RAAN separation therefore corresponds to 120 / 0.9856473 = 121.747 days, or about 4.01 months. This is close to SpaceX current public language that SSO missions occur approximately every 4 months. The coincidence is useful but is not a booked launch schedule.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Element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Nominal plan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Closure status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Launch site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Vandenberg, California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Consistent with high-inclination / SSO access; exact mission integration pending.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Launch vehicle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Falcon 9 Rideshare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Real current program.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Payload per launch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2 x 25 kg = 50 kg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Matches current 50 kg-to-SSO rideshare baseline.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Launch 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Plane 1 target RAAN 0 deg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Nominal reference.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Launch 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121.747 days later, plane 2 target RAAN 120 deg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Phasing calculation; exact launch date/time pending.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Launch 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243.495 days after launch 1, plane 3 target RAAN 240 deg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Phasing calculation; exact launch date/time pending.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LTAN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10:30 local solar time, +/-15 min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Mission assumption modeled after common Earth-observation practice; exact launch window pending.</w:t>
            </w:r>
          </w:p>
        </w:tc>
      </w:tr>
    </w:tbl>
    <w:p/>
    <w:p>
      <w:r>
        <w:rPr>
          <w:b/>
        </w:rPr>
        <w:t xml:space="preserve">IMPORTANT: </w:t>
      </w:r>
      <w:r>
        <w:t>A launch "window" is not fully closed by this document. The exact clock time, azimuth, insertion state, and provider-specific performance at 550 km require the launch provider mission design and a current flight slot. The artifact therefore records the phasing window mathematically but does not fabricate a booked launch date.</w:t>
      </w:r>
    </w:p>
    <w:p>
      <w:pPr>
        <w:pStyle w:val="Heading1"/>
      </w:pPr>
      <w:r>
        <w:t>6. Delta-v budget</w:t>
      </w:r>
    </w:p>
    <w:p>
      <w:r>
        <w:t>The constellation avoids large onboard plane changes by creating plane spacing through launch geometry and timing. A 10 deg plane change at 550 km would require about 1322 m/s, which is approximately 5.5 times the entire nominal maneuver budget below. Therefore plane change is a prohibited baseline operation.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Delta-v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Basis / status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Insertion / commissioning trim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15 m/s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Design allocation; actual launch-injection dispersions pending.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Plane change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0 m/s nominal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Architecture choice; plane changes performed by launch geometry, not spacecraft propulsion.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Station-keeping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125 m/s over 5 years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Design allocation, not a density-model prediction.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End-of-life disposal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70.01 m/s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Calculated one-burn apogee burn from 550 km circular to an ellipse with 300 km perigee; drag completes disposal.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Contingency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30 m/s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Design reserve.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240.01 m/s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Closed allocation.</w:t>
            </w:r>
          </w:p>
        </w:tc>
      </w:tr>
    </w:tbl>
    <w:p/>
    <w:p>
      <w:r>
        <w:rPr>
          <w:b/>
        </w:rPr>
        <w:t xml:space="preserve">Propellant cross-check assumption: </w:t>
      </w:r>
      <w:r>
        <w:t>If a representative monopropellant system with Isp = 220 s is assumed, a 240.01 m/s total budget requires a propellant fraction of approximately 10.55 percent by the Tsiolkovsky rocket equation. For a 25.0 kg wet spacecraft this is approximately 2.64 kg of propellant. This is a sizing assumption, not a selected flight component.</w:t>
      </w:r>
    </w:p>
    <w:p>
      <w:pPr>
        <w:pStyle w:val="Heading1"/>
      </w:pPr>
      <w:r>
        <w:t>7. End-of-life calculation</w:t>
      </w:r>
    </w:p>
    <w:p>
      <w:r>
        <w:t>For a single retrograde burn at 550 km circular apogee, the transfer ellipse is defined by rp = Re + 300 km and ra = Re + 550 km. The calculated burn magnitude is 70.01 m/s. NASA notes that SmallSats above roughly 500 km cannot be assumed to naturally deorbit quickly under all atmospheric conditions, so a controlled disposal maneuver is retained in the design.</w:t>
      </w:r>
    </w:p>
    <w:p>
      <w:pPr>
        <w:pStyle w:val="Heading1"/>
      </w:pPr>
      <w:r>
        <w:t>8. Power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2F3"/>
          </w:tcPr>
          <w:p>
            <w:r/>
            <w:r>
              <w:rPr>
                <w:b/>
                <w:sz w:val="18"/>
              </w:rPr>
              <w:t>Mode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b/>
                <w:sz w:val="18"/>
              </w:rPr>
              <w:t>Average load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b/>
                <w:sz w:val="18"/>
              </w:rPr>
              <w:t>Time per orbit (worst-case geometry)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b/>
                <w:sz w:val="18"/>
              </w:rPr>
              <w:t>Energy/orbit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Sunlit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100 W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60.038 min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100.06 Wh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Eclipse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70 W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35.611 min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41.55 Wh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95.650 min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141.61 Wh</w:t>
            </w:r>
          </w:p>
        </w:tc>
      </w:tr>
    </w:tbl>
    <w:p/>
    <w:p>
      <w:r>
        <w:t>With an assumed 85 percent power-path efficiency, the average required array power while sunlit is about 166.49 W. A 1.0 m^2 array using a 400 W/m^2 BOL reference point and an assumed 25 percent combined geometry/degradation derating gives about 300 W EOL at reference incidence, leaving substantial first-order margin.</w:t>
      </w:r>
    </w:p>
    <w:p>
      <w:r>
        <w:rPr>
          <w:b/>
        </w:rPr>
        <w:t xml:space="preserve">Battery: </w:t>
      </w:r>
      <w:r>
        <w:t>A minimum sizing result of about 75.0 Wh follows from 41.55 Wh eclipse energy, 80 percent allowable depth of discharge, 90 percent battery efficiency, and 30 percent design margin. A 90 Wh installed target is used here to preserve margin.</w:t>
      </w:r>
    </w:p>
    <w:p>
      <w:pPr>
        <w:pStyle w:val="Heading1"/>
      </w:pPr>
      <w:r>
        <w:t>9. Thermal first-order sizing</w:t>
      </w:r>
    </w:p>
    <w:p>
      <w:r>
        <w:t>Assume 100 W average internal dissipation during the powered thermal case, 25 W of external absorbed heat not already counted in the internal dissipation, 20 percent thermal margin, emissivity 0.90, and 293 K radiator temperature. Stefan-Boltzmann radiation then gives an effective radiator area of approximately 0.399 m^2, rounded to 0.40 m^2.</w:t>
      </w:r>
    </w:p>
    <w:p>
      <w:r>
        <w:rPr>
          <w:b/>
        </w:rPr>
        <w:t xml:space="preserve">WEAK / PENDING: </w:t>
      </w:r>
      <w:r>
        <w:t>The thermal model omits a full time-dependent spacecraft attitude, Earth IR view factor, albedo geometry, hot/cold operational cases, internal equipment temperature limits, MLI details, and detailed radiator coating data. This is a first-pass sizing calculation, not a thermal-vacuum qualification.</w:t>
      </w:r>
    </w:p>
    <w:p>
      <w:pPr>
        <w:pStyle w:val="Heading1"/>
      </w:pPr>
      <w:r>
        <w:t>10. Explicit assumptions and uncertainties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8"/>
              </w:rPr>
              <w:t>Why it matters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4 deg access half-swath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Assumption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Dominant revisit driver; must be replaced by real sensor geometry.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550 km altitude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Design choice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Changes period, SSO inclination, drag, and access.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10:30 LTAN +/-15 min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Assumption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Sets illumination regime; exact mission LTAN may differ.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25 kg spacecraft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Assumption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Used for propellant sizing and launch accommodation.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220 s Isp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Assumption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Representative propulsion sizing only.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125 m/s station-keeping / 5 yr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Allocation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Not a validated atmospheric-drag prediction.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25% solar derating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Assumption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Lumps angle, degradation, temperature, and packaging effects.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Thermal external heat load 25 W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Assumption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Must be replaced by full environmental model.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Falcon 9 rideshare 50 kg to SSO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Published program fact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Confirms target class and mass baseline, but not a mission-specific 550 km performance curve.</w:t>
            </w:r>
          </w:p>
        </w:tc>
      </w:tr>
    </w:tbl>
    <w:p/>
    <w:p>
      <w:pPr>
        <w:pStyle w:val="Heading1"/>
      </w:pPr>
      <w:r>
        <w:t>11. Failure conditions</w:t>
      </w:r>
    </w:p>
    <w:p>
      <w:pPr>
        <w:pStyle w:val="ListBullet"/>
      </w:pPr>
      <w:r>
        <w:t>If actual sensor swath is narrower enough that the 24 h access requirement fails, constellation size/altitude must be redesigned.</w:t>
      </w:r>
    </w:p>
    <w:p>
      <w:pPr>
        <w:pStyle w:val="ListBullet"/>
      </w:pPr>
      <w:r>
        <w:t>If launch-provider insertion performance or interface limits invalidate the two-satellite-per-launch concept, the launch architecture changes.</w:t>
      </w:r>
    </w:p>
    <w:p>
      <w:pPr>
        <w:pStyle w:val="ListBullet"/>
      </w:pPr>
      <w:r>
        <w:t>If drag modeling shows the 125 m/s allocation is inadequate for the required lifetime, propulsion or altitude must change.</w:t>
      </w:r>
    </w:p>
    <w:p>
      <w:pPr>
        <w:pStyle w:val="ListBullet"/>
      </w:pPr>
      <w:r>
        <w:t>If full thermal analysis cannot reject the actual worst-case heat load within equipment limits, the thermal design fails.</w:t>
      </w:r>
    </w:p>
    <w:p>
      <w:pPr>
        <w:pStyle w:val="ListBullet"/>
      </w:pPr>
      <w:r>
        <w:t>If any later model changes an input without updating dependent numbers, the artifact is internally inconsistent and must be re-run.</w:t>
      </w: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2F3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2541"/>
            <w:vAlign w:val="center"/>
            <w:shd w:fill="D9E2F3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Authority</w:t>
            </w:r>
          </w:p>
        </w:tc>
        <w:tc>
          <w:tcPr>
            <w:tcW w:type="dxa" w:w="2541"/>
            <w:vAlign w:val="center"/>
            <w:shd w:fill="D9E2F3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URL</w:t>
            </w:r>
          </w:p>
        </w:tc>
        <w:tc>
          <w:tcPr>
            <w:tcW w:type="dxa" w:w="2541"/>
            <w:vAlign w:val="center"/>
            <w:shd w:fill="D9E2F3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Use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S1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NGA WGS84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https://earth-info.nga.mil/?action=wgs84&amp;dir=wgs84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Earth semimajor axis and GM.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S2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NASA Earth Fact Sheet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https://nssdc.gsfc.nasa.gov/planetary/factsheet/earthfact.html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Earth constants, solar irradiance, albedo, J2 context.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S3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NASA Sun-Synchronous Orbit example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https://ntrs.nasa.gov/api/citations/20205004141/downloads/Introduction%20to%20Orbitalaft%20Engineers%20CHARTS%20REV%20A.pdf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J2 nodal precession equation and SSO example.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S4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NASA SmallSat Power, 2026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https://www.nasa.gov/smallsat-institute/sst-soa/power-subsystems/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Solar-cell BOL/EOL and W/m^2 data.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S5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NASA Deorbit Systems, 2026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https://www.nasa.gov/smallsat-institute/sst-soa/deorbit-systems/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LEO lifetime and deorbit context.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S6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SpaceX Rideshare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https://new.spacex.com/rideshare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Current public 50 kg to SSO baseline and approximately 4-month SSO cadence.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S7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SpaceX Falcon 9 User Guide, 2025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https://www.spacex.com/assets/media/falcon-users-guide-2025-05-09.pdf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Falcon 9 mission/SSO launch-service context.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S8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SpaceX Falcon 9 vehicle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https://new.spacex.com/vehicles/falcon-9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Current vehicle and payload-to-LEO overview.</w:t>
            </w:r>
          </w:p>
        </w:tc>
      </w:tr>
    </w:tbl>
    <w:p>
      <w:pPr>
        <w:spacing w:after="0" w:before="0" w:line="192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BlackSwanLabz / AIL-MoIE dual-domain test | 2026-09-27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i/>
        <w:sz w:val="16"/>
      </w:rPr>
      <w:t>AURORA-6 / PRELIMINARY SSO MISSION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02_AURORA-6_Preliminary_SSO_Mission_Design</dc:title>
  <dc:subject>Evidence-gated AIL/MoIE test artifact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